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16DF" w14:textId="77777777" w:rsidR="001A45EA" w:rsidRPr="00BD36DF" w:rsidRDefault="001A45EA" w:rsidP="004A2EED">
      <w:pPr>
        <w:spacing w:after="0" w:line="240" w:lineRule="auto"/>
        <w:jc w:val="center"/>
        <w:rPr>
          <w:rFonts w:ascii="Times New Roman" w:eastAsia="Times New Roman" w:hAnsi="Times New Roman" w:cs="Times New Roman"/>
          <w:b/>
          <w:bCs/>
          <w:sz w:val="24"/>
          <w:szCs w:val="24"/>
          <w:lang w:eastAsia="sk-SK"/>
        </w:rPr>
      </w:pPr>
      <w:r w:rsidRPr="00BD36DF">
        <w:rPr>
          <w:rFonts w:ascii="Times New Roman" w:eastAsia="Times New Roman" w:hAnsi="Times New Roman" w:cs="Times New Roman"/>
          <w:b/>
          <w:bCs/>
          <w:sz w:val="24"/>
          <w:szCs w:val="24"/>
          <w:lang w:eastAsia="sk-SK"/>
        </w:rPr>
        <w:t>DOLOŽKA ZLUČITEĽNOSTI</w:t>
      </w:r>
    </w:p>
    <w:p w14:paraId="0FDE3BBC" w14:textId="77777777" w:rsidR="003A68BE" w:rsidRPr="00BD36DF" w:rsidRDefault="003A68BE" w:rsidP="004A2EED">
      <w:pPr>
        <w:spacing w:after="0" w:line="240" w:lineRule="auto"/>
        <w:jc w:val="center"/>
        <w:rPr>
          <w:rFonts w:ascii="Times New Roman" w:eastAsia="Times New Roman" w:hAnsi="Times New Roman" w:cs="Times New Roman"/>
          <w:sz w:val="24"/>
          <w:szCs w:val="24"/>
          <w:lang w:eastAsia="sk-SK"/>
        </w:rPr>
      </w:pPr>
    </w:p>
    <w:p w14:paraId="5BA66327" w14:textId="1E4D5249" w:rsidR="001A45EA" w:rsidRPr="00BD36DF" w:rsidRDefault="001A45EA" w:rsidP="004A2EED">
      <w:pPr>
        <w:pBdr>
          <w:bottom w:val="single" w:sz="12" w:space="1" w:color="auto"/>
        </w:pBdr>
        <w:spacing w:after="0" w:line="240" w:lineRule="auto"/>
        <w:jc w:val="center"/>
        <w:rPr>
          <w:rFonts w:ascii="Times New Roman" w:eastAsia="Times New Roman" w:hAnsi="Times New Roman" w:cs="Times New Roman"/>
          <w:b/>
          <w:bCs/>
          <w:sz w:val="24"/>
          <w:szCs w:val="24"/>
          <w:lang w:eastAsia="sk-SK"/>
        </w:rPr>
      </w:pPr>
      <w:r w:rsidRPr="00BD36DF">
        <w:rPr>
          <w:rFonts w:ascii="Times New Roman" w:eastAsia="Times New Roman" w:hAnsi="Times New Roman" w:cs="Times New Roman"/>
          <w:b/>
          <w:bCs/>
          <w:sz w:val="24"/>
          <w:szCs w:val="24"/>
          <w:lang w:eastAsia="sk-SK"/>
        </w:rPr>
        <w:t>návrhu zákona</w:t>
      </w:r>
      <w:r w:rsidR="00DE539C" w:rsidRPr="00BD36DF">
        <w:rPr>
          <w:rFonts w:ascii="Times New Roman" w:eastAsia="Times New Roman" w:hAnsi="Times New Roman" w:cs="Times New Roman"/>
          <w:b/>
          <w:bCs/>
          <w:sz w:val="24"/>
          <w:szCs w:val="24"/>
          <w:lang w:eastAsia="sk-SK"/>
        </w:rPr>
        <w:t xml:space="preserve"> </w:t>
      </w:r>
      <w:r w:rsidRPr="00BD36DF">
        <w:rPr>
          <w:rFonts w:ascii="Times New Roman" w:eastAsia="Times New Roman" w:hAnsi="Times New Roman" w:cs="Times New Roman"/>
          <w:b/>
          <w:bCs/>
          <w:sz w:val="24"/>
          <w:szCs w:val="24"/>
          <w:lang w:eastAsia="sk-SK"/>
        </w:rPr>
        <w:t>s právom Európskej únie</w:t>
      </w:r>
    </w:p>
    <w:p w14:paraId="7D0300CC" w14:textId="77777777" w:rsidR="00096AAA" w:rsidRPr="00BD36DF" w:rsidRDefault="00096AAA" w:rsidP="004A2EED">
      <w:pPr>
        <w:spacing w:after="0" w:line="240" w:lineRule="auto"/>
        <w:rPr>
          <w:rFonts w:ascii="Times New Roman" w:eastAsia="Times New Roman" w:hAnsi="Times New Roman" w:cs="Times New Roman"/>
          <w:sz w:val="24"/>
          <w:szCs w:val="24"/>
          <w:lang w:eastAsia="sk-SK"/>
        </w:rPr>
      </w:pPr>
    </w:p>
    <w:p w14:paraId="443EAC9F" w14:textId="77777777" w:rsidR="001A45EA" w:rsidRPr="00BD36DF" w:rsidRDefault="001A45EA" w:rsidP="004A2EED">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BD36DF">
        <w:rPr>
          <w:rFonts w:ascii="Times New Roman" w:eastAsia="Times New Roman" w:hAnsi="Times New Roman" w:cs="Times New Roman"/>
          <w:b/>
          <w:bCs/>
          <w:sz w:val="24"/>
          <w:szCs w:val="24"/>
          <w:lang w:eastAsia="sk-SK"/>
        </w:rPr>
        <w:t>Navrhovateľ zákona:</w:t>
      </w:r>
    </w:p>
    <w:p w14:paraId="33711CB7" w14:textId="02D046FD" w:rsidR="001A45EA" w:rsidRPr="00BD36DF" w:rsidRDefault="00E575E6" w:rsidP="004A2EED">
      <w:pPr>
        <w:spacing w:after="0" w:line="240" w:lineRule="auto"/>
        <w:ind w:left="426"/>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Ministerstvo financií</w:t>
      </w:r>
      <w:r w:rsidR="007D096C" w:rsidRPr="00BD36DF">
        <w:rPr>
          <w:rFonts w:ascii="Times New Roman" w:eastAsia="Times New Roman" w:hAnsi="Times New Roman" w:cs="Times New Roman"/>
          <w:sz w:val="24"/>
          <w:szCs w:val="24"/>
          <w:lang w:eastAsia="sk-SK"/>
        </w:rPr>
        <w:t xml:space="preserve"> Slovenskej republiky</w:t>
      </w:r>
      <w:r w:rsidR="00BE7CAB" w:rsidRPr="00BD36DF">
        <w:rPr>
          <w:rFonts w:ascii="Times New Roman" w:eastAsia="Times New Roman" w:hAnsi="Times New Roman" w:cs="Times New Roman"/>
          <w:sz w:val="24"/>
          <w:szCs w:val="24"/>
          <w:lang w:eastAsia="sk-SK"/>
        </w:rPr>
        <w:t>.</w:t>
      </w:r>
    </w:p>
    <w:p w14:paraId="156760DD" w14:textId="77777777" w:rsidR="00703A5A" w:rsidRPr="00BD36DF" w:rsidRDefault="00703A5A" w:rsidP="004A2EED">
      <w:pPr>
        <w:spacing w:after="0" w:line="240" w:lineRule="auto"/>
        <w:rPr>
          <w:rFonts w:ascii="Times New Roman" w:eastAsia="Times New Roman" w:hAnsi="Times New Roman" w:cs="Times New Roman"/>
          <w:sz w:val="24"/>
          <w:szCs w:val="24"/>
          <w:lang w:eastAsia="sk-SK"/>
        </w:rPr>
      </w:pPr>
    </w:p>
    <w:p w14:paraId="39FBC398" w14:textId="77777777" w:rsidR="001A45EA" w:rsidRPr="00BD36DF" w:rsidRDefault="001A45EA" w:rsidP="004A2EED">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BD36DF">
        <w:rPr>
          <w:rFonts w:ascii="Times New Roman" w:eastAsia="Times New Roman" w:hAnsi="Times New Roman" w:cs="Times New Roman"/>
          <w:b/>
          <w:bCs/>
          <w:sz w:val="24"/>
          <w:szCs w:val="24"/>
          <w:lang w:eastAsia="sk-SK"/>
        </w:rPr>
        <w:t>Názov návrhu zákona:</w:t>
      </w:r>
    </w:p>
    <w:p w14:paraId="0A8B78BC" w14:textId="77777777" w:rsidR="001A45EA" w:rsidRPr="00BD36DF" w:rsidRDefault="001A45EA" w:rsidP="004A2EED">
      <w:pPr>
        <w:spacing w:after="0" w:line="240" w:lineRule="auto"/>
        <w:ind w:left="426"/>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Návrh</w:t>
      </w:r>
      <w:r w:rsidRPr="00BD36DF">
        <w:rPr>
          <w:rFonts w:ascii="Times New Roman" w:eastAsia="Times New Roman" w:hAnsi="Times New Roman" w:cs="Times New Roman"/>
          <w:spacing w:val="51"/>
          <w:sz w:val="24"/>
          <w:szCs w:val="24"/>
          <w:lang w:eastAsia="sk-SK"/>
        </w:rPr>
        <w:t xml:space="preserve"> </w:t>
      </w:r>
      <w:r w:rsidRPr="00BD36DF">
        <w:rPr>
          <w:rFonts w:ascii="Times New Roman" w:eastAsia="Times New Roman" w:hAnsi="Times New Roman" w:cs="Times New Roman"/>
          <w:sz w:val="24"/>
          <w:szCs w:val="24"/>
          <w:lang w:eastAsia="sk-SK"/>
        </w:rPr>
        <w:t>zákona,</w:t>
      </w:r>
      <w:r w:rsidRPr="00BD36DF">
        <w:rPr>
          <w:rFonts w:ascii="Times New Roman" w:eastAsia="Times New Roman" w:hAnsi="Times New Roman" w:cs="Times New Roman"/>
          <w:spacing w:val="51"/>
          <w:sz w:val="24"/>
          <w:szCs w:val="24"/>
          <w:lang w:eastAsia="sk-SK"/>
        </w:rPr>
        <w:t xml:space="preserve"> </w:t>
      </w:r>
      <w:r w:rsidRPr="00BD36DF">
        <w:rPr>
          <w:rFonts w:ascii="Times New Roman" w:eastAsia="Times New Roman" w:hAnsi="Times New Roman" w:cs="Times New Roman"/>
          <w:sz w:val="24"/>
          <w:szCs w:val="24"/>
          <w:lang w:eastAsia="sk-SK"/>
        </w:rPr>
        <w:t>ktorým</w:t>
      </w:r>
      <w:r w:rsidRPr="00BD36DF">
        <w:rPr>
          <w:rFonts w:ascii="Times New Roman" w:eastAsia="Times New Roman" w:hAnsi="Times New Roman" w:cs="Times New Roman"/>
          <w:spacing w:val="51"/>
          <w:sz w:val="24"/>
          <w:szCs w:val="24"/>
          <w:lang w:eastAsia="sk-SK"/>
        </w:rPr>
        <w:t xml:space="preserve"> </w:t>
      </w:r>
      <w:r w:rsidRPr="00BD36DF">
        <w:rPr>
          <w:rFonts w:ascii="Times New Roman" w:eastAsia="Times New Roman" w:hAnsi="Times New Roman" w:cs="Times New Roman"/>
          <w:sz w:val="24"/>
          <w:szCs w:val="24"/>
          <w:lang w:eastAsia="sk-SK"/>
        </w:rPr>
        <w:t>sa</w:t>
      </w:r>
      <w:r w:rsidRPr="00BD36DF">
        <w:rPr>
          <w:rFonts w:ascii="Times New Roman" w:eastAsia="Times New Roman" w:hAnsi="Times New Roman" w:cs="Times New Roman"/>
          <w:spacing w:val="51"/>
          <w:sz w:val="24"/>
          <w:szCs w:val="24"/>
          <w:lang w:eastAsia="sk-SK"/>
        </w:rPr>
        <w:t xml:space="preserve"> </w:t>
      </w:r>
      <w:r w:rsidRPr="00BD36DF">
        <w:rPr>
          <w:rFonts w:ascii="Times New Roman" w:eastAsia="Times New Roman" w:hAnsi="Times New Roman" w:cs="Times New Roman"/>
          <w:sz w:val="24"/>
          <w:szCs w:val="24"/>
          <w:lang w:eastAsia="sk-SK"/>
        </w:rPr>
        <w:t>mení</w:t>
      </w:r>
      <w:r w:rsidRPr="00BD36DF">
        <w:rPr>
          <w:rFonts w:ascii="Times New Roman" w:eastAsia="Times New Roman" w:hAnsi="Times New Roman" w:cs="Times New Roman"/>
          <w:spacing w:val="51"/>
          <w:sz w:val="24"/>
          <w:szCs w:val="24"/>
          <w:lang w:eastAsia="sk-SK"/>
        </w:rPr>
        <w:t xml:space="preserve"> </w:t>
      </w:r>
      <w:r w:rsidRPr="00BD36DF">
        <w:rPr>
          <w:rFonts w:ascii="Times New Roman" w:eastAsia="Times New Roman" w:hAnsi="Times New Roman" w:cs="Times New Roman"/>
          <w:sz w:val="24"/>
          <w:szCs w:val="24"/>
          <w:lang w:eastAsia="sk-SK"/>
        </w:rPr>
        <w:t>a</w:t>
      </w:r>
      <w:r w:rsidRPr="00BD36DF">
        <w:rPr>
          <w:rFonts w:ascii="Times New Roman" w:eastAsia="Times New Roman" w:hAnsi="Times New Roman" w:cs="Times New Roman"/>
          <w:spacing w:val="51"/>
          <w:sz w:val="24"/>
          <w:szCs w:val="24"/>
          <w:lang w:eastAsia="sk-SK"/>
        </w:rPr>
        <w:t> </w:t>
      </w:r>
      <w:r w:rsidRPr="00BD36DF">
        <w:rPr>
          <w:rFonts w:ascii="Times New Roman" w:eastAsia="Times New Roman" w:hAnsi="Times New Roman" w:cs="Times New Roman"/>
          <w:sz w:val="24"/>
          <w:szCs w:val="24"/>
          <w:lang w:eastAsia="sk-SK"/>
        </w:rPr>
        <w:t>dopĺňa zákon</w:t>
      </w:r>
      <w:r w:rsidRPr="00BD36DF">
        <w:rPr>
          <w:rFonts w:ascii="Times New Roman" w:eastAsia="Times New Roman" w:hAnsi="Times New Roman" w:cs="Times New Roman"/>
          <w:spacing w:val="51"/>
          <w:sz w:val="24"/>
          <w:szCs w:val="24"/>
          <w:lang w:eastAsia="sk-SK"/>
        </w:rPr>
        <w:t xml:space="preserve"> </w:t>
      </w:r>
      <w:r w:rsidRPr="00BD36DF">
        <w:rPr>
          <w:rFonts w:ascii="Times New Roman" w:eastAsia="Times New Roman" w:hAnsi="Times New Roman" w:cs="Times New Roman"/>
          <w:sz w:val="24"/>
          <w:szCs w:val="24"/>
          <w:lang w:eastAsia="sk-SK"/>
        </w:rPr>
        <w:t>č. 483/2001 Z. z.</w:t>
      </w:r>
      <w:r w:rsidRPr="00BD36DF">
        <w:rPr>
          <w:rFonts w:ascii="Times New Roman" w:eastAsia="Times New Roman" w:hAnsi="Times New Roman" w:cs="Times New Roman"/>
          <w:spacing w:val="51"/>
          <w:sz w:val="24"/>
          <w:szCs w:val="24"/>
          <w:lang w:eastAsia="sk-SK"/>
        </w:rPr>
        <w:t xml:space="preserve"> </w:t>
      </w:r>
      <w:r w:rsidRPr="00BD36DF">
        <w:rPr>
          <w:rFonts w:ascii="Times New Roman" w:eastAsia="Times New Roman" w:hAnsi="Times New Roman" w:cs="Times New Roman"/>
          <w:sz w:val="24"/>
          <w:szCs w:val="24"/>
          <w:lang w:eastAsia="sk-SK"/>
        </w:rPr>
        <w:t>o</w:t>
      </w:r>
      <w:r w:rsidRPr="00BD36DF">
        <w:rPr>
          <w:rFonts w:ascii="Times New Roman" w:eastAsia="Times New Roman" w:hAnsi="Times New Roman" w:cs="Times New Roman"/>
          <w:spacing w:val="51"/>
          <w:sz w:val="24"/>
          <w:szCs w:val="24"/>
          <w:lang w:eastAsia="sk-SK"/>
        </w:rPr>
        <w:t> </w:t>
      </w:r>
      <w:r w:rsidRPr="00BD36DF">
        <w:rPr>
          <w:rFonts w:ascii="Times New Roman" w:eastAsia="Times New Roman" w:hAnsi="Times New Roman" w:cs="Times New Roman"/>
          <w:sz w:val="24"/>
          <w:szCs w:val="24"/>
          <w:lang w:eastAsia="sk-SK"/>
        </w:rPr>
        <w:t>bankách a</w:t>
      </w:r>
      <w:r w:rsidRPr="00BD36DF">
        <w:rPr>
          <w:rFonts w:ascii="Times New Roman" w:eastAsia="Times New Roman" w:hAnsi="Times New Roman" w:cs="Times New Roman"/>
          <w:spacing w:val="51"/>
          <w:sz w:val="24"/>
          <w:szCs w:val="24"/>
          <w:lang w:eastAsia="sk-SK"/>
        </w:rPr>
        <w:t> </w:t>
      </w:r>
      <w:r w:rsidRPr="00BD36DF">
        <w:rPr>
          <w:rFonts w:ascii="Times New Roman" w:eastAsia="Times New Roman" w:hAnsi="Times New Roman" w:cs="Times New Roman"/>
          <w:sz w:val="24"/>
          <w:szCs w:val="24"/>
          <w:lang w:eastAsia="sk-SK"/>
        </w:rPr>
        <w:t>o zmene a doplnení niektorých</w:t>
      </w:r>
      <w:r w:rsidRPr="00BD36DF">
        <w:rPr>
          <w:rFonts w:ascii="Times New Roman" w:eastAsia="Times New Roman" w:hAnsi="Times New Roman" w:cs="Times New Roman"/>
          <w:spacing w:val="55"/>
          <w:sz w:val="24"/>
          <w:szCs w:val="24"/>
          <w:lang w:eastAsia="sk-SK"/>
        </w:rPr>
        <w:t xml:space="preserve"> </w:t>
      </w:r>
      <w:r w:rsidRPr="00BD36DF">
        <w:rPr>
          <w:rFonts w:ascii="Times New Roman" w:eastAsia="Times New Roman" w:hAnsi="Times New Roman" w:cs="Times New Roman"/>
          <w:sz w:val="24"/>
          <w:szCs w:val="24"/>
          <w:lang w:eastAsia="sk-SK"/>
        </w:rPr>
        <w:t>zákonov</w:t>
      </w:r>
      <w:r w:rsidRPr="00BD36DF">
        <w:rPr>
          <w:rFonts w:ascii="Times New Roman" w:eastAsia="Times New Roman" w:hAnsi="Times New Roman" w:cs="Times New Roman"/>
          <w:spacing w:val="55"/>
          <w:sz w:val="24"/>
          <w:szCs w:val="24"/>
          <w:lang w:eastAsia="sk-SK"/>
        </w:rPr>
        <w:t xml:space="preserve"> </w:t>
      </w:r>
      <w:r w:rsidRPr="00BD36DF">
        <w:rPr>
          <w:rFonts w:ascii="Times New Roman" w:eastAsia="Times New Roman" w:hAnsi="Times New Roman" w:cs="Times New Roman"/>
          <w:sz w:val="24"/>
          <w:szCs w:val="24"/>
          <w:lang w:eastAsia="sk-SK"/>
        </w:rPr>
        <w:t>v</w:t>
      </w:r>
      <w:r w:rsidRPr="00BD36DF">
        <w:rPr>
          <w:rFonts w:ascii="Times New Roman" w:eastAsia="Times New Roman" w:hAnsi="Times New Roman" w:cs="Times New Roman"/>
          <w:spacing w:val="55"/>
          <w:sz w:val="24"/>
          <w:szCs w:val="24"/>
          <w:lang w:eastAsia="sk-SK"/>
        </w:rPr>
        <w:t> </w:t>
      </w:r>
      <w:r w:rsidRPr="00BD36DF">
        <w:rPr>
          <w:rFonts w:ascii="Times New Roman" w:eastAsia="Times New Roman" w:hAnsi="Times New Roman" w:cs="Times New Roman"/>
          <w:sz w:val="24"/>
          <w:szCs w:val="24"/>
          <w:lang w:eastAsia="sk-SK"/>
        </w:rPr>
        <w:t>znení neskorších</w:t>
      </w:r>
      <w:r w:rsidRPr="00BD36DF">
        <w:rPr>
          <w:rFonts w:ascii="Times New Roman" w:eastAsia="Times New Roman" w:hAnsi="Times New Roman" w:cs="Times New Roman"/>
          <w:spacing w:val="55"/>
          <w:sz w:val="24"/>
          <w:szCs w:val="24"/>
          <w:lang w:eastAsia="sk-SK"/>
        </w:rPr>
        <w:t xml:space="preserve"> </w:t>
      </w:r>
      <w:r w:rsidRPr="00BD36DF">
        <w:rPr>
          <w:rFonts w:ascii="Times New Roman" w:eastAsia="Times New Roman" w:hAnsi="Times New Roman" w:cs="Times New Roman"/>
          <w:sz w:val="24"/>
          <w:szCs w:val="24"/>
          <w:lang w:eastAsia="sk-SK"/>
        </w:rPr>
        <w:t>predpisov</w:t>
      </w:r>
      <w:r w:rsidRPr="00BD36DF">
        <w:rPr>
          <w:rFonts w:ascii="Times New Roman" w:eastAsia="Times New Roman" w:hAnsi="Times New Roman" w:cs="Times New Roman"/>
          <w:spacing w:val="55"/>
          <w:sz w:val="24"/>
          <w:szCs w:val="24"/>
          <w:lang w:eastAsia="sk-SK"/>
        </w:rPr>
        <w:t xml:space="preserve"> </w:t>
      </w:r>
      <w:r w:rsidRPr="00BD36DF">
        <w:rPr>
          <w:rFonts w:ascii="Times New Roman" w:eastAsia="Times New Roman" w:hAnsi="Times New Roman" w:cs="Times New Roman"/>
          <w:sz w:val="24"/>
          <w:szCs w:val="24"/>
          <w:lang w:eastAsia="sk-SK"/>
        </w:rPr>
        <w:t>a ktorým sa</w:t>
      </w:r>
      <w:r w:rsidRPr="00BD36DF">
        <w:rPr>
          <w:rFonts w:ascii="Times New Roman" w:eastAsia="Times New Roman" w:hAnsi="Times New Roman" w:cs="Times New Roman"/>
          <w:spacing w:val="55"/>
          <w:sz w:val="24"/>
          <w:szCs w:val="24"/>
          <w:lang w:eastAsia="sk-SK"/>
        </w:rPr>
        <w:t xml:space="preserve"> </w:t>
      </w:r>
      <w:r w:rsidRPr="00BD36DF">
        <w:rPr>
          <w:rFonts w:ascii="Times New Roman" w:eastAsia="Times New Roman" w:hAnsi="Times New Roman" w:cs="Times New Roman"/>
          <w:sz w:val="24"/>
          <w:szCs w:val="24"/>
          <w:lang w:eastAsia="sk-SK"/>
        </w:rPr>
        <w:t>menia</w:t>
      </w:r>
      <w:r w:rsidRPr="00BD36DF">
        <w:rPr>
          <w:rFonts w:ascii="Times New Roman" w:eastAsia="Times New Roman" w:hAnsi="Times New Roman" w:cs="Times New Roman"/>
          <w:spacing w:val="55"/>
          <w:sz w:val="24"/>
          <w:szCs w:val="24"/>
          <w:lang w:eastAsia="sk-SK"/>
        </w:rPr>
        <w:t xml:space="preserve"> </w:t>
      </w:r>
      <w:r w:rsidRPr="00BD36DF">
        <w:rPr>
          <w:rFonts w:ascii="Times New Roman" w:eastAsia="Times New Roman" w:hAnsi="Times New Roman" w:cs="Times New Roman"/>
          <w:sz w:val="24"/>
          <w:szCs w:val="24"/>
          <w:lang w:eastAsia="sk-SK"/>
        </w:rPr>
        <w:t>a dopĺňajú niektoré zákony.</w:t>
      </w:r>
    </w:p>
    <w:p w14:paraId="23A387F6" w14:textId="77777777" w:rsidR="00703A5A" w:rsidRPr="00BD36DF" w:rsidRDefault="00703A5A" w:rsidP="004A2EED">
      <w:pPr>
        <w:spacing w:after="0" w:line="240" w:lineRule="auto"/>
        <w:rPr>
          <w:rFonts w:ascii="Times New Roman" w:eastAsia="Times New Roman" w:hAnsi="Times New Roman" w:cs="Times New Roman"/>
          <w:sz w:val="24"/>
          <w:szCs w:val="24"/>
          <w:lang w:eastAsia="sk-SK"/>
        </w:rPr>
      </w:pPr>
    </w:p>
    <w:p w14:paraId="53A39CAB" w14:textId="77777777" w:rsidR="001A45EA" w:rsidRPr="00BD36DF" w:rsidRDefault="001A45EA" w:rsidP="004A2EED">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BD36DF">
        <w:rPr>
          <w:rFonts w:ascii="Times New Roman" w:eastAsia="Times New Roman" w:hAnsi="Times New Roman" w:cs="Times New Roman"/>
          <w:b/>
          <w:bCs/>
          <w:sz w:val="24"/>
          <w:szCs w:val="24"/>
          <w:lang w:eastAsia="sk-SK"/>
        </w:rPr>
        <w:t>Predmet návrhu zákona je upravený v práve Európskej únie:</w:t>
      </w:r>
    </w:p>
    <w:p w14:paraId="46BE1DB8" w14:textId="77777777" w:rsidR="001A45EA" w:rsidRPr="00BD36DF" w:rsidRDefault="001A45EA" w:rsidP="004A2EED">
      <w:pPr>
        <w:pStyle w:val="Odsekzoznamu"/>
        <w:numPr>
          <w:ilvl w:val="0"/>
          <w:numId w:val="2"/>
        </w:numPr>
        <w:spacing w:after="0" w:line="240" w:lineRule="auto"/>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v primárnom práve</w:t>
      </w:r>
    </w:p>
    <w:p w14:paraId="0686EE45" w14:textId="0F5E9C44" w:rsidR="001A45EA" w:rsidRPr="00BD36DF" w:rsidRDefault="001A45EA"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 xml:space="preserve">čl. 3 ods. 1 písm. </w:t>
      </w:r>
      <w:r w:rsidR="005D058B" w:rsidRPr="00BD36DF">
        <w:rPr>
          <w:rFonts w:ascii="Times New Roman" w:eastAsia="Times New Roman" w:hAnsi="Times New Roman" w:cs="Times New Roman"/>
          <w:sz w:val="24"/>
          <w:szCs w:val="24"/>
          <w:lang w:eastAsia="sk-SK"/>
        </w:rPr>
        <w:t>b), čl. 4, čl. 26 ods. 2, čl. 49</w:t>
      </w:r>
      <w:r w:rsidRPr="00BD36DF">
        <w:rPr>
          <w:rFonts w:ascii="Times New Roman" w:eastAsia="Times New Roman" w:hAnsi="Times New Roman" w:cs="Times New Roman"/>
          <w:sz w:val="24"/>
          <w:szCs w:val="24"/>
          <w:lang w:eastAsia="sk-SK"/>
        </w:rPr>
        <w:t xml:space="preserve"> až 66 Zm</w:t>
      </w:r>
      <w:r w:rsidR="00B11CB7" w:rsidRPr="00BD36DF">
        <w:rPr>
          <w:rFonts w:ascii="Times New Roman" w:eastAsia="Times New Roman" w:hAnsi="Times New Roman" w:cs="Times New Roman"/>
          <w:sz w:val="24"/>
          <w:szCs w:val="24"/>
          <w:lang w:eastAsia="sk-SK"/>
        </w:rPr>
        <w:t>luvy o</w:t>
      </w:r>
      <w:r w:rsidR="00902C5A" w:rsidRPr="00BD36DF">
        <w:rPr>
          <w:rFonts w:ascii="Times New Roman" w:eastAsia="Times New Roman" w:hAnsi="Times New Roman" w:cs="Times New Roman"/>
          <w:sz w:val="24"/>
          <w:szCs w:val="24"/>
          <w:lang w:eastAsia="sk-SK"/>
        </w:rPr>
        <w:t> </w:t>
      </w:r>
      <w:r w:rsidR="00B11CB7" w:rsidRPr="00BD36DF">
        <w:rPr>
          <w:rFonts w:ascii="Times New Roman" w:eastAsia="Times New Roman" w:hAnsi="Times New Roman" w:cs="Times New Roman"/>
          <w:sz w:val="24"/>
          <w:szCs w:val="24"/>
          <w:lang w:eastAsia="sk-SK"/>
        </w:rPr>
        <w:t>fungovaní Európskej únie</w:t>
      </w:r>
      <w:r w:rsidR="00096AAA" w:rsidRPr="00BD36DF">
        <w:rPr>
          <w:rFonts w:ascii="Times New Roman" w:eastAsia="Times New Roman" w:hAnsi="Times New Roman" w:cs="Times New Roman"/>
          <w:sz w:val="24"/>
          <w:szCs w:val="24"/>
          <w:lang w:eastAsia="sk-SK"/>
        </w:rPr>
        <w:t xml:space="preserve"> </w:t>
      </w:r>
      <w:r w:rsidR="00B11CB7" w:rsidRPr="00BD36DF">
        <w:rPr>
          <w:rFonts w:ascii="Times New Roman" w:hAnsi="Times New Roman" w:cs="Times New Roman"/>
          <w:sz w:val="24"/>
          <w:szCs w:val="24"/>
        </w:rPr>
        <w:t>(</w:t>
      </w:r>
      <w:r w:rsidR="00B11CB7" w:rsidRPr="00BD36DF">
        <w:rPr>
          <w:rStyle w:val="awspan1"/>
          <w:rFonts w:ascii="Times New Roman" w:hAnsi="Times New Roman"/>
          <w:color w:val="auto"/>
        </w:rPr>
        <w:t>Ú. v. EÚ C 202, 7.6.2016)</w:t>
      </w:r>
      <w:r w:rsidR="00B11CB7" w:rsidRPr="00BD36DF">
        <w:rPr>
          <w:rFonts w:ascii="Times New Roman" w:eastAsia="Times New Roman" w:hAnsi="Times New Roman" w:cs="Times New Roman"/>
          <w:sz w:val="24"/>
          <w:szCs w:val="24"/>
          <w:lang w:eastAsia="sk-SK"/>
        </w:rPr>
        <w:t>,</w:t>
      </w:r>
    </w:p>
    <w:p w14:paraId="016F790E" w14:textId="0FE40D90" w:rsidR="00B11CB7" w:rsidRPr="00BD36DF" w:rsidRDefault="00B11CB7"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t>Protokol č.</w:t>
      </w:r>
      <w:r w:rsidR="00902C5A" w:rsidRPr="00BD36DF">
        <w:rPr>
          <w:rFonts w:ascii="Times New Roman" w:hAnsi="Times New Roman" w:cs="Times New Roman"/>
          <w:sz w:val="24"/>
          <w:szCs w:val="24"/>
        </w:rPr>
        <w:t> </w:t>
      </w:r>
      <w:r w:rsidRPr="00BD36DF">
        <w:rPr>
          <w:rFonts w:ascii="Times New Roman" w:hAnsi="Times New Roman" w:cs="Times New Roman"/>
          <w:sz w:val="24"/>
          <w:szCs w:val="24"/>
        </w:rPr>
        <w:t>4 o Štatúte Európskeho systému centrálnych bánk a Európskej centrálnej banky</w:t>
      </w:r>
      <w:r w:rsidR="00A6678A" w:rsidRPr="00BD36DF">
        <w:rPr>
          <w:rFonts w:ascii="Times New Roman" w:hAnsi="Times New Roman" w:cs="Times New Roman"/>
          <w:sz w:val="24"/>
          <w:szCs w:val="24"/>
        </w:rPr>
        <w:t xml:space="preserve"> (Ú. v. EÚ </w:t>
      </w:r>
      <w:r w:rsidR="00A64517" w:rsidRPr="00BD36DF">
        <w:rPr>
          <w:rStyle w:val="awspan1"/>
          <w:rFonts w:ascii="Times New Roman" w:hAnsi="Times New Roman"/>
          <w:color w:val="auto"/>
        </w:rPr>
        <w:t>C 202, 7.6.2016</w:t>
      </w:r>
      <w:r w:rsidR="00A6678A" w:rsidRPr="00BD36DF">
        <w:rPr>
          <w:rFonts w:ascii="Times New Roman" w:hAnsi="Times New Roman" w:cs="Times New Roman"/>
          <w:sz w:val="24"/>
          <w:szCs w:val="24"/>
        </w:rPr>
        <w:t>)</w:t>
      </w:r>
      <w:r w:rsidR="00F928EA" w:rsidRPr="00BD36DF">
        <w:rPr>
          <w:rFonts w:ascii="Times New Roman" w:hAnsi="Times New Roman" w:cs="Times New Roman"/>
          <w:sz w:val="24"/>
          <w:szCs w:val="24"/>
        </w:rPr>
        <w:t>,</w:t>
      </w:r>
    </w:p>
    <w:p w14:paraId="2E5E9127" w14:textId="1C12A99F" w:rsidR="00F928EA" w:rsidRPr="00BD36DF" w:rsidRDefault="00F928EA"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Charta základných práv Európskej únie (Ú. v. ES C 202, 7.6.2016).</w:t>
      </w:r>
    </w:p>
    <w:p w14:paraId="2C83B31A" w14:textId="77777777" w:rsidR="008545C6" w:rsidRPr="00BD36DF" w:rsidRDefault="008545C6" w:rsidP="004A2EED">
      <w:pPr>
        <w:spacing w:after="0" w:line="240" w:lineRule="auto"/>
        <w:rPr>
          <w:rFonts w:ascii="Times New Roman" w:eastAsia="Times New Roman" w:hAnsi="Times New Roman" w:cs="Times New Roman"/>
          <w:b/>
          <w:bCs/>
          <w:i/>
          <w:iCs/>
          <w:sz w:val="24"/>
          <w:szCs w:val="24"/>
          <w:lang w:eastAsia="sk-SK"/>
        </w:rPr>
      </w:pPr>
    </w:p>
    <w:p w14:paraId="537ABBF2" w14:textId="77777777" w:rsidR="008545C6" w:rsidRPr="00BD36DF" w:rsidRDefault="008545C6" w:rsidP="0088317A">
      <w:pPr>
        <w:pStyle w:val="Odsekzoznamu"/>
        <w:numPr>
          <w:ilvl w:val="0"/>
          <w:numId w:val="2"/>
        </w:numPr>
        <w:spacing w:after="0" w:line="240" w:lineRule="auto"/>
        <w:ind w:hanging="357"/>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v sekundárnom práve</w:t>
      </w:r>
    </w:p>
    <w:p w14:paraId="57E66321" w14:textId="77777777" w:rsidR="0088317A" w:rsidRPr="00BD36DF" w:rsidRDefault="0088317A" w:rsidP="0088317A">
      <w:pPr>
        <w:pStyle w:val="Odsekzoznamu"/>
        <w:numPr>
          <w:ilvl w:val="0"/>
          <w:numId w:val="3"/>
        </w:numPr>
        <w:spacing w:after="0" w:line="240" w:lineRule="auto"/>
        <w:ind w:hanging="357"/>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 xml:space="preserve">smernica Európskeho parlamentu a Rady (EÚ) </w:t>
      </w:r>
      <w:r w:rsidRPr="00BD36DF">
        <w:rPr>
          <w:rFonts w:ascii="Times New Roman" w:eastAsia="Times New Roman" w:hAnsi="Times New Roman" w:cs="Times New Roman"/>
          <w:sz w:val="24"/>
          <w:szCs w:val="24"/>
          <w:u w:val="single"/>
          <w:lang w:eastAsia="sk-SK"/>
        </w:rPr>
        <w:t>2024/2994</w:t>
      </w:r>
      <w:r w:rsidRPr="00BD36DF">
        <w:rPr>
          <w:rFonts w:ascii="Times New Roman" w:eastAsia="Times New Roman" w:hAnsi="Times New Roman" w:cs="Times New Roman"/>
          <w:sz w:val="24"/>
          <w:szCs w:val="24"/>
          <w:lang w:eastAsia="sk-SK"/>
        </w:rPr>
        <w:t xml:space="preserve"> z 27. novembra 2024, ktorou sa menia smernice 2009/65/ES, 2013/36/EÚ a (EÚ) 2019/2034, pokiaľ ide o zaobchádzanie s rizikom koncentrácie vyplývajúcim z expozícií voči centrálnym protistranám a s rizikom protistrany pri centrálne zúčtovávaných transakciách s derivátmi (Ú. v. EÚ L, 2024/2994, 4.12.2024), gestor: MF SR, spolugestor: NBS,</w:t>
      </w:r>
    </w:p>
    <w:p w14:paraId="6E4FEDA5" w14:textId="45D3A4EA" w:rsidR="00F928EA" w:rsidRPr="00BD36DF" w:rsidRDefault="00F928EA" w:rsidP="0088317A">
      <w:pPr>
        <w:pStyle w:val="Odsekzoznamu"/>
        <w:numPr>
          <w:ilvl w:val="0"/>
          <w:numId w:val="3"/>
        </w:numPr>
        <w:spacing w:after="0" w:line="240" w:lineRule="auto"/>
        <w:ind w:hanging="357"/>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t xml:space="preserve">smernica Európskeho parlamentu a Rady (EÚ) </w:t>
      </w:r>
      <w:r w:rsidRPr="00BD36DF">
        <w:rPr>
          <w:rFonts w:ascii="Times New Roman" w:hAnsi="Times New Roman" w:cs="Times New Roman"/>
          <w:sz w:val="24"/>
          <w:szCs w:val="24"/>
          <w:u w:val="single"/>
        </w:rPr>
        <w:t>2024/1619</w:t>
      </w:r>
      <w:r w:rsidRPr="00BD36DF">
        <w:rPr>
          <w:rFonts w:ascii="Times New Roman" w:hAnsi="Times New Roman" w:cs="Times New Roman"/>
          <w:sz w:val="24"/>
          <w:szCs w:val="24"/>
        </w:rPr>
        <w:t xml:space="preserve"> z 31. mája 2024, ktorou sa mení smernica 2013/36/EU, pokiaľ ide o právomoci v oblasti dohľadu, sankcie, pobočky z tretích krajín a environmentálne a sociálne riziká a riziká v oblasti správy a riadenia (Ú. v. EÚ L, 2024/1619, 19.6.2024), gestor: MF SR, spolugestor: NBS,</w:t>
      </w:r>
    </w:p>
    <w:p w14:paraId="24BB8104" w14:textId="7FF74BDD" w:rsidR="00465BA7" w:rsidRPr="00BD36DF" w:rsidRDefault="00465BA7" w:rsidP="00465BA7">
      <w:pPr>
        <w:pStyle w:val="Odsekzoznamu"/>
        <w:numPr>
          <w:ilvl w:val="0"/>
          <w:numId w:val="3"/>
        </w:numPr>
        <w:spacing w:line="240" w:lineRule="auto"/>
        <w:jc w:val="both"/>
        <w:rPr>
          <w:rFonts w:ascii="Times New Roman" w:eastAsia="Times New Roman" w:hAnsi="Times New Roman" w:cs="Times New Roman"/>
          <w:color w:val="000000"/>
          <w:sz w:val="24"/>
          <w:szCs w:val="24"/>
          <w:lang w:eastAsia="sk-SK"/>
        </w:rPr>
      </w:pPr>
      <w:r w:rsidRPr="00BD36DF">
        <w:rPr>
          <w:rFonts w:ascii="Times New Roman" w:eastAsia="Times New Roman" w:hAnsi="Times New Roman" w:cs="Times New Roman"/>
          <w:color w:val="000000"/>
          <w:sz w:val="24"/>
          <w:szCs w:val="24"/>
          <w:lang w:eastAsia="sk-SK"/>
        </w:rPr>
        <w:t xml:space="preserve">smernica Európskeho parlamentu a Rady (EÚ) </w:t>
      </w:r>
      <w:r w:rsidRPr="00BD36DF">
        <w:rPr>
          <w:rFonts w:ascii="Times New Roman" w:eastAsia="Times New Roman" w:hAnsi="Times New Roman" w:cs="Times New Roman"/>
          <w:color w:val="000000"/>
          <w:sz w:val="24"/>
          <w:szCs w:val="24"/>
          <w:u w:val="single"/>
          <w:lang w:eastAsia="sk-SK"/>
        </w:rPr>
        <w:t>2024/1174</w:t>
      </w:r>
      <w:r w:rsidRPr="00BD36DF">
        <w:rPr>
          <w:rFonts w:ascii="Times New Roman" w:eastAsia="Times New Roman" w:hAnsi="Times New Roman" w:cs="Times New Roman"/>
          <w:color w:val="000000"/>
          <w:sz w:val="24"/>
          <w:szCs w:val="24"/>
          <w:lang w:eastAsia="sk-SK"/>
        </w:rPr>
        <w:t xml:space="preserve"> z 11. apríla 2024, ktorou sa mení smernica 2014/59/EÚ a nariadenie (EÚ) č. 806/2014, pokiaľ ide o určité aspekty minimálnej požiadavky na vlastné zdroje a oprávnené záväzky </w:t>
      </w:r>
      <w:r w:rsidRPr="00BD36DF">
        <w:rPr>
          <w:rFonts w:ascii="Times New Roman" w:hAnsi="Times New Roman"/>
          <w:color w:val="000000" w:themeColor="text1"/>
          <w:sz w:val="24"/>
          <w:szCs w:val="24"/>
        </w:rPr>
        <w:t>(Ú. v. EÚ L,</w:t>
      </w:r>
      <w:r w:rsidRPr="00BD36DF">
        <w:rPr>
          <w:rFonts w:ascii="Times New Roman" w:eastAsia="Times New Roman" w:hAnsi="Times New Roman" w:cs="Times New Roman"/>
          <w:color w:val="000000"/>
          <w:sz w:val="24"/>
          <w:szCs w:val="24"/>
          <w:lang w:eastAsia="sk-SK"/>
        </w:rPr>
        <w:t xml:space="preserve"> 2024/1174, </w:t>
      </w:r>
      <w:r w:rsidRPr="00BD36DF">
        <w:rPr>
          <w:rFonts w:ascii="Times New Roman" w:hAnsi="Times New Roman"/>
          <w:color w:val="000000" w:themeColor="text1"/>
          <w:sz w:val="24"/>
          <w:szCs w:val="24"/>
        </w:rPr>
        <w:t>22. 4. 2024)</w:t>
      </w:r>
      <w:r w:rsidRPr="00BD36DF">
        <w:rPr>
          <w:rFonts w:ascii="Times New Roman" w:eastAsia="Times New Roman" w:hAnsi="Times New Roman" w:cs="Times New Roman"/>
          <w:color w:val="000000"/>
          <w:sz w:val="24"/>
          <w:szCs w:val="24"/>
          <w:lang w:eastAsia="sk-SK"/>
        </w:rPr>
        <w:t>, gestor: MF SR, spolugestor: NBS,</w:t>
      </w:r>
    </w:p>
    <w:p w14:paraId="636A7D46" w14:textId="0E6FD4D8" w:rsidR="00465BA7" w:rsidRPr="00BD36DF" w:rsidRDefault="00465BA7" w:rsidP="00465BA7">
      <w:pPr>
        <w:pStyle w:val="Odsekzoznamu"/>
        <w:numPr>
          <w:ilvl w:val="0"/>
          <w:numId w:val="3"/>
        </w:numPr>
        <w:spacing w:after="0" w:line="240" w:lineRule="auto"/>
        <w:jc w:val="both"/>
        <w:rPr>
          <w:rFonts w:ascii="Times New Roman" w:eastAsia="Times New Roman" w:hAnsi="Times New Roman" w:cs="Times New Roman"/>
          <w:color w:val="000000"/>
          <w:sz w:val="27"/>
          <w:szCs w:val="27"/>
          <w:lang w:eastAsia="sk-SK"/>
        </w:rPr>
      </w:pPr>
      <w:r w:rsidRPr="00BD36DF">
        <w:rPr>
          <w:rFonts w:ascii="Times New Roman" w:eastAsia="Times New Roman" w:hAnsi="Times New Roman" w:cs="Times New Roman"/>
          <w:color w:val="000000"/>
          <w:sz w:val="24"/>
          <w:szCs w:val="24"/>
          <w:lang w:eastAsia="sk-SK"/>
        </w:rPr>
        <w:t xml:space="preserve">smernica Európskeho parlamentu a Rady (EÚ) </w:t>
      </w:r>
      <w:r w:rsidRPr="00BD36DF">
        <w:rPr>
          <w:rFonts w:ascii="Times New Roman" w:eastAsia="Times New Roman" w:hAnsi="Times New Roman" w:cs="Times New Roman"/>
          <w:color w:val="000000"/>
          <w:sz w:val="24"/>
          <w:szCs w:val="24"/>
          <w:u w:val="single"/>
          <w:lang w:eastAsia="sk-SK"/>
        </w:rPr>
        <w:t>2019/2034</w:t>
      </w:r>
      <w:r w:rsidRPr="00BD36DF">
        <w:rPr>
          <w:rFonts w:ascii="Times New Roman" w:eastAsia="Times New Roman" w:hAnsi="Times New Roman" w:cs="Times New Roman"/>
          <w:color w:val="000000"/>
          <w:sz w:val="24"/>
          <w:szCs w:val="24"/>
          <w:lang w:eastAsia="sk-SK"/>
        </w:rPr>
        <w:t xml:space="preserve"> z 27. novembra 2019 o</w:t>
      </w:r>
      <w:r w:rsidR="00B22913" w:rsidRPr="00BD36DF">
        <w:rPr>
          <w:rFonts w:ascii="Times New Roman" w:eastAsia="Times New Roman" w:hAnsi="Times New Roman" w:cs="Times New Roman"/>
          <w:color w:val="000000"/>
          <w:sz w:val="24"/>
          <w:szCs w:val="24"/>
          <w:lang w:eastAsia="sk-SK"/>
        </w:rPr>
        <w:t> </w:t>
      </w:r>
      <w:r w:rsidRPr="00BD36DF">
        <w:rPr>
          <w:rFonts w:ascii="Times New Roman" w:eastAsia="Times New Roman" w:hAnsi="Times New Roman" w:cs="Times New Roman"/>
          <w:color w:val="000000"/>
          <w:sz w:val="24"/>
          <w:szCs w:val="24"/>
          <w:lang w:eastAsia="sk-SK"/>
        </w:rPr>
        <w:t>prudenciálnom</w:t>
      </w:r>
      <w:r w:rsidR="00B22913" w:rsidRPr="00BD36DF">
        <w:rPr>
          <w:rFonts w:ascii="Times New Roman" w:eastAsia="Times New Roman" w:hAnsi="Times New Roman" w:cs="Times New Roman"/>
          <w:color w:val="000000"/>
          <w:sz w:val="24"/>
          <w:szCs w:val="24"/>
          <w:lang w:eastAsia="sk-SK"/>
        </w:rPr>
        <w:t xml:space="preserve"> </w:t>
      </w:r>
      <w:r w:rsidRPr="00BD36DF">
        <w:rPr>
          <w:rFonts w:ascii="Times New Roman" w:eastAsia="Times New Roman" w:hAnsi="Times New Roman" w:cs="Times New Roman"/>
          <w:color w:val="000000"/>
          <w:sz w:val="24"/>
          <w:szCs w:val="24"/>
          <w:lang w:eastAsia="sk-SK"/>
        </w:rPr>
        <w:t>dohľade nad investičnými spoločnosťami a o zmene smerníc 2002/87/ES, 2009/65/ES, 2011/61/ES, 2013/36/EÚ, 2014/59/EÚ a 2014/65/EÚ (Ú. v. EÚ L 314, 5. 12. 2019) v platnom znení, gestor: MF SR, spolugestor: NBS,</w:t>
      </w:r>
    </w:p>
    <w:p w14:paraId="32FD5AC0" w14:textId="4BFE561D" w:rsidR="000C6E3F" w:rsidRPr="00BD36DF" w:rsidRDefault="000C6E3F" w:rsidP="0088317A">
      <w:pPr>
        <w:pStyle w:val="Odsekzoznamu"/>
        <w:numPr>
          <w:ilvl w:val="0"/>
          <w:numId w:val="3"/>
        </w:numPr>
        <w:spacing w:after="0" w:line="240" w:lineRule="auto"/>
        <w:ind w:hanging="357"/>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 xml:space="preserve">smernica Európskeho parlamentu a Rady (EÚ) </w:t>
      </w:r>
      <w:r w:rsidRPr="00BD36DF">
        <w:rPr>
          <w:rFonts w:ascii="Times New Roman" w:eastAsia="Times New Roman" w:hAnsi="Times New Roman" w:cs="Times New Roman"/>
          <w:sz w:val="24"/>
          <w:szCs w:val="24"/>
          <w:u w:val="single"/>
          <w:lang w:eastAsia="sk-SK"/>
        </w:rPr>
        <w:t>2019/2162</w:t>
      </w:r>
      <w:r w:rsidRPr="00BD36DF">
        <w:rPr>
          <w:rFonts w:ascii="Times New Roman" w:eastAsia="Times New Roman" w:hAnsi="Times New Roman" w:cs="Times New Roman"/>
          <w:sz w:val="24"/>
          <w:szCs w:val="24"/>
          <w:lang w:eastAsia="sk-SK"/>
        </w:rPr>
        <w:t xml:space="preserve"> z 27. novembra 2019 o emisii krytých dlhopisov a verejnom dohľade nad krytými dlhopismi a ktorou sa menia smernice 2009/65/ES a 2014/59/EÚ (Ú. v. EÚ L 328, 18.12.2019), </w:t>
      </w:r>
      <w:r w:rsidR="00953A3F" w:rsidRPr="00BD36DF">
        <w:rPr>
          <w:rFonts w:ascii="Times New Roman" w:eastAsia="Times New Roman" w:hAnsi="Times New Roman" w:cs="Times New Roman"/>
          <w:sz w:val="24"/>
          <w:szCs w:val="24"/>
          <w:lang w:eastAsia="sk-SK"/>
        </w:rPr>
        <w:t xml:space="preserve">v platnom znení, </w:t>
      </w:r>
      <w:r w:rsidRPr="00BD36DF">
        <w:rPr>
          <w:rFonts w:ascii="Times New Roman" w:hAnsi="Times New Roman" w:cs="Times New Roman"/>
          <w:color w:val="000000"/>
          <w:sz w:val="24"/>
          <w:szCs w:val="24"/>
          <w:lang w:eastAsia="sk-SK"/>
        </w:rPr>
        <w:t>gestor: MF SR, spolugestor: NBS,</w:t>
      </w:r>
    </w:p>
    <w:p w14:paraId="67FD0CDD" w14:textId="6ACFB739" w:rsidR="00465BA7" w:rsidRPr="00BD36DF" w:rsidRDefault="00465BA7" w:rsidP="00465BA7">
      <w:pPr>
        <w:pStyle w:val="Odsekzoznamu"/>
        <w:numPr>
          <w:ilvl w:val="0"/>
          <w:numId w:val="3"/>
        </w:numPr>
        <w:spacing w:after="0" w:line="240" w:lineRule="auto"/>
        <w:jc w:val="both"/>
        <w:rPr>
          <w:rFonts w:ascii="Times New Roman" w:eastAsia="Times New Roman" w:hAnsi="Times New Roman" w:cs="Times New Roman"/>
          <w:color w:val="000000"/>
          <w:sz w:val="24"/>
          <w:szCs w:val="24"/>
          <w:lang w:eastAsia="sk-SK"/>
        </w:rPr>
      </w:pPr>
      <w:r w:rsidRPr="00BD36DF">
        <w:rPr>
          <w:rFonts w:ascii="Times New Roman" w:eastAsia="Times New Roman" w:hAnsi="Times New Roman" w:cs="Times New Roman"/>
          <w:color w:val="000000"/>
          <w:sz w:val="24"/>
          <w:szCs w:val="24"/>
          <w:lang w:eastAsia="sk-SK"/>
        </w:rPr>
        <w:t xml:space="preserve">smernica Európskeho parlamentu a Rady </w:t>
      </w:r>
      <w:r w:rsidRPr="00BD36DF">
        <w:rPr>
          <w:rFonts w:ascii="Times New Roman" w:hAnsi="Times New Roman" w:cs="Times New Roman"/>
          <w:bCs/>
          <w:color w:val="333333"/>
          <w:sz w:val="24"/>
          <w:szCs w:val="24"/>
          <w:shd w:val="clear" w:color="auto" w:fill="FFFFFF"/>
        </w:rPr>
        <w:t xml:space="preserve">(EÚ) </w:t>
      </w:r>
      <w:r w:rsidRPr="00BD36DF">
        <w:rPr>
          <w:rFonts w:ascii="Times New Roman" w:hAnsi="Times New Roman" w:cs="Times New Roman"/>
          <w:bCs/>
          <w:color w:val="333333"/>
          <w:sz w:val="24"/>
          <w:szCs w:val="24"/>
          <w:u w:val="single"/>
          <w:shd w:val="clear" w:color="auto" w:fill="FFFFFF"/>
        </w:rPr>
        <w:t>2019/879</w:t>
      </w:r>
      <w:r w:rsidRPr="00BD36DF">
        <w:rPr>
          <w:rFonts w:ascii="Times New Roman" w:hAnsi="Times New Roman" w:cs="Times New Roman"/>
          <w:bCs/>
          <w:color w:val="333333"/>
          <w:sz w:val="24"/>
          <w:szCs w:val="24"/>
          <w:shd w:val="clear" w:color="auto" w:fill="FFFFFF"/>
        </w:rPr>
        <w:t xml:space="preserve"> </w:t>
      </w:r>
      <w:r w:rsidRPr="00BD36DF">
        <w:rPr>
          <w:rFonts w:ascii="Times New Roman" w:eastAsia="Times New Roman" w:hAnsi="Times New Roman" w:cs="Times New Roman"/>
          <w:color w:val="000000"/>
          <w:sz w:val="24"/>
          <w:szCs w:val="24"/>
          <w:lang w:eastAsia="sk-SK"/>
        </w:rPr>
        <w:t>z  20. mája 2019, ktorou sa mení smernica 2014/59/EÚ, pokiaľ ide o kapacitu úverových inštitúcií a</w:t>
      </w:r>
      <w:r w:rsidR="00B22913" w:rsidRPr="00BD36DF">
        <w:rPr>
          <w:rFonts w:ascii="Times New Roman" w:eastAsia="Times New Roman" w:hAnsi="Times New Roman" w:cs="Times New Roman"/>
          <w:color w:val="000000"/>
          <w:sz w:val="24"/>
          <w:szCs w:val="24"/>
          <w:lang w:eastAsia="sk-SK"/>
        </w:rPr>
        <w:t> </w:t>
      </w:r>
      <w:r w:rsidRPr="00BD36DF">
        <w:rPr>
          <w:rFonts w:ascii="Times New Roman" w:eastAsia="Times New Roman" w:hAnsi="Times New Roman" w:cs="Times New Roman"/>
          <w:color w:val="000000"/>
          <w:sz w:val="24"/>
          <w:szCs w:val="24"/>
          <w:lang w:eastAsia="sk-SK"/>
        </w:rPr>
        <w:t>investičných</w:t>
      </w:r>
      <w:r w:rsidR="00B22913" w:rsidRPr="00BD36DF">
        <w:rPr>
          <w:rFonts w:ascii="Times New Roman" w:eastAsia="Times New Roman" w:hAnsi="Times New Roman" w:cs="Times New Roman"/>
          <w:color w:val="000000"/>
          <w:sz w:val="24"/>
          <w:szCs w:val="24"/>
          <w:lang w:eastAsia="sk-SK"/>
        </w:rPr>
        <w:t xml:space="preserve"> </w:t>
      </w:r>
      <w:r w:rsidRPr="00BD36DF">
        <w:rPr>
          <w:rFonts w:ascii="Times New Roman" w:eastAsia="Times New Roman" w:hAnsi="Times New Roman" w:cs="Times New Roman"/>
          <w:color w:val="000000"/>
          <w:sz w:val="24"/>
          <w:szCs w:val="24"/>
          <w:lang w:eastAsia="sk-SK"/>
        </w:rPr>
        <w:t>spoločností na absorpciu strát a rekapitalizáciu, a smernica 98/26/ES (Ú. v. EÚ L 150, 7.6.2019), gestor: MF SR, spolugestori: NBS, MS SR,</w:t>
      </w:r>
    </w:p>
    <w:p w14:paraId="636258A0" w14:textId="310B854F" w:rsidR="0029721F" w:rsidRPr="00BD36DF" w:rsidRDefault="0029721F" w:rsidP="0088317A">
      <w:pPr>
        <w:pStyle w:val="Odsekzoznamu"/>
        <w:numPr>
          <w:ilvl w:val="0"/>
          <w:numId w:val="3"/>
        </w:numPr>
        <w:spacing w:after="0" w:line="240" w:lineRule="auto"/>
        <w:ind w:hanging="357"/>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t xml:space="preserve">smernica Európskeho parlamentu a Rady (EÚ) </w:t>
      </w:r>
      <w:r w:rsidRPr="00BD36DF">
        <w:rPr>
          <w:rFonts w:ascii="Times New Roman" w:hAnsi="Times New Roman" w:cs="Times New Roman"/>
          <w:sz w:val="24"/>
          <w:szCs w:val="24"/>
          <w:u w:val="single"/>
        </w:rPr>
        <w:t>2019/878</w:t>
      </w:r>
      <w:r w:rsidRPr="00BD36DF">
        <w:rPr>
          <w:rFonts w:ascii="Times New Roman" w:hAnsi="Times New Roman" w:cs="Times New Roman"/>
          <w:sz w:val="24"/>
          <w:szCs w:val="24"/>
        </w:rPr>
        <w:t xml:space="preserve"> z 20. mája 2019, ktorou sa mení smernica 2013/36/EÚ, pokiaľ ide o oslobodené subjekty, finančné holdingové spoločnosti, zmiešané finančné holdingové spoločnosti, odmeňovanie, </w:t>
      </w:r>
      <w:r w:rsidRPr="00BD36DF">
        <w:rPr>
          <w:rFonts w:ascii="Times New Roman" w:hAnsi="Times New Roman" w:cs="Times New Roman"/>
          <w:sz w:val="24"/>
          <w:szCs w:val="24"/>
        </w:rPr>
        <w:lastRenderedPageBreak/>
        <w:t xml:space="preserve">opatrenia a právomoci v oblasti dohľadu a opatrenia na zachovanie kapitálu </w:t>
      </w:r>
      <w:bookmarkStart w:id="0" w:name="_Hlk199860605"/>
      <w:r w:rsidRPr="00BD36DF">
        <w:rPr>
          <w:rFonts w:ascii="Times New Roman" w:hAnsi="Times New Roman" w:cs="Times New Roman"/>
          <w:sz w:val="24"/>
          <w:szCs w:val="24"/>
        </w:rPr>
        <w:t>(Ú.</w:t>
      </w:r>
      <w:r w:rsidR="00691CDF" w:rsidRPr="00BD36DF">
        <w:rPr>
          <w:rFonts w:ascii="Times New Roman" w:hAnsi="Times New Roman" w:cs="Times New Roman"/>
          <w:sz w:val="24"/>
          <w:szCs w:val="24"/>
        </w:rPr>
        <w:t> </w:t>
      </w:r>
      <w:r w:rsidRPr="00BD36DF">
        <w:rPr>
          <w:rFonts w:ascii="Times New Roman" w:hAnsi="Times New Roman" w:cs="Times New Roman"/>
          <w:sz w:val="24"/>
          <w:szCs w:val="24"/>
        </w:rPr>
        <w:t>v.</w:t>
      </w:r>
      <w:r w:rsidR="00691CDF" w:rsidRPr="00BD36DF">
        <w:rPr>
          <w:rFonts w:ascii="Times New Roman" w:hAnsi="Times New Roman" w:cs="Times New Roman"/>
          <w:sz w:val="24"/>
          <w:szCs w:val="24"/>
        </w:rPr>
        <w:t> </w:t>
      </w:r>
      <w:r w:rsidRPr="00BD36DF">
        <w:rPr>
          <w:rFonts w:ascii="Times New Roman" w:hAnsi="Times New Roman" w:cs="Times New Roman"/>
          <w:sz w:val="24"/>
          <w:szCs w:val="24"/>
        </w:rPr>
        <w:t>EÚ L 150, 7. 6. 2019)</w:t>
      </w:r>
      <w:bookmarkEnd w:id="0"/>
      <w:r w:rsidR="00F928EA" w:rsidRPr="00BD36DF">
        <w:rPr>
          <w:rFonts w:ascii="Times New Roman" w:hAnsi="Times New Roman" w:cs="Times New Roman"/>
          <w:sz w:val="24"/>
          <w:szCs w:val="24"/>
        </w:rPr>
        <w:t xml:space="preserve"> v platnom znení</w:t>
      </w:r>
      <w:r w:rsidRPr="00BD36DF">
        <w:rPr>
          <w:rFonts w:ascii="Times New Roman" w:hAnsi="Times New Roman" w:cs="Times New Roman"/>
          <w:sz w:val="24"/>
          <w:szCs w:val="24"/>
        </w:rPr>
        <w:t xml:space="preserve">, </w:t>
      </w:r>
      <w:r w:rsidR="00B00EB7" w:rsidRPr="00BD36DF">
        <w:rPr>
          <w:rFonts w:ascii="Times New Roman" w:hAnsi="Times New Roman" w:cs="Times New Roman"/>
          <w:sz w:val="24"/>
          <w:szCs w:val="24"/>
        </w:rPr>
        <w:t>gestor</w:t>
      </w:r>
      <w:r w:rsidRPr="00BD36DF">
        <w:rPr>
          <w:rFonts w:ascii="Times New Roman" w:hAnsi="Times New Roman" w:cs="Times New Roman"/>
          <w:sz w:val="24"/>
          <w:szCs w:val="24"/>
        </w:rPr>
        <w:t>:</w:t>
      </w:r>
      <w:r w:rsidR="006B2F95" w:rsidRPr="00BD36DF">
        <w:rPr>
          <w:rFonts w:ascii="Times New Roman" w:hAnsi="Times New Roman" w:cs="Times New Roman"/>
          <w:sz w:val="24"/>
          <w:szCs w:val="24"/>
        </w:rPr>
        <w:t xml:space="preserve"> </w:t>
      </w:r>
      <w:r w:rsidR="006B2F95" w:rsidRPr="00BD36DF">
        <w:rPr>
          <w:rFonts w:ascii="Times New Roman" w:hAnsi="Times New Roman" w:cs="Times New Roman"/>
          <w:iCs/>
          <w:sz w:val="24"/>
          <w:szCs w:val="24"/>
        </w:rPr>
        <w:t xml:space="preserve">MF SR, </w:t>
      </w:r>
      <w:r w:rsidR="006B2F95" w:rsidRPr="00BD36DF">
        <w:rPr>
          <w:rFonts w:ascii="Times New Roman" w:hAnsi="Times New Roman" w:cs="Times New Roman"/>
          <w:iCs/>
          <w:noProof/>
          <w:sz w:val="24"/>
          <w:szCs w:val="24"/>
        </w:rPr>
        <w:t>spolugestor: NBS,</w:t>
      </w:r>
    </w:p>
    <w:p w14:paraId="31FC74A4" w14:textId="211955B3" w:rsidR="0073192F" w:rsidRPr="00BD36DF" w:rsidRDefault="0073192F" w:rsidP="0088317A">
      <w:pPr>
        <w:pStyle w:val="Odsekzoznamu"/>
        <w:numPr>
          <w:ilvl w:val="0"/>
          <w:numId w:val="3"/>
        </w:numPr>
        <w:spacing w:after="0" w:line="240" w:lineRule="auto"/>
        <w:ind w:hanging="357"/>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 xml:space="preserve">smernica Európskeho parlamentu a Rady </w:t>
      </w:r>
      <w:r w:rsidRPr="00BD36DF">
        <w:rPr>
          <w:rFonts w:ascii="Times New Roman" w:eastAsia="Times New Roman" w:hAnsi="Times New Roman" w:cs="Times New Roman"/>
          <w:sz w:val="24"/>
          <w:szCs w:val="24"/>
          <w:u w:val="single"/>
          <w:lang w:eastAsia="sk-SK"/>
        </w:rPr>
        <w:t>2014/59/EÚ</w:t>
      </w:r>
      <w:r w:rsidRPr="00BD36DF">
        <w:rPr>
          <w:rFonts w:ascii="Times New Roman" w:eastAsia="Times New Roman" w:hAnsi="Times New Roman" w:cs="Times New Roman"/>
          <w:sz w:val="24"/>
          <w:szCs w:val="24"/>
          <w:lang w:eastAsia="sk-SK"/>
        </w:rPr>
        <w:t xml:space="preserve">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12.6.2014), </w:t>
      </w:r>
      <w:r w:rsidR="00B32EC4" w:rsidRPr="00BD36DF">
        <w:rPr>
          <w:rFonts w:ascii="Times New Roman" w:eastAsia="Times New Roman" w:hAnsi="Times New Roman" w:cs="Times New Roman"/>
          <w:sz w:val="24"/>
          <w:szCs w:val="24"/>
          <w:lang w:eastAsia="sk-SK"/>
        </w:rPr>
        <w:t>v platnom znení</w:t>
      </w:r>
      <w:r w:rsidR="00B32EC4" w:rsidRPr="00BD36DF">
        <w:rPr>
          <w:rFonts w:ascii="Times New Roman" w:hAnsi="Times New Roman" w:cs="Times New Roman"/>
          <w:color w:val="000000"/>
          <w:sz w:val="24"/>
          <w:szCs w:val="24"/>
          <w:lang w:eastAsia="sk-SK"/>
        </w:rPr>
        <w:t xml:space="preserve">, </w:t>
      </w:r>
      <w:r w:rsidRPr="00BD36DF">
        <w:rPr>
          <w:rFonts w:ascii="Times New Roman" w:hAnsi="Times New Roman" w:cs="Times New Roman"/>
          <w:color w:val="000000"/>
          <w:sz w:val="24"/>
          <w:szCs w:val="24"/>
          <w:lang w:eastAsia="sk-SK"/>
        </w:rPr>
        <w:t>gestor: MF SR, spolugestor: NBS,</w:t>
      </w:r>
    </w:p>
    <w:p w14:paraId="455D1ED1" w14:textId="0116417C" w:rsidR="0088317A" w:rsidRPr="00BD36DF" w:rsidRDefault="0088317A" w:rsidP="0088317A">
      <w:pPr>
        <w:pStyle w:val="Odsekzoznamu"/>
        <w:numPr>
          <w:ilvl w:val="0"/>
          <w:numId w:val="3"/>
        </w:numPr>
        <w:spacing w:after="0" w:line="240" w:lineRule="auto"/>
        <w:ind w:hanging="357"/>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smernica</w:t>
      </w:r>
      <w:r w:rsidRPr="00BD36DF">
        <w:rPr>
          <w:rFonts w:ascii="Times New Roman" w:eastAsia="Times New Roman" w:hAnsi="Times New Roman" w:cs="Times New Roman"/>
          <w:spacing w:val="6"/>
          <w:sz w:val="24"/>
          <w:szCs w:val="24"/>
          <w:lang w:eastAsia="sk-SK"/>
        </w:rPr>
        <w:t xml:space="preserve"> </w:t>
      </w:r>
      <w:r w:rsidRPr="00BD36DF">
        <w:rPr>
          <w:rFonts w:ascii="Times New Roman" w:eastAsia="Times New Roman" w:hAnsi="Times New Roman" w:cs="Times New Roman"/>
          <w:sz w:val="24"/>
          <w:szCs w:val="24"/>
          <w:lang w:eastAsia="sk-SK"/>
        </w:rPr>
        <w:t>Európskeho</w:t>
      </w:r>
      <w:r w:rsidRPr="00BD36DF">
        <w:rPr>
          <w:rFonts w:ascii="Times New Roman" w:eastAsia="Times New Roman" w:hAnsi="Times New Roman" w:cs="Times New Roman"/>
          <w:spacing w:val="6"/>
          <w:sz w:val="24"/>
          <w:szCs w:val="24"/>
          <w:lang w:eastAsia="sk-SK"/>
        </w:rPr>
        <w:t xml:space="preserve"> </w:t>
      </w:r>
      <w:r w:rsidRPr="00BD36DF">
        <w:rPr>
          <w:rFonts w:ascii="Times New Roman" w:eastAsia="Times New Roman" w:hAnsi="Times New Roman" w:cs="Times New Roman"/>
          <w:sz w:val="24"/>
          <w:szCs w:val="24"/>
          <w:lang w:eastAsia="sk-SK"/>
        </w:rPr>
        <w:t>parlamentu</w:t>
      </w:r>
      <w:r w:rsidRPr="00BD36DF">
        <w:rPr>
          <w:rFonts w:ascii="Times New Roman" w:eastAsia="Times New Roman" w:hAnsi="Times New Roman" w:cs="Times New Roman"/>
          <w:spacing w:val="6"/>
          <w:sz w:val="24"/>
          <w:szCs w:val="24"/>
          <w:lang w:eastAsia="sk-SK"/>
        </w:rPr>
        <w:t xml:space="preserve"> </w:t>
      </w:r>
      <w:r w:rsidRPr="00BD36DF">
        <w:rPr>
          <w:rFonts w:ascii="Times New Roman" w:eastAsia="Times New Roman" w:hAnsi="Times New Roman" w:cs="Times New Roman"/>
          <w:sz w:val="24"/>
          <w:szCs w:val="24"/>
          <w:lang w:eastAsia="sk-SK"/>
        </w:rPr>
        <w:t>a</w:t>
      </w:r>
      <w:r w:rsidRPr="00BD36DF">
        <w:rPr>
          <w:rFonts w:ascii="Times New Roman" w:eastAsia="Times New Roman" w:hAnsi="Times New Roman" w:cs="Times New Roman"/>
          <w:spacing w:val="6"/>
          <w:sz w:val="24"/>
          <w:szCs w:val="24"/>
          <w:lang w:eastAsia="sk-SK"/>
        </w:rPr>
        <w:t> </w:t>
      </w:r>
      <w:r w:rsidRPr="00BD36DF">
        <w:rPr>
          <w:rFonts w:ascii="Times New Roman" w:eastAsia="Times New Roman" w:hAnsi="Times New Roman" w:cs="Times New Roman"/>
          <w:sz w:val="24"/>
          <w:szCs w:val="24"/>
          <w:lang w:eastAsia="sk-SK"/>
        </w:rPr>
        <w:t xml:space="preserve">Rady </w:t>
      </w:r>
      <w:r w:rsidRPr="00BD36DF">
        <w:rPr>
          <w:rFonts w:ascii="Times New Roman" w:eastAsia="Times New Roman" w:hAnsi="Times New Roman" w:cs="Times New Roman"/>
          <w:sz w:val="24"/>
          <w:szCs w:val="24"/>
          <w:u w:val="single"/>
          <w:lang w:eastAsia="sk-SK"/>
        </w:rPr>
        <w:t>2013/36/EÚ</w:t>
      </w:r>
      <w:r w:rsidRPr="00BD36DF">
        <w:rPr>
          <w:rFonts w:ascii="Times New Roman" w:eastAsia="Times New Roman" w:hAnsi="Times New Roman" w:cs="Times New Roman"/>
          <w:spacing w:val="6"/>
          <w:sz w:val="24"/>
          <w:szCs w:val="24"/>
          <w:lang w:eastAsia="sk-SK"/>
        </w:rPr>
        <w:t xml:space="preserve"> </w:t>
      </w:r>
      <w:r w:rsidRPr="00BD36DF">
        <w:rPr>
          <w:rFonts w:ascii="Times New Roman" w:eastAsia="Times New Roman" w:hAnsi="Times New Roman" w:cs="Times New Roman"/>
          <w:sz w:val="24"/>
          <w:szCs w:val="24"/>
          <w:lang w:eastAsia="sk-SK"/>
        </w:rPr>
        <w:t>z</w:t>
      </w:r>
      <w:r w:rsidRPr="00BD36DF">
        <w:rPr>
          <w:rFonts w:ascii="Times New Roman" w:eastAsia="Times New Roman" w:hAnsi="Times New Roman" w:cs="Times New Roman"/>
          <w:spacing w:val="6"/>
          <w:sz w:val="24"/>
          <w:szCs w:val="24"/>
          <w:lang w:eastAsia="sk-SK"/>
        </w:rPr>
        <w:t xml:space="preserve"> </w:t>
      </w:r>
      <w:r w:rsidRPr="00BD36DF">
        <w:rPr>
          <w:rFonts w:ascii="Times New Roman" w:eastAsia="Times New Roman" w:hAnsi="Times New Roman" w:cs="Times New Roman"/>
          <w:sz w:val="24"/>
          <w:szCs w:val="24"/>
          <w:lang w:eastAsia="sk-SK"/>
        </w:rPr>
        <w:t>26.</w:t>
      </w:r>
      <w:r w:rsidRPr="00BD36DF">
        <w:rPr>
          <w:rFonts w:ascii="Times New Roman" w:eastAsia="Times New Roman" w:hAnsi="Times New Roman" w:cs="Times New Roman"/>
          <w:spacing w:val="6"/>
          <w:sz w:val="24"/>
          <w:szCs w:val="24"/>
          <w:lang w:eastAsia="sk-SK"/>
        </w:rPr>
        <w:t xml:space="preserve"> </w:t>
      </w:r>
      <w:r w:rsidRPr="00BD36DF">
        <w:rPr>
          <w:rFonts w:ascii="Times New Roman" w:eastAsia="Times New Roman" w:hAnsi="Times New Roman" w:cs="Times New Roman"/>
          <w:sz w:val="24"/>
          <w:szCs w:val="24"/>
          <w:lang w:eastAsia="sk-SK"/>
        </w:rPr>
        <w:t>júna</w:t>
      </w:r>
      <w:r w:rsidRPr="00BD36DF">
        <w:rPr>
          <w:rFonts w:ascii="Times New Roman" w:eastAsia="Times New Roman" w:hAnsi="Times New Roman" w:cs="Times New Roman"/>
          <w:spacing w:val="6"/>
          <w:sz w:val="24"/>
          <w:szCs w:val="24"/>
          <w:lang w:eastAsia="sk-SK"/>
        </w:rPr>
        <w:t xml:space="preserve"> </w:t>
      </w:r>
      <w:r w:rsidRPr="00BD36DF">
        <w:rPr>
          <w:rFonts w:ascii="Times New Roman" w:eastAsia="Times New Roman" w:hAnsi="Times New Roman" w:cs="Times New Roman"/>
          <w:sz w:val="24"/>
          <w:szCs w:val="24"/>
          <w:lang w:eastAsia="sk-SK"/>
        </w:rPr>
        <w:t>2013</w:t>
      </w:r>
      <w:r w:rsidRPr="00BD36DF">
        <w:rPr>
          <w:rFonts w:ascii="Times New Roman" w:eastAsia="Times New Roman" w:hAnsi="Times New Roman" w:cs="Times New Roman"/>
          <w:spacing w:val="6"/>
          <w:sz w:val="24"/>
          <w:szCs w:val="24"/>
          <w:lang w:eastAsia="sk-SK"/>
        </w:rPr>
        <w:t xml:space="preserve"> </w:t>
      </w:r>
      <w:r w:rsidRPr="00BD36DF">
        <w:rPr>
          <w:rFonts w:ascii="Times New Roman" w:eastAsia="Times New Roman" w:hAnsi="Times New Roman" w:cs="Times New Roman"/>
          <w:sz w:val="24"/>
          <w:szCs w:val="24"/>
          <w:lang w:eastAsia="sk-SK"/>
        </w:rPr>
        <w:t>o</w:t>
      </w:r>
      <w:r w:rsidRPr="00BD36DF">
        <w:rPr>
          <w:rFonts w:ascii="Times New Roman" w:eastAsia="Times New Roman" w:hAnsi="Times New Roman" w:cs="Times New Roman"/>
          <w:spacing w:val="6"/>
          <w:sz w:val="24"/>
          <w:szCs w:val="24"/>
          <w:lang w:eastAsia="sk-SK"/>
        </w:rPr>
        <w:t> </w:t>
      </w:r>
      <w:r w:rsidRPr="00BD36DF">
        <w:rPr>
          <w:rFonts w:ascii="Times New Roman" w:eastAsia="Times New Roman" w:hAnsi="Times New Roman" w:cs="Times New Roman"/>
          <w:sz w:val="24"/>
          <w:szCs w:val="24"/>
          <w:lang w:eastAsia="sk-SK"/>
        </w:rPr>
        <w:t>prístupe k</w:t>
      </w:r>
      <w:r w:rsidRPr="00BD36DF">
        <w:rPr>
          <w:rFonts w:ascii="Times New Roman" w:eastAsia="Times New Roman" w:hAnsi="Times New Roman" w:cs="Times New Roman"/>
          <w:spacing w:val="6"/>
          <w:sz w:val="24"/>
          <w:szCs w:val="24"/>
          <w:lang w:eastAsia="sk-SK"/>
        </w:rPr>
        <w:t> </w:t>
      </w:r>
      <w:r w:rsidRPr="00BD36DF">
        <w:rPr>
          <w:rFonts w:ascii="Times New Roman" w:eastAsia="Times New Roman" w:hAnsi="Times New Roman" w:cs="Times New Roman"/>
          <w:sz w:val="24"/>
          <w:szCs w:val="24"/>
          <w:lang w:eastAsia="sk-SK"/>
        </w:rPr>
        <w:t>činnosti úverových</w:t>
      </w:r>
      <w:r w:rsidRPr="00BD36DF">
        <w:rPr>
          <w:rFonts w:ascii="Times New Roman" w:eastAsia="Times New Roman" w:hAnsi="Times New Roman" w:cs="Times New Roman"/>
          <w:spacing w:val="24"/>
          <w:sz w:val="24"/>
          <w:szCs w:val="24"/>
          <w:lang w:eastAsia="sk-SK"/>
        </w:rPr>
        <w:t xml:space="preserve"> </w:t>
      </w:r>
      <w:r w:rsidRPr="00BD36DF">
        <w:rPr>
          <w:rFonts w:ascii="Times New Roman" w:eastAsia="Times New Roman" w:hAnsi="Times New Roman" w:cs="Times New Roman"/>
          <w:sz w:val="24"/>
          <w:szCs w:val="24"/>
          <w:lang w:eastAsia="sk-SK"/>
        </w:rPr>
        <w:t>inštitúcií</w:t>
      </w:r>
      <w:r w:rsidRPr="00BD36DF">
        <w:rPr>
          <w:rFonts w:ascii="Times New Roman" w:eastAsia="Times New Roman" w:hAnsi="Times New Roman" w:cs="Times New Roman"/>
          <w:spacing w:val="24"/>
          <w:sz w:val="24"/>
          <w:szCs w:val="24"/>
          <w:lang w:eastAsia="sk-SK"/>
        </w:rPr>
        <w:t xml:space="preserve"> </w:t>
      </w:r>
      <w:r w:rsidRPr="00BD36DF">
        <w:rPr>
          <w:rFonts w:ascii="Times New Roman" w:eastAsia="Times New Roman" w:hAnsi="Times New Roman" w:cs="Times New Roman"/>
          <w:sz w:val="24"/>
          <w:szCs w:val="24"/>
          <w:lang w:eastAsia="sk-SK"/>
        </w:rPr>
        <w:t>a</w:t>
      </w:r>
      <w:r w:rsidRPr="00BD36DF">
        <w:rPr>
          <w:rFonts w:ascii="Times New Roman" w:eastAsia="Times New Roman" w:hAnsi="Times New Roman" w:cs="Times New Roman"/>
          <w:spacing w:val="24"/>
          <w:sz w:val="24"/>
          <w:szCs w:val="24"/>
          <w:lang w:eastAsia="sk-SK"/>
        </w:rPr>
        <w:t> </w:t>
      </w:r>
      <w:r w:rsidRPr="00BD36DF">
        <w:rPr>
          <w:rFonts w:ascii="Times New Roman" w:eastAsia="Times New Roman" w:hAnsi="Times New Roman" w:cs="Times New Roman"/>
          <w:sz w:val="24"/>
          <w:szCs w:val="24"/>
          <w:lang w:eastAsia="sk-SK"/>
        </w:rPr>
        <w:t>prudenciálnom dohľade</w:t>
      </w:r>
      <w:r w:rsidRPr="00BD36DF">
        <w:rPr>
          <w:rFonts w:ascii="Times New Roman" w:eastAsia="Times New Roman" w:hAnsi="Times New Roman" w:cs="Times New Roman"/>
          <w:spacing w:val="24"/>
          <w:sz w:val="24"/>
          <w:szCs w:val="24"/>
          <w:lang w:eastAsia="sk-SK"/>
        </w:rPr>
        <w:t xml:space="preserve"> </w:t>
      </w:r>
      <w:r w:rsidRPr="00BD36DF">
        <w:rPr>
          <w:rFonts w:ascii="Times New Roman" w:eastAsia="Times New Roman" w:hAnsi="Times New Roman" w:cs="Times New Roman"/>
          <w:sz w:val="24"/>
          <w:szCs w:val="24"/>
          <w:lang w:eastAsia="sk-SK"/>
        </w:rPr>
        <w:t>nad</w:t>
      </w:r>
      <w:r w:rsidRPr="00BD36DF">
        <w:rPr>
          <w:rFonts w:ascii="Times New Roman" w:eastAsia="Times New Roman" w:hAnsi="Times New Roman" w:cs="Times New Roman"/>
          <w:spacing w:val="24"/>
          <w:sz w:val="24"/>
          <w:szCs w:val="24"/>
          <w:lang w:eastAsia="sk-SK"/>
        </w:rPr>
        <w:t xml:space="preserve"> </w:t>
      </w:r>
      <w:r w:rsidRPr="00BD36DF">
        <w:rPr>
          <w:rFonts w:ascii="Times New Roman" w:eastAsia="Times New Roman" w:hAnsi="Times New Roman" w:cs="Times New Roman"/>
          <w:sz w:val="24"/>
          <w:szCs w:val="24"/>
          <w:lang w:eastAsia="sk-SK"/>
        </w:rPr>
        <w:t>úverovými</w:t>
      </w:r>
      <w:r w:rsidRPr="00BD36DF">
        <w:rPr>
          <w:rFonts w:ascii="Times New Roman" w:eastAsia="Times New Roman" w:hAnsi="Times New Roman" w:cs="Times New Roman"/>
          <w:spacing w:val="24"/>
          <w:sz w:val="24"/>
          <w:szCs w:val="24"/>
          <w:lang w:eastAsia="sk-SK"/>
        </w:rPr>
        <w:t xml:space="preserve"> </w:t>
      </w:r>
      <w:r w:rsidRPr="00BD36DF">
        <w:rPr>
          <w:rFonts w:ascii="Times New Roman" w:eastAsia="Times New Roman" w:hAnsi="Times New Roman" w:cs="Times New Roman"/>
          <w:sz w:val="24"/>
          <w:szCs w:val="24"/>
          <w:lang w:eastAsia="sk-SK"/>
        </w:rPr>
        <w:t>inštitúciami,</w:t>
      </w:r>
      <w:r w:rsidRPr="00BD36DF">
        <w:rPr>
          <w:rFonts w:ascii="Times New Roman" w:eastAsia="Times New Roman" w:hAnsi="Times New Roman" w:cs="Times New Roman"/>
          <w:spacing w:val="107"/>
          <w:sz w:val="24"/>
          <w:szCs w:val="24"/>
          <w:lang w:eastAsia="sk-SK"/>
        </w:rPr>
        <w:t xml:space="preserve"> </w:t>
      </w:r>
      <w:r w:rsidRPr="00BD36DF">
        <w:rPr>
          <w:rFonts w:ascii="Times New Roman" w:eastAsia="Times New Roman" w:hAnsi="Times New Roman" w:cs="Times New Roman"/>
          <w:sz w:val="24"/>
          <w:szCs w:val="24"/>
          <w:lang w:eastAsia="sk-SK"/>
        </w:rPr>
        <w:t>o</w:t>
      </w:r>
      <w:r w:rsidRPr="00BD36DF">
        <w:rPr>
          <w:rFonts w:ascii="Times New Roman" w:eastAsia="Times New Roman" w:hAnsi="Times New Roman" w:cs="Times New Roman"/>
          <w:spacing w:val="107"/>
          <w:sz w:val="24"/>
          <w:szCs w:val="24"/>
          <w:lang w:eastAsia="sk-SK"/>
        </w:rPr>
        <w:t> </w:t>
      </w:r>
      <w:r w:rsidRPr="00BD36DF">
        <w:rPr>
          <w:rFonts w:ascii="Times New Roman" w:eastAsia="Times New Roman" w:hAnsi="Times New Roman" w:cs="Times New Roman"/>
          <w:sz w:val="24"/>
          <w:szCs w:val="24"/>
          <w:lang w:eastAsia="sk-SK"/>
        </w:rPr>
        <w:t>zmene smernice</w:t>
      </w:r>
      <w:r w:rsidRPr="00BD36DF">
        <w:rPr>
          <w:rFonts w:ascii="Times New Roman" w:eastAsia="Times New Roman" w:hAnsi="Times New Roman" w:cs="Times New Roman"/>
          <w:spacing w:val="107"/>
          <w:sz w:val="24"/>
          <w:szCs w:val="24"/>
          <w:lang w:eastAsia="sk-SK"/>
        </w:rPr>
        <w:t xml:space="preserve"> </w:t>
      </w:r>
      <w:r w:rsidRPr="00BD36DF">
        <w:rPr>
          <w:rFonts w:ascii="Times New Roman" w:eastAsia="Times New Roman" w:hAnsi="Times New Roman" w:cs="Times New Roman"/>
          <w:sz w:val="24"/>
          <w:szCs w:val="24"/>
          <w:lang w:eastAsia="sk-SK"/>
        </w:rPr>
        <w:t>2002/87/ES</w:t>
      </w:r>
      <w:r w:rsidRPr="00BD36DF">
        <w:rPr>
          <w:rFonts w:ascii="Times New Roman" w:eastAsia="Times New Roman" w:hAnsi="Times New Roman" w:cs="Times New Roman"/>
          <w:spacing w:val="107"/>
          <w:sz w:val="24"/>
          <w:szCs w:val="24"/>
          <w:lang w:eastAsia="sk-SK"/>
        </w:rPr>
        <w:t xml:space="preserve"> </w:t>
      </w:r>
      <w:r w:rsidRPr="00BD36DF">
        <w:rPr>
          <w:rFonts w:ascii="Times New Roman" w:eastAsia="Times New Roman" w:hAnsi="Times New Roman" w:cs="Times New Roman"/>
          <w:sz w:val="24"/>
          <w:szCs w:val="24"/>
          <w:lang w:eastAsia="sk-SK"/>
        </w:rPr>
        <w:t>a</w:t>
      </w:r>
      <w:r w:rsidRPr="00BD36DF">
        <w:rPr>
          <w:rFonts w:ascii="Times New Roman" w:eastAsia="Times New Roman" w:hAnsi="Times New Roman" w:cs="Times New Roman"/>
          <w:spacing w:val="107"/>
          <w:sz w:val="24"/>
          <w:szCs w:val="24"/>
          <w:lang w:eastAsia="sk-SK"/>
        </w:rPr>
        <w:t> </w:t>
      </w:r>
      <w:r w:rsidRPr="00BD36DF">
        <w:rPr>
          <w:rFonts w:ascii="Times New Roman" w:eastAsia="Times New Roman" w:hAnsi="Times New Roman" w:cs="Times New Roman"/>
          <w:sz w:val="24"/>
          <w:szCs w:val="24"/>
          <w:lang w:eastAsia="sk-SK"/>
        </w:rPr>
        <w:t>o zrušení smerníc</w:t>
      </w:r>
      <w:r w:rsidRPr="00BD36DF">
        <w:rPr>
          <w:rFonts w:ascii="Times New Roman" w:eastAsia="Times New Roman" w:hAnsi="Times New Roman" w:cs="Times New Roman"/>
          <w:spacing w:val="107"/>
          <w:sz w:val="24"/>
          <w:szCs w:val="24"/>
          <w:lang w:eastAsia="sk-SK"/>
        </w:rPr>
        <w:t xml:space="preserve"> </w:t>
      </w:r>
      <w:r w:rsidRPr="00BD36DF">
        <w:rPr>
          <w:rFonts w:ascii="Times New Roman" w:eastAsia="Times New Roman" w:hAnsi="Times New Roman" w:cs="Times New Roman"/>
          <w:sz w:val="24"/>
          <w:szCs w:val="24"/>
          <w:lang w:eastAsia="sk-SK"/>
        </w:rPr>
        <w:t>2006/48/ES</w:t>
      </w:r>
      <w:r w:rsidRPr="00BD36DF">
        <w:rPr>
          <w:rFonts w:ascii="Times New Roman" w:eastAsia="Times New Roman" w:hAnsi="Times New Roman" w:cs="Times New Roman"/>
          <w:spacing w:val="107"/>
          <w:sz w:val="24"/>
          <w:szCs w:val="24"/>
          <w:lang w:eastAsia="sk-SK"/>
        </w:rPr>
        <w:t xml:space="preserve"> </w:t>
      </w:r>
      <w:r w:rsidRPr="00BD36DF">
        <w:rPr>
          <w:rFonts w:ascii="Times New Roman" w:eastAsia="Times New Roman" w:hAnsi="Times New Roman" w:cs="Times New Roman"/>
          <w:sz w:val="24"/>
          <w:szCs w:val="24"/>
          <w:lang w:eastAsia="sk-SK"/>
        </w:rPr>
        <w:t xml:space="preserve">a 2006/49/ES </w:t>
      </w:r>
      <w:bookmarkStart w:id="1" w:name="_Hlk199860538"/>
      <w:r w:rsidRPr="00BD36DF">
        <w:rPr>
          <w:rFonts w:ascii="Times New Roman" w:eastAsia="Times New Roman" w:hAnsi="Times New Roman" w:cs="Times New Roman"/>
          <w:sz w:val="24"/>
          <w:szCs w:val="24"/>
          <w:lang w:eastAsia="sk-SK"/>
        </w:rPr>
        <w:t>(Ú. v. EÚ L 176, 27.6.2013)</w:t>
      </w:r>
      <w:bookmarkEnd w:id="1"/>
      <w:r w:rsidRPr="00BD36DF">
        <w:rPr>
          <w:rFonts w:ascii="Times New Roman" w:eastAsia="Times New Roman" w:hAnsi="Times New Roman" w:cs="Times New Roman"/>
          <w:sz w:val="24"/>
          <w:szCs w:val="24"/>
          <w:lang w:eastAsia="sk-SK"/>
        </w:rPr>
        <w:t xml:space="preserve"> v platnom znení, </w:t>
      </w:r>
      <w:r w:rsidRPr="00BD36DF">
        <w:rPr>
          <w:rFonts w:ascii="Times New Roman" w:hAnsi="Times New Roman" w:cs="Times New Roman"/>
          <w:sz w:val="24"/>
          <w:szCs w:val="24"/>
        </w:rPr>
        <w:t xml:space="preserve">gestor: </w:t>
      </w:r>
      <w:r w:rsidRPr="00BD36DF">
        <w:rPr>
          <w:rFonts w:ascii="Times New Roman" w:hAnsi="Times New Roman" w:cs="Times New Roman"/>
          <w:iCs/>
          <w:sz w:val="24"/>
          <w:szCs w:val="24"/>
        </w:rPr>
        <w:t xml:space="preserve">MF SR, </w:t>
      </w:r>
      <w:r w:rsidRPr="00BD36DF">
        <w:rPr>
          <w:rFonts w:ascii="Times New Roman" w:hAnsi="Times New Roman" w:cs="Times New Roman"/>
          <w:iCs/>
          <w:noProof/>
          <w:sz w:val="24"/>
          <w:szCs w:val="24"/>
        </w:rPr>
        <w:t>spolugestor: NBS,</w:t>
      </w:r>
    </w:p>
    <w:p w14:paraId="4DDAEE83" w14:textId="3DB4F9EC" w:rsidR="000C6E3F" w:rsidRPr="00BD36DF" w:rsidRDefault="000C6E3F" w:rsidP="0088317A">
      <w:pPr>
        <w:pStyle w:val="Odsekzoznamu"/>
        <w:numPr>
          <w:ilvl w:val="0"/>
          <w:numId w:val="3"/>
        </w:numPr>
        <w:spacing w:after="0" w:line="240" w:lineRule="auto"/>
        <w:ind w:hanging="357"/>
        <w:jc w:val="both"/>
        <w:rPr>
          <w:rFonts w:ascii="Times New Roman" w:eastAsia="Times New Roman" w:hAnsi="Times New Roman" w:cs="Times New Roman"/>
          <w:sz w:val="24"/>
          <w:szCs w:val="24"/>
          <w:lang w:eastAsia="sk-SK"/>
        </w:rPr>
      </w:pPr>
      <w:r w:rsidRPr="00BD36DF">
        <w:rPr>
          <w:rFonts w:ascii="Times New Roman" w:hAnsi="Times New Roman" w:cs="Times New Roman"/>
          <w:iCs/>
          <w:noProof/>
          <w:sz w:val="24"/>
          <w:szCs w:val="24"/>
        </w:rPr>
        <w:t xml:space="preserve">smernica Európskeho parlamentu a Rady </w:t>
      </w:r>
      <w:r w:rsidRPr="00BD36DF">
        <w:rPr>
          <w:rFonts w:ascii="Times New Roman" w:hAnsi="Times New Roman" w:cs="Times New Roman"/>
          <w:iCs/>
          <w:noProof/>
          <w:sz w:val="24"/>
          <w:szCs w:val="24"/>
          <w:u w:val="single"/>
        </w:rPr>
        <w:t>2011/89/EÚ</w:t>
      </w:r>
      <w:r w:rsidRPr="00BD36DF">
        <w:rPr>
          <w:rFonts w:ascii="Times New Roman" w:hAnsi="Times New Roman" w:cs="Times New Roman"/>
          <w:iCs/>
          <w:noProof/>
          <w:sz w:val="24"/>
          <w:szCs w:val="24"/>
        </w:rPr>
        <w:t xml:space="preserve"> zo 16. novembra 2011, ktorou sa menia a dopĺňajú smernice 98/78/ES, 2002/87/ES, 2006/48/ES a</w:t>
      </w:r>
      <w:r w:rsidR="00B22913" w:rsidRPr="00BD36DF">
        <w:rPr>
          <w:rFonts w:ascii="Times New Roman" w:hAnsi="Times New Roman" w:cs="Times New Roman"/>
          <w:iCs/>
          <w:noProof/>
          <w:sz w:val="24"/>
          <w:szCs w:val="24"/>
        </w:rPr>
        <w:t> </w:t>
      </w:r>
      <w:r w:rsidRPr="00BD36DF">
        <w:rPr>
          <w:rFonts w:ascii="Times New Roman" w:hAnsi="Times New Roman" w:cs="Times New Roman"/>
          <w:iCs/>
          <w:noProof/>
          <w:sz w:val="24"/>
          <w:szCs w:val="24"/>
        </w:rPr>
        <w:t xml:space="preserve"> 2009/138/ES, pokiaľ ide o doplnkový dohľad nad finančnými inštitúciami vo finančnom konglomeráte (Ú.v. EÚ L 326, 8.12.2011), gestor: MF SR, spolugestor: NBS,</w:t>
      </w:r>
    </w:p>
    <w:p w14:paraId="4E860883" w14:textId="732987A8" w:rsidR="004E0547" w:rsidRPr="00BD36DF" w:rsidRDefault="00963CA9"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t>n</w:t>
      </w:r>
      <w:r w:rsidR="004E0547" w:rsidRPr="00BD36DF">
        <w:rPr>
          <w:rFonts w:ascii="Times New Roman" w:hAnsi="Times New Roman" w:cs="Times New Roman"/>
          <w:sz w:val="24"/>
          <w:szCs w:val="24"/>
        </w:rPr>
        <w:t>ariadenie Európskeho parlamentu a Rady (ES) č.</w:t>
      </w:r>
      <w:r w:rsidR="004E0547" w:rsidRPr="00BD36DF">
        <w:rPr>
          <w:rFonts w:ascii="Times New Roman" w:hAnsi="Times New Roman" w:cs="Times New Roman"/>
          <w:sz w:val="24"/>
          <w:szCs w:val="24"/>
          <w:u w:val="single"/>
        </w:rPr>
        <w:t> 1606/2002</w:t>
      </w:r>
      <w:r w:rsidR="004E0547" w:rsidRPr="00BD36DF">
        <w:rPr>
          <w:rFonts w:ascii="Times New Roman" w:hAnsi="Times New Roman" w:cs="Times New Roman"/>
          <w:sz w:val="24"/>
          <w:szCs w:val="24"/>
        </w:rPr>
        <w:t xml:space="preserve"> z 19. júla 2002 o uplatňovaní medzinárodných účtovných noriem (</w:t>
      </w:r>
      <w:r w:rsidR="00F928EA" w:rsidRPr="00BD36DF">
        <w:rPr>
          <w:rStyle w:val="Zvraznenie"/>
          <w:rFonts w:ascii="Times New Roman" w:hAnsi="Times New Roman" w:cs="Times New Roman"/>
          <w:i w:val="0"/>
          <w:iCs w:val="0"/>
          <w:sz w:val="24"/>
          <w:szCs w:val="24"/>
        </w:rPr>
        <w:t>Mimoriadne vydanie Ú. v. EÚ, kap. 13/zv. 029; Ú. v. ES L 243, 11.9.2002)</w:t>
      </w:r>
      <w:r w:rsidR="004E0547" w:rsidRPr="00BD36DF">
        <w:rPr>
          <w:rStyle w:val="Zvraznenie"/>
          <w:rFonts w:ascii="Times New Roman" w:hAnsi="Times New Roman" w:cs="Times New Roman"/>
          <w:i w:val="0"/>
          <w:iCs w:val="0"/>
          <w:sz w:val="24"/>
          <w:szCs w:val="24"/>
        </w:rPr>
        <w:t xml:space="preserve"> v platnom znení</w:t>
      </w:r>
      <w:r w:rsidR="004E0547" w:rsidRPr="00BD36DF">
        <w:rPr>
          <w:rStyle w:val="Zvraznenie"/>
          <w:rFonts w:ascii="Times New Roman" w:hAnsi="Times New Roman" w:cs="Times New Roman"/>
          <w:sz w:val="24"/>
          <w:szCs w:val="24"/>
        </w:rPr>
        <w:t xml:space="preserve">, </w:t>
      </w:r>
      <w:r w:rsidR="004E0547" w:rsidRPr="00BD36DF">
        <w:rPr>
          <w:rFonts w:ascii="Times New Roman" w:hAnsi="Times New Roman" w:cs="Times New Roman"/>
          <w:sz w:val="24"/>
          <w:szCs w:val="24"/>
        </w:rPr>
        <w:t xml:space="preserve">gestor: MF SR, </w:t>
      </w:r>
    </w:p>
    <w:p w14:paraId="788D2218" w14:textId="6519EC42" w:rsidR="00B8269F" w:rsidRPr="00BD36DF" w:rsidRDefault="00BE2C02"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t>n</w:t>
      </w:r>
      <w:r w:rsidR="00B8269F" w:rsidRPr="00BD36DF">
        <w:rPr>
          <w:rFonts w:ascii="Times New Roman" w:hAnsi="Times New Roman" w:cs="Times New Roman"/>
          <w:sz w:val="24"/>
          <w:szCs w:val="24"/>
        </w:rPr>
        <w:t xml:space="preserve">ariadenie </w:t>
      </w:r>
      <w:r w:rsidR="00B8269F" w:rsidRPr="00BD36DF">
        <w:rPr>
          <w:rFonts w:ascii="Times New Roman" w:hAnsi="Times New Roman" w:cs="Times New Roman"/>
          <w:bCs/>
          <w:sz w:val="24"/>
          <w:szCs w:val="24"/>
        </w:rPr>
        <w:t>Rady (ES) č.</w:t>
      </w:r>
      <w:r w:rsidR="00B8269F" w:rsidRPr="00BD36DF">
        <w:rPr>
          <w:rFonts w:ascii="Times New Roman" w:hAnsi="Times New Roman" w:cs="Times New Roman"/>
          <w:bCs/>
          <w:sz w:val="24"/>
          <w:szCs w:val="24"/>
          <w:u w:val="single"/>
        </w:rPr>
        <w:t> 139/2004</w:t>
      </w:r>
      <w:r w:rsidR="00B8269F" w:rsidRPr="00BD36DF">
        <w:rPr>
          <w:rFonts w:ascii="Times New Roman" w:hAnsi="Times New Roman" w:cs="Times New Roman"/>
          <w:bCs/>
          <w:sz w:val="24"/>
          <w:szCs w:val="24"/>
        </w:rPr>
        <w:t xml:space="preserve"> z 20. januára 2004 o kontrole koncentrácií medzi podnikmi (Nariadenie ES o fúziách) </w:t>
      </w:r>
      <w:r w:rsidR="00B8269F" w:rsidRPr="00BD36DF">
        <w:rPr>
          <w:rFonts w:ascii="Times New Roman" w:hAnsi="Times New Roman" w:cs="Times New Roman"/>
          <w:bCs/>
          <w:iCs/>
          <w:sz w:val="24"/>
          <w:szCs w:val="24"/>
        </w:rPr>
        <w:t>(</w:t>
      </w:r>
      <w:r w:rsidR="00F928EA" w:rsidRPr="00BD36DF">
        <w:rPr>
          <w:rStyle w:val="Zvraznenie"/>
          <w:rFonts w:ascii="Times New Roman" w:hAnsi="Times New Roman" w:cs="Times New Roman"/>
          <w:i w:val="0"/>
          <w:iCs w:val="0"/>
          <w:sz w:val="24"/>
          <w:szCs w:val="24"/>
        </w:rPr>
        <w:t>Mimoriadne vydanie Ú. v. EÚ, kap. 08/zv. 003; Ú. v. EÚ L 24, 29.1.2004),</w:t>
      </w:r>
      <w:r w:rsidR="00B8269F" w:rsidRPr="00BD36DF">
        <w:rPr>
          <w:rStyle w:val="Zvraznenie"/>
          <w:rFonts w:ascii="Times New Roman" w:hAnsi="Times New Roman" w:cs="Times New Roman"/>
          <w:i w:val="0"/>
          <w:iCs w:val="0"/>
          <w:sz w:val="24"/>
          <w:szCs w:val="24"/>
        </w:rPr>
        <w:t xml:space="preserve"> </w:t>
      </w:r>
      <w:r w:rsidR="00B8269F" w:rsidRPr="00BD36DF">
        <w:rPr>
          <w:rFonts w:ascii="Times New Roman" w:hAnsi="Times New Roman" w:cs="Times New Roman"/>
          <w:sz w:val="24"/>
          <w:szCs w:val="24"/>
        </w:rPr>
        <w:t xml:space="preserve">gestor: </w:t>
      </w:r>
      <w:r w:rsidRPr="00BD36DF">
        <w:rPr>
          <w:rFonts w:ascii="Times New Roman" w:hAnsi="Times New Roman" w:cs="Times New Roman"/>
          <w:sz w:val="24"/>
          <w:szCs w:val="24"/>
        </w:rPr>
        <w:t>PMÚ</w:t>
      </w:r>
      <w:r w:rsidR="00B8269F" w:rsidRPr="00BD36DF">
        <w:rPr>
          <w:rFonts w:ascii="Times New Roman" w:hAnsi="Times New Roman" w:cs="Times New Roman"/>
          <w:sz w:val="24"/>
          <w:szCs w:val="24"/>
        </w:rPr>
        <w:t xml:space="preserve"> SR,</w:t>
      </w:r>
    </w:p>
    <w:p w14:paraId="19F5EFE9" w14:textId="721137DA" w:rsidR="00963CA9" w:rsidRPr="00BD36DF" w:rsidRDefault="00963CA9"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Style w:val="cf01"/>
          <w:rFonts w:ascii="Times New Roman" w:hAnsi="Times New Roman" w:cs="Times New Roman"/>
          <w:sz w:val="24"/>
          <w:szCs w:val="24"/>
        </w:rPr>
        <w:t xml:space="preserve">nariadenie Európskeho parlamentu a Rady (ES) č. </w:t>
      </w:r>
      <w:r w:rsidRPr="00BD36DF">
        <w:rPr>
          <w:rStyle w:val="cf01"/>
          <w:rFonts w:ascii="Times New Roman" w:hAnsi="Times New Roman" w:cs="Times New Roman"/>
          <w:sz w:val="24"/>
          <w:szCs w:val="24"/>
          <w:u w:val="single"/>
        </w:rPr>
        <w:t>401/2009</w:t>
      </w:r>
      <w:r w:rsidRPr="00BD36DF">
        <w:rPr>
          <w:rStyle w:val="cf01"/>
          <w:rFonts w:ascii="Times New Roman" w:hAnsi="Times New Roman" w:cs="Times New Roman"/>
          <w:sz w:val="24"/>
          <w:szCs w:val="24"/>
        </w:rPr>
        <w:t xml:space="preserve"> z 23. apríla 2009 o Európskej environmentálnej agentúre a Európskej environmentálnej informačnej a monitorovacej </w:t>
      </w:r>
      <w:r w:rsidR="00F928EA" w:rsidRPr="00BD36DF">
        <w:rPr>
          <w:rStyle w:val="cf01"/>
          <w:rFonts w:ascii="Times New Roman" w:hAnsi="Times New Roman" w:cs="Times New Roman"/>
          <w:sz w:val="24"/>
          <w:szCs w:val="24"/>
        </w:rPr>
        <w:t xml:space="preserve">sieti (kodifikované znenie) </w:t>
      </w:r>
      <w:r w:rsidRPr="00BD36DF">
        <w:rPr>
          <w:rStyle w:val="cf11"/>
          <w:rFonts w:ascii="Times New Roman" w:hAnsi="Times New Roman" w:cs="Times New Roman"/>
          <w:i w:val="0"/>
          <w:iCs w:val="0"/>
          <w:sz w:val="24"/>
          <w:szCs w:val="24"/>
        </w:rPr>
        <w:t>(</w:t>
      </w:r>
      <w:r w:rsidRPr="00BD36DF">
        <w:rPr>
          <w:rStyle w:val="cf21"/>
          <w:rFonts w:ascii="Times New Roman" w:hAnsi="Times New Roman" w:cs="Times New Roman"/>
          <w:sz w:val="24"/>
          <w:szCs w:val="24"/>
        </w:rPr>
        <w:t>Ú. v. E</w:t>
      </w:r>
      <w:r w:rsidR="00F928EA" w:rsidRPr="00BD36DF">
        <w:rPr>
          <w:rStyle w:val="cf21"/>
          <w:rFonts w:ascii="Times New Roman" w:hAnsi="Times New Roman" w:cs="Times New Roman"/>
          <w:sz w:val="24"/>
          <w:szCs w:val="24"/>
        </w:rPr>
        <w:t>Ú</w:t>
      </w:r>
      <w:r w:rsidRPr="00BD36DF">
        <w:rPr>
          <w:rStyle w:val="cf21"/>
          <w:rFonts w:ascii="Times New Roman" w:hAnsi="Times New Roman" w:cs="Times New Roman"/>
          <w:sz w:val="24"/>
          <w:szCs w:val="24"/>
        </w:rPr>
        <w:t xml:space="preserve"> L 126, 21.5.2009) v platnom znení, </w:t>
      </w:r>
      <w:r w:rsidRPr="00BD36DF">
        <w:rPr>
          <w:rFonts w:ascii="Times New Roman" w:hAnsi="Times New Roman" w:cs="Times New Roman"/>
          <w:sz w:val="24"/>
          <w:szCs w:val="24"/>
        </w:rPr>
        <w:t>gestor: M</w:t>
      </w:r>
      <w:r w:rsidR="00FB018C" w:rsidRPr="00BD36DF">
        <w:rPr>
          <w:rFonts w:ascii="Times New Roman" w:hAnsi="Times New Roman" w:cs="Times New Roman"/>
          <w:sz w:val="24"/>
          <w:szCs w:val="24"/>
        </w:rPr>
        <w:t>ŽP</w:t>
      </w:r>
      <w:r w:rsidRPr="00BD36DF">
        <w:rPr>
          <w:rFonts w:ascii="Times New Roman" w:hAnsi="Times New Roman" w:cs="Times New Roman"/>
          <w:sz w:val="24"/>
          <w:szCs w:val="24"/>
        </w:rPr>
        <w:t xml:space="preserve"> SR</w:t>
      </w:r>
      <w:r w:rsidRPr="00BD36DF">
        <w:rPr>
          <w:rFonts w:ascii="Times New Roman" w:hAnsi="Times New Roman" w:cs="Times New Roman"/>
          <w:iCs/>
          <w:sz w:val="24"/>
          <w:szCs w:val="24"/>
        </w:rPr>
        <w:t>,</w:t>
      </w:r>
    </w:p>
    <w:p w14:paraId="214A2777" w14:textId="4FCC5784" w:rsidR="008545C6" w:rsidRPr="00BD36DF" w:rsidRDefault="00FB7EF9"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nariadenie</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Európskeho</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parlamentu</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a Rady (EÚ)</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č. </w:t>
      </w:r>
      <w:r w:rsidRPr="00BD36DF">
        <w:rPr>
          <w:rFonts w:ascii="Times New Roman" w:eastAsia="Times New Roman" w:hAnsi="Times New Roman" w:cs="Times New Roman"/>
          <w:sz w:val="24"/>
          <w:szCs w:val="24"/>
          <w:u w:val="single"/>
          <w:lang w:eastAsia="sk-SK"/>
        </w:rPr>
        <w:t>1092/2010</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z 24. novembra</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2010 o makroprudenciálnom dohľade</w:t>
      </w:r>
      <w:r w:rsidRPr="00BD36DF">
        <w:rPr>
          <w:rFonts w:ascii="Times New Roman" w:eastAsia="Times New Roman" w:hAnsi="Times New Roman" w:cs="Times New Roman"/>
          <w:spacing w:val="74"/>
          <w:sz w:val="24"/>
          <w:szCs w:val="24"/>
          <w:lang w:eastAsia="sk-SK"/>
        </w:rPr>
        <w:t xml:space="preserve"> </w:t>
      </w:r>
      <w:r w:rsidRPr="00BD36DF">
        <w:rPr>
          <w:rFonts w:ascii="Times New Roman" w:eastAsia="Times New Roman" w:hAnsi="Times New Roman" w:cs="Times New Roman"/>
          <w:sz w:val="24"/>
          <w:szCs w:val="24"/>
          <w:lang w:eastAsia="sk-SK"/>
        </w:rPr>
        <w:t>Európskej</w:t>
      </w:r>
      <w:r w:rsidRPr="00BD36DF">
        <w:rPr>
          <w:rFonts w:ascii="Times New Roman" w:eastAsia="Times New Roman" w:hAnsi="Times New Roman" w:cs="Times New Roman"/>
          <w:spacing w:val="74"/>
          <w:sz w:val="24"/>
          <w:szCs w:val="24"/>
          <w:lang w:eastAsia="sk-SK"/>
        </w:rPr>
        <w:t xml:space="preserve"> </w:t>
      </w:r>
      <w:r w:rsidRPr="00BD36DF">
        <w:rPr>
          <w:rFonts w:ascii="Times New Roman" w:eastAsia="Times New Roman" w:hAnsi="Times New Roman" w:cs="Times New Roman"/>
          <w:sz w:val="24"/>
          <w:szCs w:val="24"/>
          <w:lang w:eastAsia="sk-SK"/>
        </w:rPr>
        <w:t>únie</w:t>
      </w:r>
      <w:r w:rsidRPr="00BD36DF">
        <w:rPr>
          <w:rFonts w:ascii="Times New Roman" w:eastAsia="Times New Roman" w:hAnsi="Times New Roman" w:cs="Times New Roman"/>
          <w:spacing w:val="74"/>
          <w:sz w:val="24"/>
          <w:szCs w:val="24"/>
          <w:lang w:eastAsia="sk-SK"/>
        </w:rPr>
        <w:t xml:space="preserve"> </w:t>
      </w:r>
      <w:r w:rsidRPr="00BD36DF">
        <w:rPr>
          <w:rFonts w:ascii="Times New Roman" w:eastAsia="Times New Roman" w:hAnsi="Times New Roman" w:cs="Times New Roman"/>
          <w:sz w:val="24"/>
          <w:szCs w:val="24"/>
          <w:lang w:eastAsia="sk-SK"/>
        </w:rPr>
        <w:t>nad</w:t>
      </w:r>
      <w:r w:rsidRPr="00BD36DF">
        <w:rPr>
          <w:rFonts w:ascii="Times New Roman" w:eastAsia="Times New Roman" w:hAnsi="Times New Roman" w:cs="Times New Roman"/>
          <w:spacing w:val="74"/>
          <w:sz w:val="24"/>
          <w:szCs w:val="24"/>
          <w:lang w:eastAsia="sk-SK"/>
        </w:rPr>
        <w:t xml:space="preserve"> </w:t>
      </w:r>
      <w:r w:rsidRPr="00BD36DF">
        <w:rPr>
          <w:rFonts w:ascii="Times New Roman" w:eastAsia="Times New Roman" w:hAnsi="Times New Roman" w:cs="Times New Roman"/>
          <w:sz w:val="24"/>
          <w:szCs w:val="24"/>
          <w:lang w:eastAsia="sk-SK"/>
        </w:rPr>
        <w:t>finančným</w:t>
      </w:r>
      <w:r w:rsidRPr="00BD36DF">
        <w:rPr>
          <w:rFonts w:ascii="Times New Roman" w:eastAsia="Times New Roman" w:hAnsi="Times New Roman" w:cs="Times New Roman"/>
          <w:spacing w:val="74"/>
          <w:sz w:val="24"/>
          <w:szCs w:val="24"/>
          <w:lang w:eastAsia="sk-SK"/>
        </w:rPr>
        <w:t xml:space="preserve"> </w:t>
      </w:r>
      <w:r w:rsidRPr="00BD36DF">
        <w:rPr>
          <w:rFonts w:ascii="Times New Roman" w:eastAsia="Times New Roman" w:hAnsi="Times New Roman" w:cs="Times New Roman"/>
          <w:sz w:val="24"/>
          <w:szCs w:val="24"/>
          <w:lang w:eastAsia="sk-SK"/>
        </w:rPr>
        <w:t>systémom</w:t>
      </w:r>
      <w:r w:rsidRPr="00BD36DF">
        <w:rPr>
          <w:rFonts w:ascii="Times New Roman" w:eastAsia="Times New Roman" w:hAnsi="Times New Roman" w:cs="Times New Roman"/>
          <w:spacing w:val="74"/>
          <w:sz w:val="24"/>
          <w:szCs w:val="24"/>
          <w:lang w:eastAsia="sk-SK"/>
        </w:rPr>
        <w:t xml:space="preserve"> </w:t>
      </w:r>
      <w:r w:rsidRPr="00BD36DF">
        <w:rPr>
          <w:rFonts w:ascii="Times New Roman" w:eastAsia="Times New Roman" w:hAnsi="Times New Roman" w:cs="Times New Roman"/>
          <w:sz w:val="24"/>
          <w:szCs w:val="24"/>
          <w:lang w:eastAsia="sk-SK"/>
        </w:rPr>
        <w:t>a o zriadení Európskeho výboru pre systémové riziká (Ú. v. EÚ L 331, 15.12.2010)</w:t>
      </w:r>
      <w:r w:rsidR="0066120D" w:rsidRPr="00BD36DF">
        <w:rPr>
          <w:rFonts w:ascii="Times New Roman" w:eastAsia="Times New Roman" w:hAnsi="Times New Roman" w:cs="Times New Roman"/>
          <w:sz w:val="24"/>
          <w:szCs w:val="24"/>
          <w:lang w:eastAsia="sk-SK"/>
        </w:rPr>
        <w:t xml:space="preserve"> v platnom znení</w:t>
      </w:r>
      <w:r w:rsidRPr="00BD36DF">
        <w:rPr>
          <w:rFonts w:ascii="Times New Roman" w:eastAsia="Times New Roman" w:hAnsi="Times New Roman" w:cs="Times New Roman"/>
          <w:sz w:val="24"/>
          <w:szCs w:val="24"/>
          <w:lang w:eastAsia="sk-SK"/>
        </w:rPr>
        <w:t>,</w:t>
      </w:r>
      <w:r w:rsidR="00F53D97" w:rsidRPr="00BD36DF">
        <w:rPr>
          <w:rFonts w:ascii="Times New Roman" w:eastAsia="Times New Roman" w:hAnsi="Times New Roman" w:cs="Times New Roman"/>
          <w:sz w:val="24"/>
          <w:szCs w:val="24"/>
          <w:lang w:eastAsia="sk-SK"/>
        </w:rPr>
        <w:t xml:space="preserve"> </w:t>
      </w:r>
      <w:r w:rsidR="00C604D2" w:rsidRPr="00BD36DF">
        <w:rPr>
          <w:rFonts w:ascii="Times New Roman" w:hAnsi="Times New Roman" w:cs="Times New Roman"/>
          <w:sz w:val="24"/>
          <w:szCs w:val="24"/>
        </w:rPr>
        <w:t>gestor</w:t>
      </w:r>
      <w:r w:rsidR="00F52EDE" w:rsidRPr="00BD36DF">
        <w:rPr>
          <w:rFonts w:ascii="Times New Roman" w:hAnsi="Times New Roman" w:cs="Times New Roman"/>
          <w:sz w:val="24"/>
          <w:szCs w:val="24"/>
        </w:rPr>
        <w:t>i</w:t>
      </w:r>
      <w:r w:rsidR="00C604D2" w:rsidRPr="00BD36DF">
        <w:rPr>
          <w:rFonts w:ascii="Times New Roman" w:hAnsi="Times New Roman" w:cs="Times New Roman"/>
          <w:sz w:val="24"/>
          <w:szCs w:val="24"/>
        </w:rPr>
        <w:t>: MF SR, NBS</w:t>
      </w:r>
      <w:r w:rsidR="00C02C4C" w:rsidRPr="00BD36DF">
        <w:rPr>
          <w:rFonts w:ascii="Times New Roman" w:hAnsi="Times New Roman" w:cs="Times New Roman"/>
          <w:iCs/>
          <w:sz w:val="24"/>
          <w:szCs w:val="24"/>
        </w:rPr>
        <w:t>,</w:t>
      </w:r>
    </w:p>
    <w:p w14:paraId="34D8D739" w14:textId="6D46378B" w:rsidR="00FB7EF9" w:rsidRPr="00BD36DF" w:rsidRDefault="00FB7EF9"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nariadenie</w:t>
      </w:r>
      <w:r w:rsidRPr="00BD36DF">
        <w:rPr>
          <w:rFonts w:ascii="Times New Roman" w:eastAsia="Times New Roman" w:hAnsi="Times New Roman" w:cs="Times New Roman"/>
          <w:spacing w:val="75"/>
          <w:sz w:val="24"/>
          <w:szCs w:val="24"/>
          <w:lang w:eastAsia="sk-SK"/>
        </w:rPr>
        <w:t xml:space="preserve"> </w:t>
      </w:r>
      <w:r w:rsidRPr="00BD36DF">
        <w:rPr>
          <w:rFonts w:ascii="Times New Roman" w:eastAsia="Times New Roman" w:hAnsi="Times New Roman" w:cs="Times New Roman"/>
          <w:sz w:val="24"/>
          <w:szCs w:val="24"/>
          <w:lang w:eastAsia="sk-SK"/>
        </w:rPr>
        <w:t>Európskeho</w:t>
      </w:r>
      <w:r w:rsidRPr="00BD36DF">
        <w:rPr>
          <w:rFonts w:ascii="Times New Roman" w:eastAsia="Times New Roman" w:hAnsi="Times New Roman" w:cs="Times New Roman"/>
          <w:spacing w:val="75"/>
          <w:sz w:val="24"/>
          <w:szCs w:val="24"/>
          <w:lang w:eastAsia="sk-SK"/>
        </w:rPr>
        <w:t xml:space="preserve"> </w:t>
      </w:r>
      <w:r w:rsidRPr="00BD36DF">
        <w:rPr>
          <w:rFonts w:ascii="Times New Roman" w:eastAsia="Times New Roman" w:hAnsi="Times New Roman" w:cs="Times New Roman"/>
          <w:sz w:val="24"/>
          <w:szCs w:val="24"/>
          <w:lang w:eastAsia="sk-SK"/>
        </w:rPr>
        <w:t>parlamentu</w:t>
      </w:r>
      <w:r w:rsidRPr="00BD36DF">
        <w:rPr>
          <w:rFonts w:ascii="Times New Roman" w:eastAsia="Times New Roman" w:hAnsi="Times New Roman" w:cs="Times New Roman"/>
          <w:spacing w:val="75"/>
          <w:sz w:val="24"/>
          <w:szCs w:val="24"/>
          <w:lang w:eastAsia="sk-SK"/>
        </w:rPr>
        <w:t xml:space="preserve"> </w:t>
      </w:r>
      <w:r w:rsidRPr="00BD36DF">
        <w:rPr>
          <w:rFonts w:ascii="Times New Roman" w:eastAsia="Times New Roman" w:hAnsi="Times New Roman" w:cs="Times New Roman"/>
          <w:sz w:val="24"/>
          <w:szCs w:val="24"/>
          <w:lang w:eastAsia="sk-SK"/>
        </w:rPr>
        <w:t>a</w:t>
      </w:r>
      <w:r w:rsidR="00F53D97" w:rsidRPr="00BD36DF">
        <w:rPr>
          <w:rFonts w:ascii="Times New Roman" w:eastAsia="Times New Roman" w:hAnsi="Times New Roman" w:cs="Times New Roman"/>
          <w:sz w:val="24"/>
          <w:szCs w:val="24"/>
          <w:lang w:eastAsia="sk-SK"/>
        </w:rPr>
        <w:t> </w:t>
      </w:r>
      <w:r w:rsidRPr="00BD36DF">
        <w:rPr>
          <w:rFonts w:ascii="Times New Roman" w:eastAsia="Times New Roman" w:hAnsi="Times New Roman" w:cs="Times New Roman"/>
          <w:sz w:val="24"/>
          <w:szCs w:val="24"/>
          <w:lang w:eastAsia="sk-SK"/>
        </w:rPr>
        <w:t>Rady</w:t>
      </w:r>
      <w:r w:rsidR="00F53D97" w:rsidRPr="00BD36DF">
        <w:rPr>
          <w:rFonts w:ascii="Times New Roman" w:eastAsia="Times New Roman" w:hAnsi="Times New Roman" w:cs="Times New Roman"/>
          <w:sz w:val="24"/>
          <w:szCs w:val="24"/>
          <w:lang w:eastAsia="sk-SK"/>
        </w:rPr>
        <w:t xml:space="preserve"> </w:t>
      </w:r>
      <w:r w:rsidRPr="00BD36DF">
        <w:rPr>
          <w:rFonts w:ascii="Times New Roman" w:eastAsia="Times New Roman" w:hAnsi="Times New Roman" w:cs="Times New Roman"/>
          <w:sz w:val="24"/>
          <w:szCs w:val="24"/>
          <w:lang w:eastAsia="sk-SK"/>
        </w:rPr>
        <w:t>(EÚ)</w:t>
      </w:r>
      <w:r w:rsidRPr="00BD36DF">
        <w:rPr>
          <w:rFonts w:ascii="Times New Roman" w:eastAsia="Times New Roman" w:hAnsi="Times New Roman" w:cs="Times New Roman"/>
          <w:spacing w:val="75"/>
          <w:sz w:val="24"/>
          <w:szCs w:val="24"/>
          <w:lang w:eastAsia="sk-SK"/>
        </w:rPr>
        <w:t xml:space="preserve"> </w:t>
      </w:r>
      <w:r w:rsidRPr="00BD36DF">
        <w:rPr>
          <w:rFonts w:ascii="Times New Roman" w:eastAsia="Times New Roman" w:hAnsi="Times New Roman" w:cs="Times New Roman"/>
          <w:sz w:val="24"/>
          <w:szCs w:val="24"/>
          <w:lang w:eastAsia="sk-SK"/>
        </w:rPr>
        <w:t>č. </w:t>
      </w:r>
      <w:r w:rsidRPr="00BD36DF">
        <w:rPr>
          <w:rFonts w:ascii="Times New Roman" w:eastAsia="Times New Roman" w:hAnsi="Times New Roman" w:cs="Times New Roman"/>
          <w:sz w:val="24"/>
          <w:szCs w:val="24"/>
          <w:u w:val="single"/>
          <w:lang w:eastAsia="sk-SK"/>
        </w:rPr>
        <w:t>1093/2010</w:t>
      </w:r>
      <w:r w:rsidRPr="00BD36DF">
        <w:rPr>
          <w:rFonts w:ascii="Times New Roman" w:eastAsia="Times New Roman" w:hAnsi="Times New Roman" w:cs="Times New Roman"/>
          <w:spacing w:val="75"/>
          <w:sz w:val="24"/>
          <w:szCs w:val="24"/>
          <w:lang w:eastAsia="sk-SK"/>
        </w:rPr>
        <w:t xml:space="preserve"> </w:t>
      </w:r>
      <w:r w:rsidRPr="00BD36DF">
        <w:rPr>
          <w:rFonts w:ascii="Times New Roman" w:eastAsia="Times New Roman" w:hAnsi="Times New Roman" w:cs="Times New Roman"/>
          <w:sz w:val="24"/>
          <w:szCs w:val="24"/>
          <w:lang w:eastAsia="sk-SK"/>
        </w:rPr>
        <w:t>z 24. novembra</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2010, ktorým</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sa</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zriaďuje</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Európsky</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orgán</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dohľadu</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(Európsky</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orgán</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pre</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bankovníctvo)</w:t>
      </w:r>
      <w:r w:rsidRPr="00BD36DF">
        <w:rPr>
          <w:rFonts w:ascii="Times New Roman" w:eastAsia="Times New Roman" w:hAnsi="Times New Roman" w:cs="Times New Roman"/>
          <w:spacing w:val="14"/>
          <w:sz w:val="24"/>
          <w:szCs w:val="24"/>
          <w:lang w:eastAsia="sk-SK"/>
        </w:rPr>
        <w:t xml:space="preserve"> </w:t>
      </w:r>
      <w:r w:rsidRPr="00BD36DF">
        <w:rPr>
          <w:rFonts w:ascii="Times New Roman" w:eastAsia="Times New Roman" w:hAnsi="Times New Roman" w:cs="Times New Roman"/>
          <w:sz w:val="24"/>
          <w:szCs w:val="24"/>
          <w:lang w:eastAsia="sk-SK"/>
        </w:rPr>
        <w:t>a ktorým sa</w:t>
      </w:r>
      <w:r w:rsidRPr="00BD36DF">
        <w:rPr>
          <w:rFonts w:ascii="Times New Roman" w:eastAsia="Times New Roman" w:hAnsi="Times New Roman" w:cs="Times New Roman"/>
          <w:spacing w:val="32"/>
          <w:sz w:val="24"/>
          <w:szCs w:val="24"/>
          <w:lang w:eastAsia="sk-SK"/>
        </w:rPr>
        <w:t xml:space="preserve"> </w:t>
      </w:r>
      <w:r w:rsidRPr="00BD36DF">
        <w:rPr>
          <w:rFonts w:ascii="Times New Roman" w:eastAsia="Times New Roman" w:hAnsi="Times New Roman" w:cs="Times New Roman"/>
          <w:sz w:val="24"/>
          <w:szCs w:val="24"/>
          <w:lang w:eastAsia="sk-SK"/>
        </w:rPr>
        <w:t>mení</w:t>
      </w:r>
      <w:r w:rsidRPr="00BD36DF">
        <w:rPr>
          <w:rFonts w:ascii="Times New Roman" w:eastAsia="Times New Roman" w:hAnsi="Times New Roman" w:cs="Times New Roman"/>
          <w:spacing w:val="32"/>
          <w:sz w:val="24"/>
          <w:szCs w:val="24"/>
          <w:lang w:eastAsia="sk-SK"/>
        </w:rPr>
        <w:t xml:space="preserve"> </w:t>
      </w:r>
      <w:r w:rsidRPr="00BD36DF">
        <w:rPr>
          <w:rFonts w:ascii="Times New Roman" w:eastAsia="Times New Roman" w:hAnsi="Times New Roman" w:cs="Times New Roman"/>
          <w:sz w:val="24"/>
          <w:szCs w:val="24"/>
          <w:lang w:eastAsia="sk-SK"/>
        </w:rPr>
        <w:t>a dopĺňa rozhodnutie</w:t>
      </w:r>
      <w:r w:rsidRPr="00BD36DF">
        <w:rPr>
          <w:rFonts w:ascii="Times New Roman" w:eastAsia="Times New Roman" w:hAnsi="Times New Roman" w:cs="Times New Roman"/>
          <w:spacing w:val="32"/>
          <w:sz w:val="24"/>
          <w:szCs w:val="24"/>
          <w:lang w:eastAsia="sk-SK"/>
        </w:rPr>
        <w:t xml:space="preserve"> </w:t>
      </w:r>
      <w:r w:rsidRPr="00BD36DF">
        <w:rPr>
          <w:rFonts w:ascii="Times New Roman" w:eastAsia="Times New Roman" w:hAnsi="Times New Roman" w:cs="Times New Roman"/>
          <w:sz w:val="24"/>
          <w:szCs w:val="24"/>
          <w:lang w:eastAsia="sk-SK"/>
        </w:rPr>
        <w:t>č. 716/2009/ES</w:t>
      </w:r>
      <w:r w:rsidRPr="00BD36DF">
        <w:rPr>
          <w:rFonts w:ascii="Times New Roman" w:eastAsia="Times New Roman" w:hAnsi="Times New Roman" w:cs="Times New Roman"/>
          <w:spacing w:val="32"/>
          <w:sz w:val="24"/>
          <w:szCs w:val="24"/>
          <w:lang w:eastAsia="sk-SK"/>
        </w:rPr>
        <w:t xml:space="preserve"> </w:t>
      </w:r>
      <w:r w:rsidRPr="00BD36DF">
        <w:rPr>
          <w:rFonts w:ascii="Times New Roman" w:eastAsia="Times New Roman" w:hAnsi="Times New Roman" w:cs="Times New Roman"/>
          <w:sz w:val="24"/>
          <w:szCs w:val="24"/>
          <w:lang w:eastAsia="sk-SK"/>
        </w:rPr>
        <w:t>a zrušuje rozhodnutie</w:t>
      </w:r>
      <w:r w:rsidRPr="00BD36DF">
        <w:rPr>
          <w:rFonts w:ascii="Times New Roman" w:eastAsia="Times New Roman" w:hAnsi="Times New Roman" w:cs="Times New Roman"/>
          <w:spacing w:val="32"/>
          <w:sz w:val="24"/>
          <w:szCs w:val="24"/>
          <w:lang w:eastAsia="sk-SK"/>
        </w:rPr>
        <w:t xml:space="preserve"> </w:t>
      </w:r>
      <w:r w:rsidRPr="00BD36DF">
        <w:rPr>
          <w:rFonts w:ascii="Times New Roman" w:eastAsia="Times New Roman" w:hAnsi="Times New Roman" w:cs="Times New Roman"/>
          <w:sz w:val="24"/>
          <w:szCs w:val="24"/>
          <w:lang w:eastAsia="sk-SK"/>
        </w:rPr>
        <w:t>Komisie</w:t>
      </w:r>
      <w:r w:rsidRPr="00BD36DF">
        <w:rPr>
          <w:rFonts w:ascii="Times New Roman" w:eastAsia="Times New Roman" w:hAnsi="Times New Roman" w:cs="Times New Roman"/>
          <w:spacing w:val="32"/>
          <w:sz w:val="24"/>
          <w:szCs w:val="24"/>
          <w:lang w:eastAsia="sk-SK"/>
        </w:rPr>
        <w:t xml:space="preserve"> </w:t>
      </w:r>
      <w:r w:rsidRPr="00BD36DF">
        <w:rPr>
          <w:rFonts w:ascii="Times New Roman" w:eastAsia="Times New Roman" w:hAnsi="Times New Roman" w:cs="Times New Roman"/>
          <w:sz w:val="24"/>
          <w:szCs w:val="24"/>
          <w:lang w:eastAsia="sk-SK"/>
        </w:rPr>
        <w:t>2009/78/ES (Ú. v. EÚ L 331, 15.12.2010)</w:t>
      </w:r>
      <w:r w:rsidR="0066120D" w:rsidRPr="00BD36DF">
        <w:rPr>
          <w:rFonts w:ascii="Times New Roman" w:eastAsia="Times New Roman" w:hAnsi="Times New Roman" w:cs="Times New Roman"/>
          <w:sz w:val="24"/>
          <w:szCs w:val="24"/>
          <w:lang w:eastAsia="sk-SK"/>
        </w:rPr>
        <w:t xml:space="preserve"> v platnom znení</w:t>
      </w:r>
      <w:r w:rsidRPr="00BD36DF">
        <w:rPr>
          <w:rFonts w:ascii="Times New Roman" w:eastAsia="Times New Roman" w:hAnsi="Times New Roman" w:cs="Times New Roman"/>
          <w:sz w:val="24"/>
          <w:szCs w:val="24"/>
          <w:lang w:eastAsia="sk-SK"/>
        </w:rPr>
        <w:t>,</w:t>
      </w:r>
      <w:r w:rsidR="00F53D97" w:rsidRPr="00BD36DF">
        <w:rPr>
          <w:rFonts w:ascii="Times New Roman" w:eastAsia="Times New Roman" w:hAnsi="Times New Roman" w:cs="Times New Roman"/>
          <w:sz w:val="24"/>
          <w:szCs w:val="24"/>
          <w:lang w:eastAsia="sk-SK"/>
        </w:rPr>
        <w:t xml:space="preserve"> </w:t>
      </w:r>
      <w:r w:rsidR="00C604D2" w:rsidRPr="00BD36DF">
        <w:rPr>
          <w:rFonts w:ascii="Times New Roman" w:hAnsi="Times New Roman" w:cs="Times New Roman"/>
          <w:sz w:val="24"/>
          <w:szCs w:val="24"/>
        </w:rPr>
        <w:t>gestor</w:t>
      </w:r>
      <w:r w:rsidR="00F52EDE" w:rsidRPr="00BD36DF">
        <w:rPr>
          <w:rFonts w:ascii="Times New Roman" w:hAnsi="Times New Roman" w:cs="Times New Roman"/>
          <w:sz w:val="24"/>
          <w:szCs w:val="24"/>
        </w:rPr>
        <w:t>i</w:t>
      </w:r>
      <w:r w:rsidR="00C604D2" w:rsidRPr="00BD36DF">
        <w:rPr>
          <w:rFonts w:ascii="Times New Roman" w:hAnsi="Times New Roman" w:cs="Times New Roman"/>
          <w:sz w:val="24"/>
          <w:szCs w:val="24"/>
        </w:rPr>
        <w:t>: MF SR, NBS</w:t>
      </w:r>
      <w:r w:rsidR="00C02C4C" w:rsidRPr="00BD36DF">
        <w:rPr>
          <w:rFonts w:ascii="Times New Roman" w:hAnsi="Times New Roman" w:cs="Times New Roman"/>
          <w:iCs/>
          <w:sz w:val="24"/>
          <w:szCs w:val="24"/>
        </w:rPr>
        <w:t>,</w:t>
      </w:r>
      <w:r w:rsidR="00BA6B55" w:rsidRPr="00BD36DF">
        <w:rPr>
          <w:rFonts w:ascii="Times New Roman" w:hAnsi="Times New Roman" w:cs="Times New Roman"/>
          <w:iCs/>
          <w:sz w:val="24"/>
          <w:szCs w:val="24"/>
        </w:rPr>
        <w:t xml:space="preserve"> </w:t>
      </w:r>
    </w:p>
    <w:p w14:paraId="43EDA775" w14:textId="7641081B" w:rsidR="00BA6B55" w:rsidRPr="00BD36DF" w:rsidRDefault="00BE2C02"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t>n</w:t>
      </w:r>
      <w:r w:rsidR="00BA6B55" w:rsidRPr="00BD36DF">
        <w:rPr>
          <w:rFonts w:ascii="Times New Roman" w:hAnsi="Times New Roman" w:cs="Times New Roman"/>
          <w:sz w:val="24"/>
          <w:szCs w:val="24"/>
        </w:rPr>
        <w:t xml:space="preserve">ariadenie Európskeho parlamentu a Rady (EÚ) č. </w:t>
      </w:r>
      <w:r w:rsidR="00BA6B55" w:rsidRPr="00BD36DF">
        <w:rPr>
          <w:rFonts w:ascii="Times New Roman" w:hAnsi="Times New Roman" w:cs="Times New Roman"/>
          <w:sz w:val="24"/>
          <w:szCs w:val="24"/>
          <w:u w:val="single"/>
        </w:rPr>
        <w:t>648/2012</w:t>
      </w:r>
      <w:r w:rsidR="00BA6B55" w:rsidRPr="00BD36DF">
        <w:rPr>
          <w:rFonts w:ascii="Times New Roman" w:hAnsi="Times New Roman" w:cs="Times New Roman"/>
          <w:sz w:val="24"/>
          <w:szCs w:val="24"/>
        </w:rPr>
        <w:t xml:space="preserve"> zo 4. júla 2012 o mimoburzových derivátoch, centrálnych protistranách a archívoch obchodných údajov </w:t>
      </w:r>
      <w:r w:rsidR="00BA6B55" w:rsidRPr="00BD36DF">
        <w:rPr>
          <w:rFonts w:ascii="Times New Roman" w:eastAsia="Arial Unicode MS" w:hAnsi="Times New Roman" w:cs="Times New Roman"/>
          <w:sz w:val="24"/>
          <w:szCs w:val="24"/>
          <w:shd w:val="clear" w:color="auto" w:fill="FFFFFF"/>
        </w:rPr>
        <w:t>(Ú. v. E</w:t>
      </w:r>
      <w:r w:rsidR="00F928EA" w:rsidRPr="00BD36DF">
        <w:rPr>
          <w:rFonts w:ascii="Times New Roman" w:eastAsia="Arial Unicode MS" w:hAnsi="Times New Roman" w:cs="Times New Roman"/>
          <w:sz w:val="24"/>
          <w:szCs w:val="24"/>
          <w:shd w:val="clear" w:color="auto" w:fill="FFFFFF"/>
        </w:rPr>
        <w:t>Ú</w:t>
      </w:r>
      <w:r w:rsidR="00BA6B55" w:rsidRPr="00BD36DF">
        <w:rPr>
          <w:rFonts w:ascii="Times New Roman" w:eastAsia="Arial Unicode MS" w:hAnsi="Times New Roman" w:cs="Times New Roman"/>
          <w:sz w:val="24"/>
          <w:szCs w:val="24"/>
          <w:shd w:val="clear" w:color="auto" w:fill="FFFFFF"/>
        </w:rPr>
        <w:t xml:space="preserve"> L 201 27.7.2012)</w:t>
      </w:r>
      <w:r w:rsidR="00BA6B55" w:rsidRPr="00BD36DF">
        <w:rPr>
          <w:rFonts w:ascii="Times New Roman" w:hAnsi="Times New Roman" w:cs="Times New Roman"/>
          <w:sz w:val="24"/>
          <w:szCs w:val="24"/>
        </w:rPr>
        <w:t xml:space="preserve"> v platnom znení, gestori: MF SR, </w:t>
      </w:r>
      <w:r w:rsidR="00F928EA" w:rsidRPr="00BD36DF">
        <w:rPr>
          <w:rFonts w:ascii="Times New Roman" w:hAnsi="Times New Roman" w:cs="Times New Roman"/>
          <w:sz w:val="24"/>
          <w:szCs w:val="24"/>
        </w:rPr>
        <w:t>NBS</w:t>
      </w:r>
    </w:p>
    <w:p w14:paraId="7DC57B1F" w14:textId="4C5D0C16" w:rsidR="00B1399D" w:rsidRPr="00BD36DF" w:rsidRDefault="00B1399D" w:rsidP="0088317A">
      <w:pPr>
        <w:pStyle w:val="Odsekzoznamu"/>
        <w:numPr>
          <w:ilvl w:val="0"/>
          <w:numId w:val="3"/>
        </w:numPr>
        <w:spacing w:after="0" w:line="240" w:lineRule="auto"/>
        <w:ind w:left="1066" w:hanging="357"/>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nariadenie Európskeho</w:t>
      </w:r>
      <w:r w:rsidRPr="00BD36DF">
        <w:rPr>
          <w:rFonts w:ascii="Times New Roman" w:eastAsia="Times New Roman" w:hAnsi="Times New Roman" w:cs="Times New Roman"/>
          <w:spacing w:val="69"/>
          <w:sz w:val="24"/>
          <w:szCs w:val="24"/>
          <w:lang w:eastAsia="sk-SK"/>
        </w:rPr>
        <w:t xml:space="preserve"> </w:t>
      </w:r>
      <w:r w:rsidRPr="00BD36DF">
        <w:rPr>
          <w:rFonts w:ascii="Times New Roman" w:eastAsia="Times New Roman" w:hAnsi="Times New Roman" w:cs="Times New Roman"/>
          <w:sz w:val="24"/>
          <w:szCs w:val="24"/>
          <w:lang w:eastAsia="sk-SK"/>
        </w:rPr>
        <w:t>parlamentu</w:t>
      </w:r>
      <w:r w:rsidRPr="00BD36DF">
        <w:rPr>
          <w:rFonts w:ascii="Times New Roman" w:eastAsia="Times New Roman" w:hAnsi="Times New Roman" w:cs="Times New Roman"/>
          <w:spacing w:val="69"/>
          <w:sz w:val="24"/>
          <w:szCs w:val="24"/>
          <w:lang w:eastAsia="sk-SK"/>
        </w:rPr>
        <w:t xml:space="preserve"> </w:t>
      </w:r>
      <w:r w:rsidRPr="00BD36DF">
        <w:rPr>
          <w:rFonts w:ascii="Times New Roman" w:eastAsia="Times New Roman" w:hAnsi="Times New Roman" w:cs="Times New Roman"/>
          <w:sz w:val="24"/>
          <w:szCs w:val="24"/>
          <w:lang w:eastAsia="sk-SK"/>
        </w:rPr>
        <w:t>a Rady</w:t>
      </w:r>
      <w:r w:rsidRPr="00BD36DF">
        <w:rPr>
          <w:rFonts w:ascii="Times New Roman" w:eastAsia="Times New Roman" w:hAnsi="Times New Roman" w:cs="Times New Roman"/>
          <w:spacing w:val="69"/>
          <w:sz w:val="24"/>
          <w:szCs w:val="24"/>
          <w:lang w:eastAsia="sk-SK"/>
        </w:rPr>
        <w:t xml:space="preserve"> </w:t>
      </w:r>
      <w:r w:rsidRPr="00BD36DF">
        <w:rPr>
          <w:rFonts w:ascii="Times New Roman" w:eastAsia="Times New Roman" w:hAnsi="Times New Roman" w:cs="Times New Roman"/>
          <w:sz w:val="24"/>
          <w:szCs w:val="24"/>
          <w:lang w:eastAsia="sk-SK"/>
        </w:rPr>
        <w:t>(EÚ)</w:t>
      </w:r>
      <w:r w:rsidRPr="00BD36DF">
        <w:rPr>
          <w:rFonts w:ascii="Times New Roman" w:eastAsia="Times New Roman" w:hAnsi="Times New Roman" w:cs="Times New Roman"/>
          <w:spacing w:val="69"/>
          <w:sz w:val="24"/>
          <w:szCs w:val="24"/>
          <w:lang w:eastAsia="sk-SK"/>
        </w:rPr>
        <w:t xml:space="preserve"> </w:t>
      </w:r>
      <w:r w:rsidRPr="00BD36DF">
        <w:rPr>
          <w:rFonts w:ascii="Times New Roman" w:eastAsia="Times New Roman" w:hAnsi="Times New Roman" w:cs="Times New Roman"/>
          <w:sz w:val="24"/>
          <w:szCs w:val="24"/>
          <w:lang w:eastAsia="sk-SK"/>
        </w:rPr>
        <w:t xml:space="preserve">č. </w:t>
      </w:r>
      <w:r w:rsidRPr="00BD36DF">
        <w:rPr>
          <w:rFonts w:ascii="Times New Roman" w:eastAsia="Times New Roman" w:hAnsi="Times New Roman" w:cs="Times New Roman"/>
          <w:sz w:val="24"/>
          <w:szCs w:val="24"/>
          <w:u w:val="single"/>
          <w:lang w:eastAsia="sk-SK"/>
        </w:rPr>
        <w:t>575/2013</w:t>
      </w:r>
      <w:r w:rsidRPr="00BD36DF">
        <w:rPr>
          <w:rFonts w:ascii="Times New Roman" w:eastAsia="Times New Roman" w:hAnsi="Times New Roman" w:cs="Times New Roman"/>
          <w:sz w:val="24"/>
          <w:szCs w:val="24"/>
          <w:lang w:eastAsia="sk-SK"/>
        </w:rPr>
        <w:t xml:space="preserve"> z 26. júna 2013 o prudenciálnych požiadavkách na úverové inštitúcie a o zmene nariadenia (EÚ) č.</w:t>
      </w:r>
      <w:r w:rsidR="00B63700" w:rsidRPr="00BD36DF">
        <w:rPr>
          <w:rFonts w:ascii="Times New Roman" w:eastAsia="Times New Roman" w:hAnsi="Times New Roman" w:cs="Times New Roman"/>
          <w:sz w:val="24"/>
          <w:szCs w:val="24"/>
          <w:lang w:eastAsia="sk-SK"/>
        </w:rPr>
        <w:t> </w:t>
      </w:r>
      <w:r w:rsidRPr="00BD36DF">
        <w:rPr>
          <w:rFonts w:ascii="Times New Roman" w:eastAsia="Times New Roman" w:hAnsi="Times New Roman" w:cs="Times New Roman"/>
          <w:sz w:val="24"/>
          <w:szCs w:val="24"/>
          <w:lang w:eastAsia="sk-SK"/>
        </w:rPr>
        <w:t xml:space="preserve"> 648/2012 </w:t>
      </w:r>
      <w:bookmarkStart w:id="2" w:name="_Hlk199860638"/>
      <w:r w:rsidRPr="00BD36DF">
        <w:rPr>
          <w:rFonts w:ascii="Times New Roman" w:eastAsia="Times New Roman" w:hAnsi="Times New Roman" w:cs="Times New Roman"/>
          <w:sz w:val="24"/>
          <w:szCs w:val="24"/>
          <w:lang w:eastAsia="sk-SK"/>
        </w:rPr>
        <w:t>(Ú. v. EÚ L 176, 27.6.2013)</w:t>
      </w:r>
      <w:bookmarkEnd w:id="2"/>
      <w:r w:rsidRPr="00BD36DF">
        <w:rPr>
          <w:rFonts w:ascii="Times New Roman" w:eastAsia="Times New Roman" w:hAnsi="Times New Roman" w:cs="Times New Roman"/>
          <w:sz w:val="24"/>
          <w:szCs w:val="24"/>
          <w:lang w:eastAsia="sk-SK"/>
        </w:rPr>
        <w:t xml:space="preserve"> v platnom znení, </w:t>
      </w:r>
      <w:r w:rsidR="00C604D2" w:rsidRPr="00BD36DF">
        <w:rPr>
          <w:rFonts w:ascii="Times New Roman" w:hAnsi="Times New Roman" w:cs="Times New Roman"/>
          <w:sz w:val="24"/>
          <w:szCs w:val="24"/>
        </w:rPr>
        <w:t>gestor</w:t>
      </w:r>
      <w:r w:rsidR="00F52EDE" w:rsidRPr="00BD36DF">
        <w:rPr>
          <w:rFonts w:ascii="Times New Roman" w:hAnsi="Times New Roman" w:cs="Times New Roman"/>
          <w:sz w:val="24"/>
          <w:szCs w:val="24"/>
        </w:rPr>
        <w:t>i</w:t>
      </w:r>
      <w:r w:rsidR="00C604D2" w:rsidRPr="00BD36DF">
        <w:rPr>
          <w:rFonts w:ascii="Times New Roman" w:hAnsi="Times New Roman" w:cs="Times New Roman"/>
          <w:sz w:val="24"/>
          <w:szCs w:val="24"/>
        </w:rPr>
        <w:t>: MF SR, NBS</w:t>
      </w:r>
      <w:r w:rsidRPr="00BD36DF">
        <w:rPr>
          <w:rFonts w:ascii="Times New Roman" w:hAnsi="Times New Roman" w:cs="Times New Roman"/>
          <w:sz w:val="24"/>
          <w:szCs w:val="24"/>
        </w:rPr>
        <w:t>,</w:t>
      </w:r>
    </w:p>
    <w:p w14:paraId="67ACECCD" w14:textId="565D24FC" w:rsidR="00F928EA" w:rsidRPr="00BD36DF" w:rsidRDefault="00F928EA" w:rsidP="0088317A">
      <w:pPr>
        <w:pStyle w:val="Odsekzoznamu"/>
        <w:numPr>
          <w:ilvl w:val="0"/>
          <w:numId w:val="3"/>
        </w:numPr>
        <w:spacing w:after="0" w:line="240" w:lineRule="auto"/>
        <w:ind w:left="1066" w:hanging="357"/>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 xml:space="preserve">nariadenie Európskeho parlamentu a Rady (EÚ) č. </w:t>
      </w:r>
      <w:r w:rsidRPr="00BD36DF">
        <w:rPr>
          <w:rFonts w:ascii="Times New Roman" w:eastAsia="Times New Roman" w:hAnsi="Times New Roman" w:cs="Times New Roman"/>
          <w:sz w:val="24"/>
          <w:szCs w:val="24"/>
          <w:u w:val="single"/>
          <w:lang w:eastAsia="sk-SK"/>
        </w:rPr>
        <w:t>806/2014</w:t>
      </w:r>
      <w:r w:rsidRPr="00BD36DF">
        <w:rPr>
          <w:rFonts w:ascii="Times New Roman" w:eastAsia="Times New Roman" w:hAnsi="Times New Roman" w:cs="Times New Roman"/>
          <w:sz w:val="24"/>
          <w:szCs w:val="24"/>
          <w:lang w:eastAsia="sk-SK"/>
        </w:rPr>
        <w:t xml:space="preserve">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(Ú. v. EÚ L 225, 30.7.2014) v platnom znení, gestori:</w:t>
      </w:r>
      <w:r w:rsidRPr="00BD36DF">
        <w:t xml:space="preserve"> </w:t>
      </w:r>
      <w:r w:rsidRPr="00BD36DF">
        <w:rPr>
          <w:rFonts w:ascii="Times New Roman" w:eastAsia="Times New Roman" w:hAnsi="Times New Roman" w:cs="Times New Roman"/>
          <w:sz w:val="24"/>
          <w:szCs w:val="24"/>
          <w:lang w:eastAsia="sk-SK"/>
        </w:rPr>
        <w:t>MF SR, NBS,</w:t>
      </w:r>
    </w:p>
    <w:p w14:paraId="715CCFC9" w14:textId="22D222FF" w:rsidR="00A523B6" w:rsidRPr="00BD36DF" w:rsidRDefault="00BE2C02" w:rsidP="0088317A">
      <w:pPr>
        <w:pStyle w:val="Odsekzoznamu"/>
        <w:numPr>
          <w:ilvl w:val="0"/>
          <w:numId w:val="3"/>
        </w:numPr>
        <w:spacing w:after="0" w:line="240" w:lineRule="auto"/>
        <w:ind w:left="1066" w:hanging="357"/>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lastRenderedPageBreak/>
        <w:t>d</w:t>
      </w:r>
      <w:r w:rsidR="00A523B6" w:rsidRPr="00BD36DF">
        <w:rPr>
          <w:rFonts w:ascii="Times New Roman" w:hAnsi="Times New Roman" w:cs="Times New Roman"/>
          <w:sz w:val="24"/>
          <w:szCs w:val="24"/>
        </w:rPr>
        <w:t xml:space="preserve">elegované nariadenie Komisie (EÚ) </w:t>
      </w:r>
      <w:r w:rsidR="00A523B6" w:rsidRPr="00BD36DF">
        <w:rPr>
          <w:rFonts w:ascii="Times New Roman" w:hAnsi="Times New Roman" w:cs="Times New Roman"/>
          <w:sz w:val="24"/>
          <w:szCs w:val="24"/>
          <w:u w:val="single"/>
        </w:rPr>
        <w:t>2015/61</w:t>
      </w:r>
      <w:r w:rsidR="00A523B6" w:rsidRPr="00BD36DF">
        <w:rPr>
          <w:rFonts w:ascii="Times New Roman" w:hAnsi="Times New Roman" w:cs="Times New Roman"/>
          <w:sz w:val="24"/>
          <w:szCs w:val="24"/>
        </w:rPr>
        <w:t xml:space="preserve"> z 10. októbra 2014, ktorým sa dopĺňa nariadenie Európskeho parlamentu a Rady (EÚ) č. 575/2013, pokiaľ ide o požiadavku na krytie likvidity pre úverové inštitúcie (Ú. v. EÚ L 11, 17. 1. 2015) v platnom znení, gestor</w:t>
      </w:r>
      <w:r w:rsidR="00F52EDE" w:rsidRPr="00BD36DF">
        <w:rPr>
          <w:rFonts w:ascii="Times New Roman" w:hAnsi="Times New Roman" w:cs="Times New Roman"/>
          <w:sz w:val="24"/>
          <w:szCs w:val="24"/>
        </w:rPr>
        <w:t>i</w:t>
      </w:r>
      <w:r w:rsidR="00A523B6" w:rsidRPr="00BD36DF">
        <w:rPr>
          <w:rFonts w:ascii="Times New Roman" w:hAnsi="Times New Roman" w:cs="Times New Roman"/>
          <w:sz w:val="24"/>
          <w:szCs w:val="24"/>
        </w:rPr>
        <w:t>: MF SR, NBS,</w:t>
      </w:r>
    </w:p>
    <w:p w14:paraId="5D59E9BB" w14:textId="728A92D4" w:rsidR="00B615EA" w:rsidRPr="00BD36DF" w:rsidRDefault="00BE2C02"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t>d</w:t>
      </w:r>
      <w:r w:rsidR="00B615EA" w:rsidRPr="00BD36DF">
        <w:rPr>
          <w:rFonts w:ascii="Times New Roman" w:hAnsi="Times New Roman" w:cs="Times New Roman"/>
          <w:sz w:val="24"/>
          <w:szCs w:val="24"/>
        </w:rPr>
        <w:t xml:space="preserve">elegované nariadenie Komisie (EÚ) </w:t>
      </w:r>
      <w:r w:rsidR="00B615EA" w:rsidRPr="00BD36DF">
        <w:rPr>
          <w:rFonts w:ascii="Times New Roman" w:hAnsi="Times New Roman" w:cs="Times New Roman"/>
          <w:sz w:val="24"/>
          <w:szCs w:val="24"/>
          <w:u w:val="single"/>
        </w:rPr>
        <w:t>2016/1675</w:t>
      </w:r>
      <w:r w:rsidR="00B615EA" w:rsidRPr="00BD36DF">
        <w:rPr>
          <w:rFonts w:ascii="Times New Roman" w:hAnsi="Times New Roman" w:cs="Times New Roman"/>
          <w:sz w:val="24"/>
          <w:szCs w:val="24"/>
        </w:rPr>
        <w:t xml:space="preserve"> zo 14. júla 2016, ktorým sa smernica Európskeho parlamentu a Rady (EÚ) 2015/849 dopĺňa o identifikáciu vysokorizikových tretích krajín so strategickými nedostatkami (Ú. v. EÚ L 254, 20.9.2016) v platnom znení, gestor</w:t>
      </w:r>
      <w:r w:rsidR="00F52EDE" w:rsidRPr="00BD36DF">
        <w:rPr>
          <w:rFonts w:ascii="Times New Roman" w:hAnsi="Times New Roman" w:cs="Times New Roman"/>
          <w:sz w:val="24"/>
          <w:szCs w:val="24"/>
        </w:rPr>
        <w:t>i</w:t>
      </w:r>
      <w:r w:rsidR="00B615EA" w:rsidRPr="00BD36DF">
        <w:rPr>
          <w:rFonts w:ascii="Times New Roman" w:hAnsi="Times New Roman" w:cs="Times New Roman"/>
          <w:sz w:val="24"/>
          <w:szCs w:val="24"/>
        </w:rPr>
        <w:t xml:space="preserve">: </w:t>
      </w:r>
      <w:r w:rsidRPr="00BD36DF">
        <w:rPr>
          <w:rFonts w:ascii="Times New Roman" w:hAnsi="Times New Roman" w:cs="Times New Roman"/>
          <w:sz w:val="24"/>
          <w:szCs w:val="24"/>
        </w:rPr>
        <w:t>MV SR, MF SR, MS SR, NBS</w:t>
      </w:r>
      <w:r w:rsidR="00B615EA" w:rsidRPr="00BD36DF">
        <w:rPr>
          <w:rFonts w:ascii="Times New Roman" w:hAnsi="Times New Roman" w:cs="Times New Roman"/>
          <w:sz w:val="24"/>
          <w:szCs w:val="24"/>
        </w:rPr>
        <w:t>,</w:t>
      </w:r>
    </w:p>
    <w:p w14:paraId="03978B1E" w14:textId="4B4592D3" w:rsidR="009C04AA" w:rsidRPr="00BD36DF" w:rsidRDefault="009C04AA"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t xml:space="preserve">nariadenie Európskeho parlamentu a Rady (EÚ) </w:t>
      </w:r>
      <w:r w:rsidRPr="00BD36DF">
        <w:rPr>
          <w:rFonts w:ascii="Times New Roman" w:hAnsi="Times New Roman" w:cs="Times New Roman"/>
          <w:sz w:val="24"/>
          <w:szCs w:val="24"/>
          <w:u w:val="single"/>
        </w:rPr>
        <w:t>2019/876</w:t>
      </w:r>
      <w:r w:rsidRPr="00BD36DF">
        <w:rPr>
          <w:rFonts w:ascii="Times New Roman" w:hAnsi="Times New Roman" w:cs="Times New Roman"/>
          <w:sz w:val="24"/>
          <w:szCs w:val="24"/>
          <w:shd w:val="clear" w:color="auto" w:fill="FFFFFF"/>
        </w:rPr>
        <w:t xml:space="preserve"> z 20. mája 2019, ktorým sa mení nariadenie (EÚ) č.</w:t>
      </w:r>
      <w:r w:rsidRPr="00BD36DF">
        <w:rPr>
          <w:rFonts w:ascii="Times New Roman" w:hAnsi="Times New Roman" w:cs="Times New Roman"/>
          <w:sz w:val="24"/>
          <w:szCs w:val="24"/>
        </w:rPr>
        <w:t> </w:t>
      </w:r>
      <w:r w:rsidRPr="00BD36DF">
        <w:rPr>
          <w:rFonts w:ascii="Times New Roman" w:hAnsi="Times New Roman" w:cs="Times New Roman"/>
          <w:sz w:val="24"/>
          <w:szCs w:val="24"/>
          <w:shd w:val="clear" w:color="auto" w:fill="FFFFFF"/>
        </w:rPr>
        <w:t>575/2013, pokiaľ ide o ukazovateľ finančnej páky, ukazovateľ čistého stabilného financovania, požiadavky na vlastné zdroje a</w:t>
      </w:r>
      <w:r w:rsidR="00331902" w:rsidRPr="00BD36DF">
        <w:rPr>
          <w:rFonts w:ascii="Times New Roman" w:hAnsi="Times New Roman" w:cs="Times New Roman"/>
          <w:sz w:val="24"/>
          <w:szCs w:val="24"/>
          <w:shd w:val="clear" w:color="auto" w:fill="FFFFFF"/>
        </w:rPr>
        <w:t> </w:t>
      </w:r>
      <w:r w:rsidRPr="00BD36DF">
        <w:rPr>
          <w:rFonts w:ascii="Times New Roman" w:hAnsi="Times New Roman" w:cs="Times New Roman"/>
          <w:sz w:val="24"/>
          <w:szCs w:val="24"/>
          <w:shd w:val="clear" w:color="auto" w:fill="FFFFFF"/>
        </w:rPr>
        <w:t>oprávnené záväzky, kreditné riziko protistrany, trhové riziko, expozície voči centrálnym protistranám, expozície voči podnikom kolektívneho investovania, veľkú majetkovú angažovanosť, požiadavky na predkladanie správ a zverejňovanie informácií, a ktorým sa mení nariadenie (EÚ) č.</w:t>
      </w:r>
      <w:r w:rsidRPr="00BD36DF">
        <w:rPr>
          <w:rFonts w:ascii="Times New Roman" w:hAnsi="Times New Roman" w:cs="Times New Roman"/>
          <w:sz w:val="24"/>
          <w:szCs w:val="24"/>
        </w:rPr>
        <w:t> </w:t>
      </w:r>
      <w:r w:rsidRPr="00BD36DF">
        <w:rPr>
          <w:rFonts w:ascii="Times New Roman" w:hAnsi="Times New Roman" w:cs="Times New Roman"/>
          <w:sz w:val="24"/>
          <w:szCs w:val="24"/>
          <w:u w:val="single"/>
          <w:shd w:val="clear" w:color="auto" w:fill="FFFFFF"/>
        </w:rPr>
        <w:t>648/2012</w:t>
      </w:r>
      <w:r w:rsidRPr="00BD36DF">
        <w:rPr>
          <w:rFonts w:ascii="Times New Roman" w:hAnsi="Times New Roman" w:cs="Times New Roman"/>
          <w:sz w:val="24"/>
          <w:szCs w:val="24"/>
          <w:shd w:val="clear" w:color="auto" w:fill="FFFFFF"/>
        </w:rPr>
        <w:t xml:space="preserve"> </w:t>
      </w:r>
      <w:bookmarkStart w:id="3" w:name="_Hlk199860573"/>
      <w:r w:rsidR="00703A5A" w:rsidRPr="00BD36DF">
        <w:rPr>
          <w:rFonts w:ascii="Times New Roman" w:hAnsi="Times New Roman" w:cs="Times New Roman"/>
          <w:sz w:val="24"/>
          <w:szCs w:val="24"/>
        </w:rPr>
        <w:t>(Ú. v. EÚ L 150, 7. 6. 2019)</w:t>
      </w:r>
      <w:bookmarkEnd w:id="3"/>
      <w:r w:rsidR="00F928EA" w:rsidRPr="00BD36DF">
        <w:rPr>
          <w:rFonts w:ascii="Times New Roman" w:hAnsi="Times New Roman" w:cs="Times New Roman"/>
          <w:sz w:val="24"/>
          <w:szCs w:val="24"/>
        </w:rPr>
        <w:t xml:space="preserve"> v platnom znení</w:t>
      </w:r>
      <w:r w:rsidR="00703A5A" w:rsidRPr="00BD36DF">
        <w:rPr>
          <w:rFonts w:ascii="Times New Roman" w:hAnsi="Times New Roman" w:cs="Times New Roman"/>
          <w:sz w:val="24"/>
          <w:szCs w:val="24"/>
        </w:rPr>
        <w:t>,</w:t>
      </w:r>
      <w:r w:rsidR="00F53D97" w:rsidRPr="00BD36DF">
        <w:rPr>
          <w:rFonts w:ascii="Times New Roman" w:hAnsi="Times New Roman" w:cs="Times New Roman"/>
          <w:sz w:val="24"/>
          <w:szCs w:val="24"/>
        </w:rPr>
        <w:t xml:space="preserve"> </w:t>
      </w:r>
      <w:r w:rsidR="00C604D2" w:rsidRPr="00BD36DF">
        <w:rPr>
          <w:rFonts w:ascii="Times New Roman" w:hAnsi="Times New Roman" w:cs="Times New Roman"/>
          <w:sz w:val="24"/>
          <w:szCs w:val="24"/>
        </w:rPr>
        <w:t>gestor</w:t>
      </w:r>
      <w:r w:rsidR="00F52EDE" w:rsidRPr="00BD36DF">
        <w:rPr>
          <w:rFonts w:ascii="Times New Roman" w:hAnsi="Times New Roman" w:cs="Times New Roman"/>
          <w:sz w:val="24"/>
          <w:szCs w:val="24"/>
        </w:rPr>
        <w:t>i</w:t>
      </w:r>
      <w:r w:rsidR="00C604D2" w:rsidRPr="00BD36DF">
        <w:rPr>
          <w:rFonts w:ascii="Times New Roman" w:hAnsi="Times New Roman" w:cs="Times New Roman"/>
          <w:sz w:val="24"/>
          <w:szCs w:val="24"/>
        </w:rPr>
        <w:t>: MF SR, NBS</w:t>
      </w:r>
      <w:r w:rsidR="00D972FC" w:rsidRPr="00BD36DF">
        <w:rPr>
          <w:rFonts w:ascii="Times New Roman" w:hAnsi="Times New Roman" w:cs="Times New Roman"/>
          <w:sz w:val="24"/>
          <w:szCs w:val="24"/>
        </w:rPr>
        <w:t>,</w:t>
      </w:r>
    </w:p>
    <w:p w14:paraId="7A5FCEA9" w14:textId="7A1447E7" w:rsidR="00D972FC" w:rsidRPr="00BD36DF" w:rsidRDefault="00D972FC"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hAnsi="Times New Roman" w:cs="Times New Roman"/>
          <w:sz w:val="24"/>
          <w:szCs w:val="24"/>
        </w:rPr>
        <w:t>nariadeni</w:t>
      </w:r>
      <w:r w:rsidR="00A23E2F" w:rsidRPr="00BD36DF">
        <w:rPr>
          <w:rFonts w:ascii="Times New Roman" w:hAnsi="Times New Roman" w:cs="Times New Roman"/>
          <w:sz w:val="24"/>
          <w:szCs w:val="24"/>
        </w:rPr>
        <w:t>e</w:t>
      </w:r>
      <w:r w:rsidRPr="00BD36DF">
        <w:rPr>
          <w:rFonts w:ascii="Times New Roman" w:hAnsi="Times New Roman" w:cs="Times New Roman"/>
          <w:sz w:val="24"/>
          <w:szCs w:val="24"/>
        </w:rPr>
        <w:t xml:space="preserve"> Európskeho parlamentu a Rady (EÚ) </w:t>
      </w:r>
      <w:r w:rsidRPr="00BD36DF">
        <w:rPr>
          <w:rFonts w:ascii="Times New Roman" w:hAnsi="Times New Roman" w:cs="Times New Roman"/>
          <w:sz w:val="24"/>
          <w:szCs w:val="24"/>
          <w:u w:val="single"/>
        </w:rPr>
        <w:t>2019/2033</w:t>
      </w:r>
      <w:r w:rsidRPr="00BD36DF">
        <w:rPr>
          <w:rFonts w:ascii="Times New Roman" w:hAnsi="Times New Roman" w:cs="Times New Roman"/>
          <w:sz w:val="24"/>
          <w:szCs w:val="24"/>
        </w:rPr>
        <w:t xml:space="preserve"> z 27. novembra 2019 o prudenciálnych požiadavkách na investičné spoločnosti a o zmene nariadení (EÚ) č. 1093/2010, (EÚ) č. 575/2013, (EÚ) č. 600/2014 a (EÚ) č. 806/2014 (Ú. v. EÚ L 314, 5.12.2019) v platnom znení, gestori: MF SR, NBS,</w:t>
      </w:r>
    </w:p>
    <w:p w14:paraId="0A018CBA" w14:textId="034AE0FD" w:rsidR="00F52EDE" w:rsidRPr="00BD36DF" w:rsidRDefault="00F52EDE" w:rsidP="004A2EED">
      <w:pPr>
        <w:pStyle w:val="Odsekzoznamu"/>
        <w:numPr>
          <w:ilvl w:val="0"/>
          <w:numId w:val="3"/>
        </w:numPr>
        <w:spacing w:after="0" w:line="240" w:lineRule="auto"/>
        <w:jc w:val="both"/>
        <w:rPr>
          <w:rFonts w:ascii="Times New Roman" w:eastAsia="Times New Roman" w:hAnsi="Times New Roman" w:cs="Times New Roman"/>
          <w:i/>
          <w:sz w:val="24"/>
          <w:szCs w:val="24"/>
          <w:lang w:eastAsia="sk-SK"/>
        </w:rPr>
      </w:pPr>
      <w:r w:rsidRPr="00BD36DF">
        <w:rPr>
          <w:rFonts w:ascii="Times New Roman" w:hAnsi="Times New Roman" w:cs="Times New Roman"/>
          <w:bCs/>
          <w:sz w:val="24"/>
          <w:szCs w:val="24"/>
        </w:rPr>
        <w:t xml:space="preserve">vykonávacie nariadenie Komisie (EÚ) </w:t>
      </w:r>
      <w:r w:rsidRPr="00BD36DF">
        <w:rPr>
          <w:rFonts w:ascii="Times New Roman" w:hAnsi="Times New Roman" w:cs="Times New Roman"/>
          <w:bCs/>
          <w:sz w:val="24"/>
          <w:szCs w:val="24"/>
          <w:u w:val="single"/>
        </w:rPr>
        <w:t>2021/451</w:t>
      </w:r>
      <w:r w:rsidRPr="00BD36DF">
        <w:rPr>
          <w:rFonts w:ascii="Times New Roman" w:hAnsi="Times New Roman" w:cs="Times New Roman"/>
          <w:bCs/>
          <w:sz w:val="24"/>
          <w:szCs w:val="24"/>
        </w:rPr>
        <w:t xml:space="preserve"> zo 17. decembra 2020, ktorým sa stanovujú vykonávacie technické predpisy na uplatňovanie nariadenia Európskeho parlamentu a Rady (EÚ) č. 575/2013, pokiaľ ide o vykazovanie inštitúciami na účely dohľadu, a ktorým sa zrušuje vykonávacie nariadenie (EÚ) č. 680/2014 (</w:t>
      </w:r>
      <w:r w:rsidRPr="00BD36DF">
        <w:rPr>
          <w:rFonts w:ascii="Times New Roman" w:hAnsi="Times New Roman" w:cs="Times New Roman"/>
          <w:iCs/>
          <w:sz w:val="24"/>
          <w:szCs w:val="24"/>
        </w:rPr>
        <w:t>Ú.</w:t>
      </w:r>
      <w:r w:rsidR="0066046F" w:rsidRPr="00BD36DF">
        <w:rPr>
          <w:rFonts w:ascii="Times New Roman" w:hAnsi="Times New Roman" w:cs="Times New Roman"/>
          <w:iCs/>
          <w:sz w:val="24"/>
          <w:szCs w:val="24"/>
        </w:rPr>
        <w:t> </w:t>
      </w:r>
      <w:r w:rsidRPr="00BD36DF">
        <w:rPr>
          <w:rFonts w:ascii="Times New Roman" w:hAnsi="Times New Roman" w:cs="Times New Roman"/>
          <w:iCs/>
          <w:sz w:val="24"/>
          <w:szCs w:val="24"/>
        </w:rPr>
        <w:t>v.</w:t>
      </w:r>
      <w:r w:rsidR="0066046F" w:rsidRPr="00BD36DF">
        <w:rPr>
          <w:rFonts w:ascii="Times New Roman" w:hAnsi="Times New Roman" w:cs="Times New Roman"/>
          <w:iCs/>
          <w:sz w:val="24"/>
          <w:szCs w:val="24"/>
        </w:rPr>
        <w:t> </w:t>
      </w:r>
      <w:r w:rsidRPr="00BD36DF">
        <w:rPr>
          <w:rFonts w:ascii="Times New Roman" w:hAnsi="Times New Roman" w:cs="Times New Roman"/>
          <w:iCs/>
          <w:sz w:val="24"/>
          <w:szCs w:val="24"/>
        </w:rPr>
        <w:t>EÚ L 97, 19.3.2021)</w:t>
      </w:r>
      <w:r w:rsidR="00F928EA" w:rsidRPr="00BD36DF">
        <w:rPr>
          <w:rFonts w:ascii="Times New Roman" w:hAnsi="Times New Roman" w:cs="Times New Roman"/>
          <w:iCs/>
          <w:sz w:val="24"/>
          <w:szCs w:val="24"/>
        </w:rPr>
        <w:t xml:space="preserve"> v platnom znení</w:t>
      </w:r>
      <w:r w:rsidRPr="00BD36DF">
        <w:rPr>
          <w:rFonts w:ascii="Times New Roman" w:hAnsi="Times New Roman" w:cs="Times New Roman"/>
          <w:iCs/>
          <w:sz w:val="24"/>
          <w:szCs w:val="24"/>
        </w:rPr>
        <w:t xml:space="preserve">, </w:t>
      </w:r>
      <w:r w:rsidRPr="00BD36DF">
        <w:rPr>
          <w:rFonts w:ascii="Times New Roman" w:hAnsi="Times New Roman" w:cs="Times New Roman"/>
          <w:color w:val="000000"/>
          <w:sz w:val="24"/>
          <w:szCs w:val="24"/>
          <w:lang w:eastAsia="sk-SK"/>
        </w:rPr>
        <w:t>gestori: MF SR, NBS,</w:t>
      </w:r>
    </w:p>
    <w:p w14:paraId="6AA5F54B" w14:textId="0064B5E6" w:rsidR="00465BA7" w:rsidRPr="00BD36DF" w:rsidRDefault="00465BA7" w:rsidP="00465BA7">
      <w:pPr>
        <w:pStyle w:val="Odsekzoznamu"/>
        <w:numPr>
          <w:ilvl w:val="0"/>
          <w:numId w:val="3"/>
        </w:numPr>
        <w:spacing w:after="0" w:line="240" w:lineRule="auto"/>
        <w:jc w:val="both"/>
        <w:rPr>
          <w:rFonts w:ascii="Times New Roman" w:eastAsia="Times New Roman" w:hAnsi="Times New Roman" w:cs="Times New Roman"/>
          <w:color w:val="000000"/>
          <w:sz w:val="24"/>
          <w:szCs w:val="24"/>
          <w:lang w:eastAsia="sk-SK"/>
        </w:rPr>
      </w:pPr>
      <w:r w:rsidRPr="00BD36DF">
        <w:rPr>
          <w:rFonts w:ascii="Times New Roman" w:eastAsia="Times New Roman" w:hAnsi="Times New Roman" w:cs="Times New Roman"/>
          <w:color w:val="000000"/>
          <w:sz w:val="24"/>
          <w:szCs w:val="24"/>
          <w:lang w:eastAsia="sk-SK"/>
        </w:rPr>
        <w:t xml:space="preserve">vykonávacie nariadenie Komisie (EÚ) </w:t>
      </w:r>
      <w:r w:rsidRPr="00BD36DF">
        <w:rPr>
          <w:rFonts w:ascii="Times New Roman" w:eastAsia="Times New Roman" w:hAnsi="Times New Roman" w:cs="Times New Roman"/>
          <w:color w:val="000000"/>
          <w:sz w:val="24"/>
          <w:szCs w:val="24"/>
          <w:u w:val="single"/>
          <w:lang w:eastAsia="sk-SK"/>
        </w:rPr>
        <w:t>2021/763</w:t>
      </w:r>
      <w:r w:rsidRPr="00BD36DF">
        <w:rPr>
          <w:rFonts w:ascii="Times New Roman" w:eastAsia="Times New Roman" w:hAnsi="Times New Roman" w:cs="Times New Roman"/>
          <w:color w:val="000000"/>
          <w:sz w:val="24"/>
          <w:szCs w:val="24"/>
          <w:lang w:eastAsia="sk-SK"/>
        </w:rPr>
        <w:t xml:space="preserve"> z 23. apríla 2021, ktorým sa stanovujú vykonávacie technické predpisy na uplatňovanie nariadenia Európskeho parlamentu a Rady (EÚ) č. 575/2013 a smernice Európskeho parlamentu a Rady 2014/59/EÚ, pokiaľ ide o podávanie správ na účely dohľadu a zverejňovanie informácií o minimálnej požiadavke na vlastné zdroje a oprávnené záväzky (Ú. v. EÚ L 168, 12.5.2021) v platnom znení, gestori:</w:t>
      </w:r>
      <w:r w:rsidRPr="00BD36DF">
        <w:t xml:space="preserve"> </w:t>
      </w:r>
      <w:r w:rsidRPr="00BD36DF">
        <w:rPr>
          <w:rFonts w:ascii="Times New Roman" w:eastAsia="Times New Roman" w:hAnsi="Times New Roman" w:cs="Times New Roman"/>
          <w:color w:val="000000"/>
          <w:sz w:val="24"/>
          <w:szCs w:val="24"/>
          <w:lang w:eastAsia="sk-SK"/>
        </w:rPr>
        <w:t>MF SR, NBS.</w:t>
      </w:r>
    </w:p>
    <w:p w14:paraId="797B31D8" w14:textId="703427EB" w:rsidR="00BB2BF0" w:rsidRPr="00BD36DF" w:rsidRDefault="00F52EDE" w:rsidP="004A2EED">
      <w:pPr>
        <w:pStyle w:val="Odsekzoznamu"/>
        <w:numPr>
          <w:ilvl w:val="0"/>
          <w:numId w:val="3"/>
        </w:numPr>
        <w:spacing w:after="0" w:line="240" w:lineRule="auto"/>
        <w:jc w:val="both"/>
        <w:rPr>
          <w:rFonts w:ascii="Times New Roman" w:eastAsia="Times New Roman" w:hAnsi="Times New Roman" w:cs="Times New Roman"/>
          <w:i/>
          <w:sz w:val="24"/>
          <w:szCs w:val="24"/>
          <w:lang w:eastAsia="sk-SK"/>
        </w:rPr>
      </w:pPr>
      <w:r w:rsidRPr="00BD36DF">
        <w:rPr>
          <w:rFonts w:ascii="Times New Roman" w:hAnsi="Times New Roman" w:cs="Times New Roman"/>
          <w:bCs/>
          <w:sz w:val="24"/>
          <w:szCs w:val="24"/>
        </w:rPr>
        <w:t>d</w:t>
      </w:r>
      <w:r w:rsidR="00BB2BF0" w:rsidRPr="00BD36DF">
        <w:rPr>
          <w:rFonts w:ascii="Times New Roman" w:hAnsi="Times New Roman" w:cs="Times New Roman"/>
          <w:bCs/>
          <w:sz w:val="24"/>
          <w:szCs w:val="24"/>
        </w:rPr>
        <w:t xml:space="preserve">elegované nariadenie Komisie (EÚ) </w:t>
      </w:r>
      <w:r w:rsidR="00BB2BF0" w:rsidRPr="00BD36DF">
        <w:rPr>
          <w:rFonts w:ascii="Times New Roman" w:hAnsi="Times New Roman" w:cs="Times New Roman"/>
          <w:bCs/>
          <w:sz w:val="24"/>
          <w:szCs w:val="24"/>
          <w:u w:val="single"/>
        </w:rPr>
        <w:t>2021/923</w:t>
      </w:r>
      <w:r w:rsidR="00BB2BF0" w:rsidRPr="00BD36DF">
        <w:rPr>
          <w:rFonts w:ascii="Times New Roman" w:hAnsi="Times New Roman" w:cs="Times New Roman"/>
          <w:bCs/>
          <w:sz w:val="24"/>
          <w:szCs w:val="24"/>
        </w:rPr>
        <w:t xml:space="preserve"> z 25. marca 2021, ktorým sa dopĺňa smernica Európskeho parlamentu a Rady 2013/36/EÚ, pokiaľ ide o regulačné technické predpisy, v ktorých sa stanovujú kritériá na vymedzenie riadiacej zodpovednosti, kontrolných funkcií, významných obchodných útvarov a významného vplyvu na rizikový profil významného obchodného útvaru, ako aj kritériá na identifikáciu zamestnancov alebo kategórií zamestnancov, ktorých profesionálne činnosti majú vplyv na rizikový profil inštitúcie, ktorý je rovnako významný ako vplyv zamestnancov alebo kategórií zamestnancov uvedených v článku 92 ods. 3 uvedenej smernice (Ú</w:t>
      </w:r>
      <w:r w:rsidR="00BB2BF0" w:rsidRPr="00BD36DF">
        <w:rPr>
          <w:rStyle w:val="Zvraznenie"/>
          <w:rFonts w:ascii="Times New Roman" w:hAnsi="Times New Roman" w:cs="Times New Roman"/>
          <w:sz w:val="24"/>
          <w:szCs w:val="24"/>
        </w:rPr>
        <w:t xml:space="preserve">. </w:t>
      </w:r>
      <w:r w:rsidR="00BB2BF0" w:rsidRPr="00BD36DF">
        <w:rPr>
          <w:rStyle w:val="Zvraznenie"/>
          <w:rFonts w:ascii="Times New Roman" w:hAnsi="Times New Roman" w:cs="Times New Roman"/>
          <w:i w:val="0"/>
          <w:iCs w:val="0"/>
          <w:sz w:val="24"/>
          <w:szCs w:val="24"/>
        </w:rPr>
        <w:t>v. EÚ L 203, 9.6.2021)</w:t>
      </w:r>
      <w:r w:rsidR="00BB2BF0" w:rsidRPr="00BD36DF">
        <w:rPr>
          <w:rStyle w:val="Zvraznenie"/>
          <w:rFonts w:ascii="Times New Roman" w:hAnsi="Times New Roman" w:cs="Times New Roman"/>
          <w:sz w:val="24"/>
          <w:szCs w:val="24"/>
        </w:rPr>
        <w:t xml:space="preserve">, </w:t>
      </w:r>
      <w:r w:rsidR="00BB2BF0" w:rsidRPr="00BD36DF">
        <w:rPr>
          <w:rFonts w:ascii="Times New Roman" w:hAnsi="Times New Roman" w:cs="Times New Roman"/>
          <w:color w:val="000000"/>
          <w:sz w:val="24"/>
          <w:szCs w:val="24"/>
          <w:lang w:eastAsia="sk-SK"/>
        </w:rPr>
        <w:t>gestori: MF SR, NBS,</w:t>
      </w:r>
    </w:p>
    <w:p w14:paraId="6B193DFF" w14:textId="56C9EBC9" w:rsidR="004E0547" w:rsidRPr="00BD36DF" w:rsidRDefault="004E0547" w:rsidP="0088317A">
      <w:pPr>
        <w:pStyle w:val="Odsekzoznamu"/>
        <w:numPr>
          <w:ilvl w:val="0"/>
          <w:numId w:val="3"/>
        </w:numPr>
        <w:spacing w:after="0" w:line="240" w:lineRule="auto"/>
        <w:ind w:left="1066" w:hanging="357"/>
        <w:jc w:val="both"/>
        <w:rPr>
          <w:rFonts w:ascii="Times New Roman" w:eastAsia="Times New Roman" w:hAnsi="Times New Roman" w:cs="Times New Roman"/>
          <w:i/>
          <w:sz w:val="24"/>
          <w:szCs w:val="24"/>
          <w:lang w:eastAsia="sk-SK"/>
        </w:rPr>
      </w:pPr>
      <w:r w:rsidRPr="00BD36DF">
        <w:rPr>
          <w:rFonts w:ascii="Times New Roman" w:hAnsi="Times New Roman" w:cs="Times New Roman"/>
          <w:sz w:val="24"/>
          <w:szCs w:val="24"/>
        </w:rPr>
        <w:t>nariadeni</w:t>
      </w:r>
      <w:r w:rsidR="00A23E2F" w:rsidRPr="00BD36DF">
        <w:rPr>
          <w:rFonts w:ascii="Times New Roman" w:hAnsi="Times New Roman" w:cs="Times New Roman"/>
          <w:sz w:val="24"/>
          <w:szCs w:val="24"/>
        </w:rPr>
        <w:t>e</w:t>
      </w:r>
      <w:r w:rsidRPr="00BD36DF">
        <w:rPr>
          <w:rFonts w:ascii="Times New Roman" w:hAnsi="Times New Roman" w:cs="Times New Roman"/>
          <w:sz w:val="24"/>
          <w:szCs w:val="24"/>
        </w:rPr>
        <w:t xml:space="preserve"> Európskeho parlamentu a Rady (EÚ) </w:t>
      </w:r>
      <w:r w:rsidRPr="00BD36DF">
        <w:rPr>
          <w:rFonts w:ascii="Times New Roman" w:hAnsi="Times New Roman" w:cs="Times New Roman"/>
          <w:sz w:val="24"/>
          <w:szCs w:val="24"/>
          <w:u w:val="single"/>
        </w:rPr>
        <w:t>2021/1119</w:t>
      </w:r>
      <w:r w:rsidRPr="00BD36DF">
        <w:rPr>
          <w:rFonts w:ascii="Times New Roman" w:hAnsi="Times New Roman" w:cs="Times New Roman"/>
          <w:sz w:val="24"/>
          <w:szCs w:val="24"/>
        </w:rPr>
        <w:t xml:space="preserve"> z</w:t>
      </w:r>
      <w:r w:rsidR="00F928EA" w:rsidRPr="00BD36DF">
        <w:rPr>
          <w:rFonts w:ascii="Times New Roman" w:hAnsi="Times New Roman" w:cs="Times New Roman"/>
          <w:sz w:val="24"/>
          <w:szCs w:val="24"/>
        </w:rPr>
        <w:t> </w:t>
      </w:r>
      <w:r w:rsidRPr="00BD36DF">
        <w:rPr>
          <w:rFonts w:ascii="Times New Roman" w:hAnsi="Times New Roman" w:cs="Times New Roman"/>
          <w:sz w:val="24"/>
          <w:szCs w:val="24"/>
        </w:rPr>
        <w:t>30</w:t>
      </w:r>
      <w:r w:rsidR="00F928EA" w:rsidRPr="00BD36DF">
        <w:rPr>
          <w:rFonts w:ascii="Times New Roman" w:hAnsi="Times New Roman" w:cs="Times New Roman"/>
          <w:sz w:val="24"/>
          <w:szCs w:val="24"/>
        </w:rPr>
        <w:t>.</w:t>
      </w:r>
      <w:r w:rsidRPr="00BD36DF">
        <w:rPr>
          <w:rFonts w:ascii="Times New Roman" w:hAnsi="Times New Roman" w:cs="Times New Roman"/>
          <w:sz w:val="24"/>
          <w:szCs w:val="24"/>
        </w:rPr>
        <w:t xml:space="preserve"> júna 2021, ktorým sa stanovuje rámec na dosiahnutie klimatickej neutrality a menia nariadenia (ES) č.</w:t>
      </w:r>
      <w:r w:rsidR="00E01941" w:rsidRPr="00BD36DF">
        <w:rPr>
          <w:rFonts w:ascii="Times New Roman" w:hAnsi="Times New Roman" w:cs="Times New Roman"/>
          <w:sz w:val="24"/>
          <w:szCs w:val="24"/>
        </w:rPr>
        <w:t> </w:t>
      </w:r>
      <w:r w:rsidRPr="00BD36DF">
        <w:rPr>
          <w:rFonts w:ascii="Times New Roman" w:hAnsi="Times New Roman" w:cs="Times New Roman"/>
          <w:sz w:val="24"/>
          <w:szCs w:val="24"/>
        </w:rPr>
        <w:t>401/2009 a (EÚ) 2018/1999 (európsky právny predpis v oblasti klímy) (Ú. v.</w:t>
      </w:r>
      <w:r w:rsidR="0066046F" w:rsidRPr="00BD36DF">
        <w:rPr>
          <w:rFonts w:ascii="Times New Roman" w:hAnsi="Times New Roman" w:cs="Times New Roman"/>
          <w:sz w:val="24"/>
          <w:szCs w:val="24"/>
        </w:rPr>
        <w:t> </w:t>
      </w:r>
      <w:r w:rsidRPr="00BD36DF">
        <w:rPr>
          <w:rFonts w:ascii="Times New Roman" w:hAnsi="Times New Roman" w:cs="Times New Roman"/>
          <w:sz w:val="24"/>
          <w:szCs w:val="24"/>
        </w:rPr>
        <w:t xml:space="preserve">EÚ L 243, 9.7.2021), </w:t>
      </w:r>
      <w:r w:rsidR="00BB2BF0" w:rsidRPr="00BD36DF">
        <w:rPr>
          <w:rFonts w:ascii="Times New Roman" w:hAnsi="Times New Roman" w:cs="Times New Roman"/>
          <w:color w:val="000000"/>
          <w:sz w:val="24"/>
          <w:szCs w:val="24"/>
          <w:lang w:eastAsia="sk-SK"/>
        </w:rPr>
        <w:t xml:space="preserve">gestori: </w:t>
      </w:r>
      <w:r w:rsidR="006D3ABD" w:rsidRPr="00BD36DF">
        <w:rPr>
          <w:rFonts w:ascii="Times New Roman" w:hAnsi="Times New Roman" w:cs="Times New Roman"/>
          <w:color w:val="000000"/>
          <w:sz w:val="24"/>
          <w:szCs w:val="24"/>
          <w:lang w:eastAsia="sk-SK"/>
        </w:rPr>
        <w:t xml:space="preserve">MŽP SR, MH SR, MD SR, MPRV </w:t>
      </w:r>
      <w:r w:rsidR="00BB2BF0" w:rsidRPr="00BD36DF">
        <w:rPr>
          <w:rFonts w:ascii="Times New Roman" w:hAnsi="Times New Roman" w:cs="Times New Roman"/>
          <w:color w:val="000000"/>
          <w:sz w:val="24"/>
          <w:szCs w:val="24"/>
          <w:lang w:eastAsia="sk-SK"/>
        </w:rPr>
        <w:t xml:space="preserve">SR, </w:t>
      </w:r>
    </w:p>
    <w:p w14:paraId="7FF36E74" w14:textId="683A923A" w:rsidR="00F928EA" w:rsidRPr="00BD36DF" w:rsidRDefault="00F928EA" w:rsidP="00B22913">
      <w:pPr>
        <w:pStyle w:val="Odsekzoznamu"/>
        <w:numPr>
          <w:ilvl w:val="0"/>
          <w:numId w:val="3"/>
        </w:numPr>
        <w:spacing w:after="0" w:line="240" w:lineRule="auto"/>
        <w:ind w:left="1066" w:hanging="357"/>
        <w:jc w:val="both"/>
        <w:rPr>
          <w:rFonts w:ascii="Times New Roman" w:eastAsia="Times New Roman" w:hAnsi="Times New Roman" w:cs="Times New Roman"/>
          <w:iCs/>
          <w:sz w:val="24"/>
          <w:szCs w:val="24"/>
          <w:lang w:eastAsia="sk-SK"/>
        </w:rPr>
      </w:pPr>
      <w:r w:rsidRPr="00BD36DF">
        <w:rPr>
          <w:rFonts w:ascii="Times New Roman" w:eastAsia="Times New Roman" w:hAnsi="Times New Roman" w:cs="Times New Roman"/>
          <w:iCs/>
          <w:sz w:val="24"/>
          <w:szCs w:val="24"/>
          <w:lang w:eastAsia="sk-SK"/>
        </w:rPr>
        <w:t>nariadeni</w:t>
      </w:r>
      <w:r w:rsidR="00A23E2F" w:rsidRPr="00BD36DF">
        <w:rPr>
          <w:rFonts w:ascii="Times New Roman" w:eastAsia="Times New Roman" w:hAnsi="Times New Roman" w:cs="Times New Roman"/>
          <w:iCs/>
          <w:sz w:val="24"/>
          <w:szCs w:val="24"/>
          <w:lang w:eastAsia="sk-SK"/>
        </w:rPr>
        <w:t>e</w:t>
      </w:r>
      <w:r w:rsidRPr="00BD36DF">
        <w:rPr>
          <w:rFonts w:ascii="Times New Roman" w:eastAsia="Times New Roman" w:hAnsi="Times New Roman" w:cs="Times New Roman"/>
          <w:iCs/>
          <w:sz w:val="24"/>
          <w:szCs w:val="24"/>
          <w:lang w:eastAsia="sk-SK"/>
        </w:rPr>
        <w:t xml:space="preserve"> Európskeho parlamentu a Rady (EÚ) </w:t>
      </w:r>
      <w:r w:rsidRPr="00BD36DF">
        <w:rPr>
          <w:rFonts w:ascii="Times New Roman" w:eastAsia="Times New Roman" w:hAnsi="Times New Roman" w:cs="Times New Roman"/>
          <w:iCs/>
          <w:sz w:val="24"/>
          <w:szCs w:val="24"/>
          <w:u w:val="single"/>
          <w:lang w:eastAsia="sk-SK"/>
        </w:rPr>
        <w:t>2022/2554</w:t>
      </w:r>
      <w:r w:rsidRPr="00BD36DF">
        <w:rPr>
          <w:rFonts w:ascii="Times New Roman" w:eastAsia="Times New Roman" w:hAnsi="Times New Roman" w:cs="Times New Roman"/>
          <w:iCs/>
          <w:sz w:val="24"/>
          <w:szCs w:val="24"/>
          <w:lang w:eastAsia="sk-SK"/>
        </w:rPr>
        <w:t xml:space="preserve"> zo 14. decembra 2022 o digitálnej prevádzkovej odolnosti finančného sektora a o zmene nariadení (ES) č.</w:t>
      </w:r>
      <w:r w:rsidR="00B22913" w:rsidRPr="00BD36DF">
        <w:rPr>
          <w:rFonts w:ascii="Times New Roman" w:eastAsia="Times New Roman" w:hAnsi="Times New Roman" w:cs="Times New Roman"/>
          <w:iCs/>
          <w:sz w:val="24"/>
          <w:szCs w:val="24"/>
          <w:lang w:eastAsia="sk-SK"/>
        </w:rPr>
        <w:t> </w:t>
      </w:r>
      <w:r w:rsidRPr="00BD36DF">
        <w:rPr>
          <w:rFonts w:ascii="Times New Roman" w:eastAsia="Times New Roman" w:hAnsi="Times New Roman" w:cs="Times New Roman"/>
          <w:iCs/>
          <w:sz w:val="24"/>
          <w:szCs w:val="24"/>
          <w:lang w:eastAsia="sk-SK"/>
        </w:rPr>
        <w:t xml:space="preserve"> 1060/2009, (EÚ) č. 648/2012, (EÚ) č. 600/2014, (EÚ) č. 909/2014 a (EÚ) 2016/1011 (Ú. v. EÚ L 333, 27. 12. 2022), </w:t>
      </w:r>
      <w:r w:rsidRPr="00BD36DF">
        <w:rPr>
          <w:rFonts w:ascii="Times New Roman" w:hAnsi="Times New Roman" w:cs="Times New Roman"/>
          <w:color w:val="000000"/>
          <w:sz w:val="24"/>
          <w:szCs w:val="24"/>
          <w:lang w:eastAsia="sk-SK"/>
        </w:rPr>
        <w:t>gestori:</w:t>
      </w:r>
      <w:r w:rsidRPr="00BD36DF">
        <w:t xml:space="preserve"> </w:t>
      </w:r>
      <w:r w:rsidRPr="00BD36DF">
        <w:rPr>
          <w:rFonts w:ascii="Times New Roman" w:eastAsia="Times New Roman" w:hAnsi="Times New Roman" w:cs="Times New Roman"/>
          <w:iCs/>
          <w:sz w:val="24"/>
          <w:szCs w:val="24"/>
          <w:lang w:eastAsia="sk-SK"/>
        </w:rPr>
        <w:t>MF SR, NBS,</w:t>
      </w:r>
    </w:p>
    <w:p w14:paraId="56904F1B" w14:textId="3DD1B021" w:rsidR="004E0547" w:rsidRPr="00BD36DF" w:rsidRDefault="004E0547" w:rsidP="0088317A">
      <w:pPr>
        <w:pStyle w:val="Odsekzoznamu"/>
        <w:numPr>
          <w:ilvl w:val="0"/>
          <w:numId w:val="3"/>
        </w:numPr>
        <w:spacing w:after="0" w:line="240" w:lineRule="auto"/>
        <w:ind w:left="1066" w:hanging="357"/>
        <w:jc w:val="both"/>
        <w:rPr>
          <w:rFonts w:ascii="Times New Roman" w:eastAsia="Times New Roman" w:hAnsi="Times New Roman" w:cs="Times New Roman"/>
          <w:i/>
          <w:sz w:val="24"/>
          <w:szCs w:val="24"/>
          <w:lang w:eastAsia="sk-SK"/>
        </w:rPr>
      </w:pPr>
      <w:r w:rsidRPr="00BD36DF">
        <w:rPr>
          <w:rFonts w:ascii="Times New Roman" w:hAnsi="Times New Roman" w:cs="Times New Roman"/>
          <w:sz w:val="24"/>
          <w:szCs w:val="24"/>
        </w:rPr>
        <w:lastRenderedPageBreak/>
        <w:t>nariadeni</w:t>
      </w:r>
      <w:r w:rsidR="00E01941" w:rsidRPr="00BD36DF">
        <w:rPr>
          <w:rFonts w:ascii="Times New Roman" w:hAnsi="Times New Roman" w:cs="Times New Roman"/>
          <w:sz w:val="24"/>
          <w:szCs w:val="24"/>
        </w:rPr>
        <w:t>e</w:t>
      </w:r>
      <w:r w:rsidRPr="00BD36DF">
        <w:rPr>
          <w:rFonts w:ascii="Times New Roman" w:hAnsi="Times New Roman" w:cs="Times New Roman"/>
          <w:sz w:val="24"/>
          <w:szCs w:val="24"/>
        </w:rPr>
        <w:t xml:space="preserve"> Komisie (EÚ) </w:t>
      </w:r>
      <w:r w:rsidRPr="00BD36DF">
        <w:rPr>
          <w:rFonts w:ascii="Times New Roman" w:hAnsi="Times New Roman" w:cs="Times New Roman"/>
          <w:sz w:val="24"/>
          <w:szCs w:val="24"/>
          <w:u w:val="single"/>
        </w:rPr>
        <w:t>2023/1803</w:t>
      </w:r>
      <w:r w:rsidRPr="00BD36DF">
        <w:rPr>
          <w:rFonts w:ascii="Times New Roman" w:hAnsi="Times New Roman" w:cs="Times New Roman"/>
          <w:sz w:val="24"/>
          <w:szCs w:val="24"/>
        </w:rPr>
        <w:t xml:space="preserve"> z 13. </w:t>
      </w:r>
      <w:r w:rsidR="00953A3F" w:rsidRPr="00BD36DF">
        <w:rPr>
          <w:rFonts w:ascii="Times New Roman" w:hAnsi="Times New Roman" w:cs="Times New Roman"/>
          <w:sz w:val="24"/>
          <w:szCs w:val="24"/>
        </w:rPr>
        <w:t>septembra</w:t>
      </w:r>
      <w:r w:rsidRPr="00BD36DF">
        <w:rPr>
          <w:rFonts w:ascii="Times New Roman" w:hAnsi="Times New Roman" w:cs="Times New Roman"/>
          <w:sz w:val="24"/>
          <w:szCs w:val="24"/>
        </w:rPr>
        <w:t xml:space="preserve"> 2023, ktorým sa v súlade s</w:t>
      </w:r>
      <w:r w:rsidR="00E01941" w:rsidRPr="00BD36DF">
        <w:rPr>
          <w:rFonts w:ascii="Times New Roman" w:hAnsi="Times New Roman" w:cs="Times New Roman"/>
          <w:sz w:val="24"/>
          <w:szCs w:val="24"/>
        </w:rPr>
        <w:t> </w:t>
      </w:r>
      <w:r w:rsidRPr="00BD36DF">
        <w:rPr>
          <w:rFonts w:ascii="Times New Roman" w:hAnsi="Times New Roman" w:cs="Times New Roman"/>
          <w:sz w:val="24"/>
          <w:szCs w:val="24"/>
        </w:rPr>
        <w:t xml:space="preserve">nariadením Európskeho parlamentu a Rady (ES) č. 1606/2002 prijímajú určité medzinárodné účtovné štandardy (Ú. v. EÚ L 237, 26.9.2023) v platnom znení, </w:t>
      </w:r>
      <w:r w:rsidR="00BB2BF0" w:rsidRPr="00BD36DF">
        <w:rPr>
          <w:rFonts w:ascii="Times New Roman" w:hAnsi="Times New Roman" w:cs="Times New Roman"/>
          <w:color w:val="000000"/>
          <w:sz w:val="24"/>
          <w:szCs w:val="24"/>
          <w:lang w:eastAsia="sk-SK"/>
        </w:rPr>
        <w:t xml:space="preserve">gestor: MF SR, </w:t>
      </w:r>
    </w:p>
    <w:p w14:paraId="736418C3" w14:textId="4608B18D" w:rsidR="00637A26" w:rsidRPr="00BD36DF" w:rsidRDefault="002D41CE" w:rsidP="004A2EED">
      <w:pPr>
        <w:pStyle w:val="Odsekzoznamu"/>
        <w:numPr>
          <w:ilvl w:val="0"/>
          <w:numId w:val="3"/>
        </w:numPr>
        <w:spacing w:after="0" w:line="240" w:lineRule="auto"/>
        <w:jc w:val="both"/>
        <w:rPr>
          <w:rFonts w:ascii="Times New Roman" w:eastAsia="Times New Roman" w:hAnsi="Times New Roman" w:cs="Times New Roman"/>
          <w:i/>
          <w:sz w:val="24"/>
          <w:szCs w:val="24"/>
          <w:lang w:eastAsia="sk-SK"/>
        </w:rPr>
      </w:pPr>
      <w:r w:rsidRPr="00BD36DF">
        <w:rPr>
          <w:rFonts w:ascii="Times New Roman" w:hAnsi="Times New Roman" w:cs="Times New Roman"/>
          <w:color w:val="000000"/>
          <w:sz w:val="24"/>
          <w:szCs w:val="24"/>
          <w:lang w:eastAsia="sk-SK"/>
        </w:rPr>
        <w:t xml:space="preserve">nariadenie Európskeho parlamentu a Rady (EÚ) </w:t>
      </w:r>
      <w:r w:rsidRPr="00BD36DF">
        <w:rPr>
          <w:rFonts w:ascii="Times New Roman" w:hAnsi="Times New Roman" w:cs="Times New Roman"/>
          <w:color w:val="000000"/>
          <w:sz w:val="24"/>
          <w:szCs w:val="24"/>
          <w:u w:val="single"/>
          <w:lang w:eastAsia="sk-SK"/>
        </w:rPr>
        <w:t>2023/1114</w:t>
      </w:r>
      <w:r w:rsidRPr="00BD36DF">
        <w:rPr>
          <w:rFonts w:ascii="Times New Roman" w:hAnsi="Times New Roman" w:cs="Times New Roman"/>
          <w:color w:val="000000"/>
          <w:sz w:val="24"/>
          <w:szCs w:val="24"/>
          <w:lang w:eastAsia="sk-SK"/>
        </w:rPr>
        <w:t xml:space="preserve"> z 31. mája 2023 o trhoch s kryptoaktívami a o zmene nariadení (EÚ) č. 1093/2010 a (EÚ) č.</w:t>
      </w:r>
      <w:r w:rsidRPr="00BD36DF">
        <w:rPr>
          <w:rFonts w:ascii="Times New Roman" w:hAnsi="Times New Roman" w:cs="Times New Roman"/>
          <w:sz w:val="24"/>
          <w:szCs w:val="24"/>
          <w:shd w:val="clear" w:color="auto" w:fill="FFFFFF"/>
        </w:rPr>
        <w:t> </w:t>
      </w:r>
      <w:r w:rsidRPr="00BD36DF">
        <w:rPr>
          <w:rFonts w:ascii="Times New Roman" w:hAnsi="Times New Roman" w:cs="Times New Roman"/>
          <w:color w:val="000000"/>
          <w:sz w:val="24"/>
          <w:szCs w:val="24"/>
          <w:lang w:eastAsia="sk-SK"/>
        </w:rPr>
        <w:t>1095/2010 a smerníc 2013/36/EÚ a (EÚ) 2019/1937 (Ú. v. EÚ L 150, 9.6.2023), v platnom znení, gestori: MF SR, NBS</w:t>
      </w:r>
      <w:r w:rsidR="00637A26" w:rsidRPr="00BD36DF">
        <w:rPr>
          <w:rFonts w:ascii="Times New Roman" w:hAnsi="Times New Roman" w:cs="Times New Roman"/>
          <w:color w:val="000000"/>
          <w:sz w:val="24"/>
          <w:szCs w:val="24"/>
          <w:lang w:eastAsia="sk-SK"/>
        </w:rPr>
        <w:t>,</w:t>
      </w:r>
    </w:p>
    <w:p w14:paraId="6DD9E7FD" w14:textId="28A58F18" w:rsidR="0005256E" w:rsidRPr="00BD36DF" w:rsidRDefault="0005256E" w:rsidP="004A2EED">
      <w:pPr>
        <w:pStyle w:val="Odsekzoznamu"/>
        <w:numPr>
          <w:ilvl w:val="0"/>
          <w:numId w:val="3"/>
        </w:numPr>
        <w:spacing w:after="0" w:line="240" w:lineRule="auto"/>
        <w:jc w:val="both"/>
        <w:rPr>
          <w:rFonts w:ascii="Times New Roman" w:eastAsia="Times New Roman" w:hAnsi="Times New Roman" w:cs="Times New Roman"/>
          <w:i/>
          <w:sz w:val="24"/>
          <w:szCs w:val="24"/>
          <w:lang w:eastAsia="sk-SK"/>
        </w:rPr>
      </w:pPr>
      <w:r w:rsidRPr="00BD36DF">
        <w:rPr>
          <w:rFonts w:ascii="Times New Roman" w:hAnsi="Times New Roman" w:cs="Times New Roman"/>
          <w:sz w:val="24"/>
          <w:szCs w:val="24"/>
        </w:rPr>
        <w:t xml:space="preserve">delegované nariadenie Komisie (EÚ) </w:t>
      </w:r>
      <w:r w:rsidRPr="00BD36DF">
        <w:rPr>
          <w:rFonts w:ascii="Times New Roman" w:hAnsi="Times New Roman" w:cs="Times New Roman"/>
          <w:sz w:val="24"/>
          <w:szCs w:val="24"/>
          <w:u w:val="single"/>
        </w:rPr>
        <w:t>2024/856</w:t>
      </w:r>
      <w:r w:rsidRPr="00BD36DF">
        <w:rPr>
          <w:rFonts w:ascii="Times New Roman" w:hAnsi="Times New Roman" w:cs="Times New Roman"/>
          <w:sz w:val="24"/>
          <w:szCs w:val="24"/>
        </w:rPr>
        <w:t xml:space="preserve"> z 1. decembra 2023, ktorým sa dopĺňa smernica Európskeho parlamentu a Rady 2013/36/EÚ, pokiaľ ide o</w:t>
      </w:r>
      <w:r w:rsidR="00B63700" w:rsidRPr="00BD36DF">
        <w:rPr>
          <w:rFonts w:ascii="Times New Roman" w:hAnsi="Times New Roman" w:cs="Times New Roman"/>
          <w:sz w:val="24"/>
          <w:szCs w:val="24"/>
        </w:rPr>
        <w:t> </w:t>
      </w:r>
      <w:r w:rsidRPr="00BD36DF">
        <w:rPr>
          <w:rFonts w:ascii="Times New Roman" w:hAnsi="Times New Roman" w:cs="Times New Roman"/>
          <w:sz w:val="24"/>
          <w:szCs w:val="24"/>
        </w:rPr>
        <w:t xml:space="preserve"> regulačné technické predpisy, v ktorých sa upresňujú šokové scenáre dohľadu, spoločné modelovacie a parametrické predpoklady a to, čo predstavuje veľký pokles (Ú. v. EÚ L, 2024/856, 24.4.2024), </w:t>
      </w:r>
      <w:r w:rsidRPr="00BD36DF">
        <w:rPr>
          <w:rFonts w:ascii="Times New Roman" w:hAnsi="Times New Roman" w:cs="Times New Roman"/>
          <w:color w:val="000000"/>
          <w:sz w:val="24"/>
          <w:szCs w:val="24"/>
          <w:lang w:eastAsia="sk-SK"/>
        </w:rPr>
        <w:t>gestori: MF SR, NBS,</w:t>
      </w:r>
    </w:p>
    <w:p w14:paraId="59D3EE4E" w14:textId="3199A19E" w:rsidR="00BA6B55" w:rsidRPr="00BD36DF" w:rsidRDefault="00F928EA" w:rsidP="004A2EED">
      <w:pPr>
        <w:pStyle w:val="Odsekzoznamu"/>
        <w:numPr>
          <w:ilvl w:val="0"/>
          <w:numId w:val="3"/>
        </w:numPr>
        <w:spacing w:after="0" w:line="240" w:lineRule="auto"/>
        <w:jc w:val="both"/>
        <w:rPr>
          <w:rFonts w:ascii="Times New Roman" w:eastAsia="Times New Roman" w:hAnsi="Times New Roman" w:cs="Times New Roman"/>
          <w:i/>
          <w:sz w:val="24"/>
          <w:szCs w:val="24"/>
          <w:lang w:eastAsia="sk-SK"/>
        </w:rPr>
      </w:pPr>
      <w:r w:rsidRPr="00BD36DF">
        <w:rPr>
          <w:rFonts w:ascii="Times New Roman" w:hAnsi="Times New Roman" w:cs="Times New Roman"/>
          <w:sz w:val="24"/>
          <w:szCs w:val="24"/>
        </w:rPr>
        <w:t>n</w:t>
      </w:r>
      <w:r w:rsidR="00BA6B55" w:rsidRPr="00BD36DF">
        <w:rPr>
          <w:rFonts w:ascii="Times New Roman" w:hAnsi="Times New Roman" w:cs="Times New Roman"/>
          <w:sz w:val="24"/>
          <w:szCs w:val="24"/>
        </w:rPr>
        <w:t xml:space="preserve">ariadenie Európskeho parlamentu a Rady (EÚ) </w:t>
      </w:r>
      <w:r w:rsidR="00BA6B55" w:rsidRPr="00BD36DF">
        <w:rPr>
          <w:rFonts w:ascii="Times New Roman" w:hAnsi="Times New Roman" w:cs="Times New Roman"/>
          <w:sz w:val="24"/>
          <w:szCs w:val="24"/>
          <w:u w:val="single"/>
        </w:rPr>
        <w:t>2024/1620</w:t>
      </w:r>
      <w:r w:rsidR="00BA6B55" w:rsidRPr="00BD36DF">
        <w:rPr>
          <w:rFonts w:ascii="Times New Roman" w:hAnsi="Times New Roman" w:cs="Times New Roman"/>
          <w:sz w:val="24"/>
          <w:szCs w:val="24"/>
        </w:rPr>
        <w:t xml:space="preserve"> z 31. mája 2024, ktorým sa zriaďuje Úrad pre boj proti praniu špinavých peňazí a financovaniu terorizmu a ktorým sa menia nariadenia (EÚ) č. 1093/2010, (EÚ) č. 1094/2010 a</w:t>
      </w:r>
      <w:r w:rsidR="00E01941" w:rsidRPr="00BD36DF">
        <w:rPr>
          <w:rFonts w:ascii="Times New Roman" w:hAnsi="Times New Roman" w:cs="Times New Roman"/>
          <w:sz w:val="24"/>
          <w:szCs w:val="24"/>
        </w:rPr>
        <w:t> </w:t>
      </w:r>
      <w:r w:rsidR="00BA6B55" w:rsidRPr="00BD36DF">
        <w:rPr>
          <w:rFonts w:ascii="Times New Roman" w:hAnsi="Times New Roman" w:cs="Times New Roman"/>
          <w:sz w:val="24"/>
          <w:szCs w:val="24"/>
        </w:rPr>
        <w:t>(EÚ) č. 1095/2010 (</w:t>
      </w:r>
      <w:r w:rsidR="00BA6B55" w:rsidRPr="00BD36DF">
        <w:rPr>
          <w:rFonts w:ascii="Times New Roman" w:hAnsi="Times New Roman" w:cs="Times New Roman"/>
          <w:sz w:val="24"/>
          <w:szCs w:val="24"/>
          <w:shd w:val="clear" w:color="auto" w:fill="FFFFFF"/>
        </w:rPr>
        <w:t>Ú. v. EÚ L, 2024/1620, 19.6.2024</w:t>
      </w:r>
      <w:r w:rsidR="00BA6B55" w:rsidRPr="00BD36DF">
        <w:rPr>
          <w:rFonts w:ascii="Times New Roman" w:hAnsi="Times New Roman" w:cs="Times New Roman"/>
          <w:sz w:val="24"/>
          <w:szCs w:val="24"/>
        </w:rPr>
        <w:t xml:space="preserve"> ), </w:t>
      </w:r>
      <w:r w:rsidR="00BA6B55" w:rsidRPr="00BD36DF">
        <w:rPr>
          <w:rFonts w:ascii="Times New Roman" w:hAnsi="Times New Roman" w:cs="Times New Roman"/>
          <w:color w:val="000000"/>
          <w:sz w:val="24"/>
          <w:szCs w:val="24"/>
          <w:lang w:eastAsia="sk-SK"/>
        </w:rPr>
        <w:t xml:space="preserve">gestori: </w:t>
      </w:r>
      <w:r w:rsidR="00E33E9F" w:rsidRPr="00BD36DF">
        <w:rPr>
          <w:rFonts w:ascii="Times New Roman" w:hAnsi="Times New Roman" w:cs="Times New Roman"/>
          <w:color w:val="000000"/>
          <w:sz w:val="24"/>
          <w:szCs w:val="24"/>
          <w:lang w:eastAsia="sk-SK"/>
        </w:rPr>
        <w:t xml:space="preserve">MV SR, </w:t>
      </w:r>
      <w:r w:rsidR="00BA6B55" w:rsidRPr="00BD36DF">
        <w:rPr>
          <w:rFonts w:ascii="Times New Roman" w:hAnsi="Times New Roman" w:cs="Times New Roman"/>
          <w:color w:val="000000"/>
          <w:sz w:val="24"/>
          <w:szCs w:val="24"/>
          <w:lang w:eastAsia="sk-SK"/>
        </w:rPr>
        <w:t>MF SR,</w:t>
      </w:r>
      <w:r w:rsidR="00E33E9F" w:rsidRPr="00BD36DF">
        <w:rPr>
          <w:rFonts w:ascii="Times New Roman" w:hAnsi="Times New Roman" w:cs="Times New Roman"/>
          <w:color w:val="000000"/>
          <w:sz w:val="24"/>
          <w:szCs w:val="24"/>
          <w:lang w:eastAsia="sk-SK"/>
        </w:rPr>
        <w:t xml:space="preserve"> MS SR,</w:t>
      </w:r>
      <w:r w:rsidR="00BA6B55" w:rsidRPr="00BD36DF">
        <w:rPr>
          <w:rFonts w:ascii="Times New Roman" w:hAnsi="Times New Roman" w:cs="Times New Roman"/>
          <w:color w:val="000000"/>
          <w:sz w:val="24"/>
          <w:szCs w:val="24"/>
          <w:lang w:eastAsia="sk-SK"/>
        </w:rPr>
        <w:t xml:space="preserve"> NBS,</w:t>
      </w:r>
    </w:p>
    <w:p w14:paraId="0BCC0B51" w14:textId="77777777" w:rsidR="00F928EA" w:rsidRPr="00BD36DF" w:rsidRDefault="00637A26" w:rsidP="004A2EED">
      <w:pPr>
        <w:pStyle w:val="Odsekzoznamu"/>
        <w:numPr>
          <w:ilvl w:val="0"/>
          <w:numId w:val="3"/>
        </w:numPr>
        <w:spacing w:after="0" w:line="240" w:lineRule="auto"/>
        <w:jc w:val="both"/>
        <w:rPr>
          <w:rFonts w:ascii="Times New Roman" w:eastAsia="Times New Roman" w:hAnsi="Times New Roman" w:cs="Times New Roman"/>
          <w:i/>
          <w:sz w:val="24"/>
          <w:szCs w:val="24"/>
          <w:lang w:eastAsia="sk-SK"/>
        </w:rPr>
      </w:pPr>
      <w:r w:rsidRPr="00BD36DF">
        <w:rPr>
          <w:rFonts w:ascii="Times New Roman" w:hAnsi="Times New Roman" w:cs="Times New Roman"/>
          <w:bCs/>
          <w:sz w:val="24"/>
          <w:szCs w:val="24"/>
        </w:rPr>
        <w:t xml:space="preserve">nariadenie </w:t>
      </w:r>
      <w:r w:rsidRPr="00BD36DF">
        <w:rPr>
          <w:rFonts w:ascii="Times New Roman" w:hAnsi="Times New Roman" w:cs="Times New Roman"/>
          <w:sz w:val="24"/>
          <w:szCs w:val="24"/>
        </w:rPr>
        <w:t xml:space="preserve">Európskeho parlamentu a Rady (EÚ) </w:t>
      </w:r>
      <w:r w:rsidRPr="00BD36DF">
        <w:rPr>
          <w:rFonts w:ascii="Times New Roman" w:hAnsi="Times New Roman" w:cs="Times New Roman"/>
          <w:sz w:val="24"/>
          <w:szCs w:val="24"/>
          <w:u w:val="single"/>
        </w:rPr>
        <w:t>2024/1623</w:t>
      </w:r>
      <w:r w:rsidRPr="00BD36DF">
        <w:rPr>
          <w:rFonts w:ascii="Times New Roman" w:hAnsi="Times New Roman" w:cs="Times New Roman"/>
          <w:sz w:val="24"/>
          <w:szCs w:val="24"/>
        </w:rPr>
        <w:t xml:space="preserve"> z 31. mája 2024, ktorým sa mení nariadenie (EÚ) č. 575/2013, pokiaľ ide o požiadavky na kreditné riziko, riziko úpravy ocenenia pohľadávky, operačné riziko, trhové riziko a spodnú hranicu pre výstupné hodnoty (Ú. v. EÚ L</w:t>
      </w:r>
      <w:r w:rsidR="00F928EA" w:rsidRPr="00BD36DF">
        <w:rPr>
          <w:rFonts w:ascii="Times New Roman" w:hAnsi="Times New Roman" w:cs="Times New Roman"/>
          <w:sz w:val="24"/>
          <w:szCs w:val="24"/>
        </w:rPr>
        <w:t xml:space="preserve"> 2024/1623</w:t>
      </w:r>
      <w:r w:rsidRPr="00BD36DF">
        <w:rPr>
          <w:rFonts w:ascii="Times New Roman" w:hAnsi="Times New Roman" w:cs="Times New Roman"/>
          <w:sz w:val="24"/>
          <w:szCs w:val="24"/>
        </w:rPr>
        <w:t>, 19.6.2024)</w:t>
      </w:r>
      <w:r w:rsidR="00F928EA" w:rsidRPr="00BD36DF">
        <w:rPr>
          <w:rFonts w:ascii="Times New Roman" w:hAnsi="Times New Roman" w:cs="Times New Roman"/>
          <w:sz w:val="24"/>
          <w:szCs w:val="24"/>
        </w:rPr>
        <w:t xml:space="preserve"> v platnom znení</w:t>
      </w:r>
      <w:r w:rsidRPr="00BD36DF">
        <w:rPr>
          <w:rFonts w:ascii="Times New Roman" w:hAnsi="Times New Roman" w:cs="Times New Roman"/>
          <w:sz w:val="24"/>
          <w:szCs w:val="24"/>
        </w:rPr>
        <w:t xml:space="preserve">, </w:t>
      </w:r>
      <w:r w:rsidRPr="00BD36DF">
        <w:rPr>
          <w:rFonts w:ascii="Times New Roman" w:hAnsi="Times New Roman" w:cs="Times New Roman"/>
          <w:color w:val="000000"/>
          <w:sz w:val="24"/>
          <w:szCs w:val="24"/>
          <w:lang w:eastAsia="sk-SK"/>
        </w:rPr>
        <w:t>gestori: MF SR, NBS</w:t>
      </w:r>
      <w:r w:rsidR="00F928EA" w:rsidRPr="00BD36DF">
        <w:rPr>
          <w:rFonts w:ascii="Times New Roman" w:hAnsi="Times New Roman" w:cs="Times New Roman"/>
          <w:color w:val="000000"/>
          <w:sz w:val="24"/>
          <w:szCs w:val="24"/>
          <w:lang w:eastAsia="sk-SK"/>
        </w:rPr>
        <w:t>,</w:t>
      </w:r>
    </w:p>
    <w:p w14:paraId="0B09101A" w14:textId="4765B7FB" w:rsidR="00F928EA" w:rsidRPr="00BD36DF" w:rsidRDefault="00F928EA" w:rsidP="00F928EA">
      <w:pPr>
        <w:pStyle w:val="Odsekzoznamu"/>
        <w:numPr>
          <w:ilvl w:val="0"/>
          <w:numId w:val="3"/>
        </w:numPr>
        <w:spacing w:after="0" w:line="240" w:lineRule="auto"/>
        <w:jc w:val="both"/>
        <w:rPr>
          <w:rFonts w:ascii="Times New Roman" w:eastAsia="Times New Roman" w:hAnsi="Times New Roman" w:cs="Times New Roman"/>
          <w:i/>
          <w:sz w:val="24"/>
          <w:szCs w:val="24"/>
          <w:lang w:eastAsia="sk-SK"/>
        </w:rPr>
      </w:pPr>
      <w:r w:rsidRPr="00BD36DF">
        <w:rPr>
          <w:rFonts w:ascii="Times New Roman" w:hAnsi="Times New Roman" w:cs="Times New Roman"/>
          <w:sz w:val="24"/>
          <w:szCs w:val="24"/>
        </w:rPr>
        <w:t xml:space="preserve">delegované nariadenie Komisie (EÚ) </w:t>
      </w:r>
      <w:r w:rsidRPr="00BD36DF">
        <w:rPr>
          <w:rFonts w:ascii="Times New Roman" w:hAnsi="Times New Roman" w:cs="Times New Roman"/>
          <w:sz w:val="24"/>
          <w:szCs w:val="24"/>
          <w:u w:val="single"/>
        </w:rPr>
        <w:t>2025/305</w:t>
      </w:r>
      <w:r w:rsidRPr="00BD36DF">
        <w:rPr>
          <w:rFonts w:ascii="Times New Roman" w:hAnsi="Times New Roman" w:cs="Times New Roman"/>
          <w:sz w:val="24"/>
          <w:szCs w:val="24"/>
        </w:rPr>
        <w:t xml:space="preserve"> z 31. októbra 2024, ktorým sa dopĺňa nariadenie Európskeho parlamentu a Rady (EÚ) 2023/1114, pokiaľ ide o</w:t>
      </w:r>
      <w:r w:rsidR="00B63700" w:rsidRPr="00BD36DF">
        <w:rPr>
          <w:rFonts w:ascii="Times New Roman" w:hAnsi="Times New Roman" w:cs="Times New Roman"/>
          <w:sz w:val="24"/>
          <w:szCs w:val="24"/>
        </w:rPr>
        <w:t> </w:t>
      </w:r>
      <w:r w:rsidRPr="00BD36DF">
        <w:rPr>
          <w:rFonts w:ascii="Times New Roman" w:hAnsi="Times New Roman" w:cs="Times New Roman"/>
          <w:sz w:val="24"/>
          <w:szCs w:val="24"/>
        </w:rPr>
        <w:t xml:space="preserve"> regulačné technické predpisy, ktorými sa spresňujú informácie, ktoré sa majú zahrnúť do žiadosti o udelenie povolenia na činnosť poskytovateľa služieb kryptoaktív (Ú. v. EÚ L, 2025/305, 31.3.2025), gestor</w:t>
      </w:r>
      <w:r w:rsidR="0099136C" w:rsidRPr="00BD36DF">
        <w:rPr>
          <w:rFonts w:ascii="Times New Roman" w:hAnsi="Times New Roman" w:cs="Times New Roman"/>
          <w:sz w:val="24"/>
          <w:szCs w:val="24"/>
        </w:rPr>
        <w:t>i</w:t>
      </w:r>
      <w:r w:rsidRPr="00BD36DF">
        <w:rPr>
          <w:rFonts w:ascii="Times New Roman" w:hAnsi="Times New Roman" w:cs="Times New Roman"/>
          <w:sz w:val="24"/>
          <w:szCs w:val="24"/>
        </w:rPr>
        <w:t>:</w:t>
      </w:r>
      <w:r w:rsidR="0099136C" w:rsidRPr="00BD36DF">
        <w:rPr>
          <w:rFonts w:ascii="Times New Roman" w:hAnsi="Times New Roman" w:cs="Times New Roman"/>
          <w:color w:val="000000"/>
          <w:sz w:val="24"/>
          <w:szCs w:val="24"/>
          <w:lang w:eastAsia="sk-SK"/>
        </w:rPr>
        <w:t xml:space="preserve"> MF SR, NBS</w:t>
      </w:r>
      <w:r w:rsidRPr="00BD36DF">
        <w:rPr>
          <w:rFonts w:ascii="Times New Roman" w:hAnsi="Times New Roman" w:cs="Times New Roman"/>
          <w:sz w:val="24"/>
          <w:szCs w:val="24"/>
        </w:rPr>
        <w:t>,</w:t>
      </w:r>
    </w:p>
    <w:p w14:paraId="3EA25C83" w14:textId="03B9726D" w:rsidR="002D41CE" w:rsidRPr="00BD36DF" w:rsidRDefault="00F928EA" w:rsidP="00B93761">
      <w:pPr>
        <w:pStyle w:val="Odsekzoznamu"/>
        <w:numPr>
          <w:ilvl w:val="0"/>
          <w:numId w:val="3"/>
        </w:numPr>
        <w:spacing w:after="0" w:line="240" w:lineRule="auto"/>
        <w:jc w:val="both"/>
        <w:rPr>
          <w:rStyle w:val="Zvraznenie"/>
          <w:rFonts w:ascii="Times New Roman" w:eastAsia="Times New Roman" w:hAnsi="Times New Roman" w:cs="Times New Roman"/>
          <w:iCs w:val="0"/>
          <w:sz w:val="24"/>
          <w:szCs w:val="24"/>
          <w:lang w:eastAsia="sk-SK"/>
        </w:rPr>
      </w:pPr>
      <w:r w:rsidRPr="00BD36DF">
        <w:rPr>
          <w:rStyle w:val="Zvraznenie"/>
          <w:rFonts w:ascii="Times New Roman" w:eastAsia="Times New Roman" w:hAnsi="Times New Roman" w:cs="Times New Roman"/>
          <w:i w:val="0"/>
          <w:sz w:val="24"/>
          <w:szCs w:val="24"/>
          <w:lang w:eastAsia="sk-SK"/>
        </w:rPr>
        <w:t>rozhodnutie Rady z 29. júna 1998 o poradení sa s Európskou centrálnou bankou vnútroštátnymi orgánmi ohľadom návrhu právnych predpisov (</w:t>
      </w:r>
      <w:r w:rsidRPr="00BD36DF">
        <w:rPr>
          <w:rStyle w:val="Zvraznenie"/>
          <w:rFonts w:ascii="Times New Roman" w:eastAsia="Times New Roman" w:hAnsi="Times New Roman" w:cs="Times New Roman"/>
          <w:i w:val="0"/>
          <w:sz w:val="24"/>
          <w:szCs w:val="24"/>
          <w:u w:val="single"/>
          <w:lang w:eastAsia="sk-SK"/>
        </w:rPr>
        <w:t>98/415/ES</w:t>
      </w:r>
      <w:r w:rsidRPr="00BD36DF">
        <w:rPr>
          <w:rStyle w:val="Zvraznenie"/>
          <w:rFonts w:ascii="Times New Roman" w:eastAsia="Times New Roman" w:hAnsi="Times New Roman" w:cs="Times New Roman"/>
          <w:i w:val="0"/>
          <w:sz w:val="24"/>
          <w:szCs w:val="24"/>
          <w:lang w:eastAsia="sk-SK"/>
        </w:rPr>
        <w:t xml:space="preserve">) (Mimoriadne vydanie </w:t>
      </w:r>
      <w:r w:rsidRPr="00BD36DF">
        <w:rPr>
          <w:rStyle w:val="Zvraznenie"/>
          <w:rFonts w:ascii="Times New Roman" w:hAnsi="Times New Roman" w:cs="Times New Roman"/>
          <w:i w:val="0"/>
          <w:iCs w:val="0"/>
          <w:sz w:val="24"/>
          <w:szCs w:val="24"/>
        </w:rPr>
        <w:t>Ú. v. EÚ</w:t>
      </w:r>
      <w:r w:rsidRPr="00BD36DF">
        <w:rPr>
          <w:rStyle w:val="Zvraznenie"/>
          <w:rFonts w:ascii="Times New Roman" w:eastAsia="Times New Roman" w:hAnsi="Times New Roman" w:cs="Times New Roman"/>
          <w:i w:val="0"/>
          <w:sz w:val="24"/>
          <w:szCs w:val="24"/>
          <w:lang w:eastAsia="sk-SK"/>
        </w:rPr>
        <w:t>, kap. 01/zv. 01</w:t>
      </w:r>
      <w:r w:rsidRPr="00BD36DF">
        <w:rPr>
          <w:rStyle w:val="Zvraznenie"/>
          <w:rFonts w:ascii="Times New Roman" w:hAnsi="Times New Roman" w:cs="Times New Roman"/>
          <w:i w:val="0"/>
          <w:iCs w:val="0"/>
          <w:sz w:val="24"/>
          <w:szCs w:val="24"/>
        </w:rPr>
        <w:t>; Ú. v. ES L 189, 3.7.1998</w:t>
      </w:r>
      <w:r w:rsidRPr="00BD36DF">
        <w:rPr>
          <w:rStyle w:val="Zvraznenie"/>
          <w:rFonts w:ascii="Times New Roman" w:eastAsia="Times New Roman" w:hAnsi="Times New Roman" w:cs="Times New Roman"/>
          <w:i w:val="0"/>
          <w:sz w:val="24"/>
          <w:szCs w:val="24"/>
          <w:lang w:eastAsia="sk-SK"/>
        </w:rPr>
        <w:t>) v platnom znení, gestori:</w:t>
      </w:r>
      <w:r w:rsidRPr="00BD36DF">
        <w:rPr>
          <w:rFonts w:ascii="Times New Roman" w:hAnsi="Times New Roman" w:cs="Times New Roman"/>
          <w:color w:val="000000"/>
          <w:sz w:val="24"/>
          <w:szCs w:val="24"/>
          <w:lang w:eastAsia="sk-SK"/>
        </w:rPr>
        <w:t xml:space="preserve"> MF SR, NBS</w:t>
      </w:r>
      <w:r w:rsidRPr="00BD36DF">
        <w:rPr>
          <w:rStyle w:val="Zvraznenie"/>
          <w:rFonts w:ascii="Times New Roman" w:eastAsia="Times New Roman" w:hAnsi="Times New Roman" w:cs="Times New Roman"/>
          <w:i w:val="0"/>
          <w:sz w:val="24"/>
          <w:szCs w:val="24"/>
          <w:lang w:eastAsia="sk-SK"/>
        </w:rPr>
        <w:t xml:space="preserve">. </w:t>
      </w:r>
    </w:p>
    <w:p w14:paraId="4B494055" w14:textId="77777777" w:rsidR="009C04AA" w:rsidRPr="00BD36DF" w:rsidRDefault="009C04AA" w:rsidP="004A2EED">
      <w:pPr>
        <w:spacing w:after="0" w:line="240" w:lineRule="auto"/>
        <w:rPr>
          <w:rFonts w:ascii="Times New Roman" w:eastAsia="Times New Roman" w:hAnsi="Times New Roman" w:cs="Times New Roman"/>
          <w:sz w:val="24"/>
          <w:szCs w:val="24"/>
          <w:lang w:eastAsia="sk-SK"/>
        </w:rPr>
      </w:pPr>
    </w:p>
    <w:p w14:paraId="5435E58E" w14:textId="77777777" w:rsidR="008545C6" w:rsidRPr="00BD36DF" w:rsidRDefault="008545C6" w:rsidP="004A2EED">
      <w:pPr>
        <w:pStyle w:val="Odsekzoznamu"/>
        <w:numPr>
          <w:ilvl w:val="0"/>
          <w:numId w:val="2"/>
        </w:numPr>
        <w:spacing w:after="0" w:line="240" w:lineRule="auto"/>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v judikatúre Súdneho dvora Európskej únie</w:t>
      </w:r>
    </w:p>
    <w:p w14:paraId="32B448E9" w14:textId="77777777" w:rsidR="008545C6" w:rsidRPr="00BD36DF" w:rsidRDefault="008545C6"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rozsudok</w:t>
      </w:r>
      <w:r w:rsidRPr="00BD36DF">
        <w:rPr>
          <w:rFonts w:ascii="Times New Roman" w:eastAsia="Times New Roman" w:hAnsi="Times New Roman" w:cs="Times New Roman"/>
          <w:spacing w:val="15"/>
          <w:sz w:val="24"/>
          <w:szCs w:val="24"/>
          <w:lang w:eastAsia="sk-SK"/>
        </w:rPr>
        <w:t xml:space="preserve"> </w:t>
      </w:r>
      <w:r w:rsidRPr="00BD36DF">
        <w:rPr>
          <w:rFonts w:ascii="Times New Roman" w:eastAsia="Times New Roman" w:hAnsi="Times New Roman" w:cs="Times New Roman"/>
          <w:sz w:val="24"/>
          <w:szCs w:val="24"/>
          <w:lang w:eastAsia="sk-SK"/>
        </w:rPr>
        <w:t>Súdneho</w:t>
      </w:r>
      <w:r w:rsidRPr="00BD36DF">
        <w:rPr>
          <w:rFonts w:ascii="Times New Roman" w:eastAsia="Times New Roman" w:hAnsi="Times New Roman" w:cs="Times New Roman"/>
          <w:spacing w:val="15"/>
          <w:sz w:val="24"/>
          <w:szCs w:val="24"/>
          <w:lang w:eastAsia="sk-SK"/>
        </w:rPr>
        <w:t xml:space="preserve"> </w:t>
      </w:r>
      <w:r w:rsidRPr="00BD36DF">
        <w:rPr>
          <w:rFonts w:ascii="Times New Roman" w:eastAsia="Times New Roman" w:hAnsi="Times New Roman" w:cs="Times New Roman"/>
          <w:sz w:val="24"/>
          <w:szCs w:val="24"/>
          <w:lang w:eastAsia="sk-SK"/>
        </w:rPr>
        <w:t>dvora</w:t>
      </w:r>
      <w:r w:rsidRPr="00BD36DF">
        <w:rPr>
          <w:rFonts w:ascii="Times New Roman" w:eastAsia="Times New Roman" w:hAnsi="Times New Roman" w:cs="Times New Roman"/>
          <w:spacing w:val="15"/>
          <w:sz w:val="24"/>
          <w:szCs w:val="24"/>
          <w:lang w:eastAsia="sk-SK"/>
        </w:rPr>
        <w:t xml:space="preserve"> </w:t>
      </w:r>
      <w:r w:rsidRPr="00BD36DF">
        <w:rPr>
          <w:rFonts w:ascii="Times New Roman" w:eastAsia="Times New Roman" w:hAnsi="Times New Roman" w:cs="Times New Roman"/>
          <w:sz w:val="24"/>
          <w:szCs w:val="24"/>
          <w:lang w:eastAsia="sk-SK"/>
        </w:rPr>
        <w:t>vo</w:t>
      </w:r>
      <w:r w:rsidRPr="00BD36DF">
        <w:rPr>
          <w:rFonts w:ascii="Times New Roman" w:eastAsia="Times New Roman" w:hAnsi="Times New Roman" w:cs="Times New Roman"/>
          <w:spacing w:val="15"/>
          <w:sz w:val="24"/>
          <w:szCs w:val="24"/>
          <w:lang w:eastAsia="sk-SK"/>
        </w:rPr>
        <w:t xml:space="preserve"> </w:t>
      </w:r>
      <w:r w:rsidRPr="00BD36DF">
        <w:rPr>
          <w:rFonts w:ascii="Times New Roman" w:eastAsia="Times New Roman" w:hAnsi="Times New Roman" w:cs="Times New Roman"/>
          <w:sz w:val="24"/>
          <w:szCs w:val="24"/>
          <w:lang w:eastAsia="sk-SK"/>
        </w:rPr>
        <w:t>veci</w:t>
      </w:r>
      <w:r w:rsidRPr="00BD36DF">
        <w:rPr>
          <w:rFonts w:ascii="Times New Roman" w:eastAsia="Times New Roman" w:hAnsi="Times New Roman" w:cs="Times New Roman"/>
          <w:spacing w:val="15"/>
          <w:sz w:val="24"/>
          <w:szCs w:val="24"/>
          <w:lang w:eastAsia="sk-SK"/>
        </w:rPr>
        <w:t xml:space="preserve"> </w:t>
      </w:r>
      <w:r w:rsidRPr="00BD36DF">
        <w:rPr>
          <w:rFonts w:ascii="Times New Roman" w:eastAsia="Times New Roman" w:hAnsi="Times New Roman" w:cs="Times New Roman"/>
          <w:sz w:val="24"/>
          <w:szCs w:val="24"/>
          <w:lang w:eastAsia="sk-SK"/>
        </w:rPr>
        <w:t>C-452/04,</w:t>
      </w:r>
      <w:r w:rsidRPr="00BD36DF">
        <w:rPr>
          <w:rFonts w:ascii="Times New Roman" w:eastAsia="Times New Roman" w:hAnsi="Times New Roman" w:cs="Times New Roman"/>
          <w:spacing w:val="15"/>
          <w:sz w:val="24"/>
          <w:szCs w:val="24"/>
          <w:lang w:eastAsia="sk-SK"/>
        </w:rPr>
        <w:t xml:space="preserve"> </w:t>
      </w:r>
      <w:r w:rsidRPr="00BD36DF">
        <w:rPr>
          <w:rFonts w:ascii="Times New Roman" w:eastAsia="Times New Roman" w:hAnsi="Times New Roman" w:cs="Times New Roman"/>
          <w:sz w:val="24"/>
          <w:szCs w:val="24"/>
          <w:lang w:eastAsia="sk-SK"/>
        </w:rPr>
        <w:t>Fidium</w:t>
      </w:r>
      <w:r w:rsidRPr="00BD36DF">
        <w:rPr>
          <w:rFonts w:ascii="Times New Roman" w:eastAsia="Times New Roman" w:hAnsi="Times New Roman" w:cs="Times New Roman"/>
          <w:spacing w:val="15"/>
          <w:sz w:val="24"/>
          <w:szCs w:val="24"/>
          <w:lang w:eastAsia="sk-SK"/>
        </w:rPr>
        <w:t xml:space="preserve"> </w:t>
      </w:r>
      <w:r w:rsidRPr="00BD36DF">
        <w:rPr>
          <w:rFonts w:ascii="Times New Roman" w:eastAsia="Times New Roman" w:hAnsi="Times New Roman" w:cs="Times New Roman"/>
          <w:sz w:val="24"/>
          <w:szCs w:val="24"/>
          <w:lang w:eastAsia="sk-SK"/>
        </w:rPr>
        <w:t>Finanz</w:t>
      </w:r>
      <w:r w:rsidRPr="00BD36DF">
        <w:rPr>
          <w:rFonts w:ascii="Times New Roman" w:eastAsia="Times New Roman" w:hAnsi="Times New Roman" w:cs="Times New Roman"/>
          <w:spacing w:val="15"/>
          <w:sz w:val="24"/>
          <w:szCs w:val="24"/>
          <w:lang w:eastAsia="sk-SK"/>
        </w:rPr>
        <w:t xml:space="preserve"> </w:t>
      </w:r>
      <w:r w:rsidRPr="00BD36DF">
        <w:rPr>
          <w:rFonts w:ascii="Times New Roman" w:eastAsia="Times New Roman" w:hAnsi="Times New Roman" w:cs="Times New Roman"/>
          <w:sz w:val="24"/>
          <w:szCs w:val="24"/>
          <w:lang w:eastAsia="sk-SK"/>
        </w:rPr>
        <w:t>AG</w:t>
      </w:r>
      <w:r w:rsidRPr="00BD36DF">
        <w:rPr>
          <w:rFonts w:ascii="Times New Roman" w:eastAsia="Times New Roman" w:hAnsi="Times New Roman" w:cs="Times New Roman"/>
          <w:spacing w:val="15"/>
          <w:sz w:val="24"/>
          <w:szCs w:val="24"/>
          <w:lang w:eastAsia="sk-SK"/>
        </w:rPr>
        <w:t xml:space="preserve"> </w:t>
      </w:r>
      <w:r w:rsidRPr="00BD36DF">
        <w:rPr>
          <w:rFonts w:ascii="Times New Roman" w:eastAsia="Times New Roman" w:hAnsi="Times New Roman" w:cs="Times New Roman"/>
          <w:sz w:val="24"/>
          <w:szCs w:val="24"/>
          <w:lang w:eastAsia="sk-SK"/>
        </w:rPr>
        <w:t>proti Bundesanstalt für Finanzdienstleistungsaufsicht, [2006],</w:t>
      </w:r>
    </w:p>
    <w:p w14:paraId="495DE1B2" w14:textId="77777777" w:rsidR="00D9297E" w:rsidRPr="00BD36DF" w:rsidRDefault="00D9297E" w:rsidP="004A2EED">
      <w:pPr>
        <w:pStyle w:val="Odsekzoznamu"/>
        <w:spacing w:after="0" w:line="240" w:lineRule="auto"/>
        <w:ind w:left="1068"/>
        <w:jc w:val="both"/>
        <w:rPr>
          <w:rFonts w:ascii="Times New Roman" w:eastAsia="Times New Roman" w:hAnsi="Times New Roman" w:cs="Times New Roman"/>
          <w:sz w:val="24"/>
          <w:szCs w:val="24"/>
          <w:lang w:eastAsia="sk-SK"/>
        </w:rPr>
      </w:pPr>
    </w:p>
    <w:p w14:paraId="31A83558" w14:textId="77777777" w:rsidR="00D9297E" w:rsidRPr="00BD36DF" w:rsidRDefault="00D9297E" w:rsidP="0088317A">
      <w:pPr>
        <w:keepNext/>
        <w:spacing w:after="0" w:line="240" w:lineRule="auto"/>
        <w:ind w:left="1134"/>
        <w:jc w:val="both"/>
        <w:rPr>
          <w:rFonts w:ascii="Times New Roman" w:eastAsia="Times New Roman" w:hAnsi="Times New Roman" w:cs="Times New Roman"/>
          <w:b/>
          <w:sz w:val="24"/>
          <w:szCs w:val="24"/>
          <w:lang w:eastAsia="sk-SK"/>
        </w:rPr>
      </w:pPr>
      <w:r w:rsidRPr="00BD36DF">
        <w:rPr>
          <w:rFonts w:ascii="Times New Roman" w:eastAsia="Times New Roman" w:hAnsi="Times New Roman" w:cs="Times New Roman"/>
          <w:b/>
          <w:sz w:val="24"/>
          <w:szCs w:val="24"/>
          <w:lang w:eastAsia="sk-SK"/>
        </w:rPr>
        <w:t xml:space="preserve">Výrok rozhodnutia: </w:t>
      </w:r>
    </w:p>
    <w:p w14:paraId="1D1335FB" w14:textId="6A9C684B" w:rsidR="00D9297E" w:rsidRPr="00BD36DF" w:rsidRDefault="009B130A" w:rsidP="0088317A">
      <w:pPr>
        <w:keepNext/>
        <w:spacing w:after="0" w:line="240" w:lineRule="auto"/>
        <w:ind w:left="1134"/>
        <w:jc w:val="both"/>
        <w:rPr>
          <w:rFonts w:ascii="Times New Roman" w:hAnsi="Times New Roman" w:cs="Times New Roman"/>
          <w:sz w:val="24"/>
          <w:szCs w:val="24"/>
        </w:rPr>
      </w:pPr>
      <w:r w:rsidRPr="00BD36DF">
        <w:rPr>
          <w:rFonts w:ascii="Times New Roman" w:hAnsi="Times New Roman" w:cs="Times New Roman"/>
          <w:sz w:val="24"/>
          <w:szCs w:val="24"/>
        </w:rPr>
        <w:t>Vnútroštátna právna úprava, podľa ktorej členský štát na výkon činnosti poskytovania úverov v rámci podnikateľskej činnosti na jeho území spoločnosťou usadenou v</w:t>
      </w:r>
      <w:r w:rsidR="00BD614F" w:rsidRPr="00BD36DF">
        <w:rPr>
          <w:rFonts w:ascii="Times New Roman" w:hAnsi="Times New Roman" w:cs="Times New Roman"/>
          <w:sz w:val="24"/>
          <w:szCs w:val="24"/>
        </w:rPr>
        <w:t> </w:t>
      </w:r>
      <w:r w:rsidRPr="00BD36DF">
        <w:rPr>
          <w:rFonts w:ascii="Times New Roman" w:hAnsi="Times New Roman" w:cs="Times New Roman"/>
          <w:sz w:val="24"/>
          <w:szCs w:val="24"/>
        </w:rPr>
        <w:t>treťom</w:t>
      </w:r>
      <w:r w:rsidR="00BD614F" w:rsidRPr="00BD36DF">
        <w:rPr>
          <w:rFonts w:ascii="Times New Roman" w:hAnsi="Times New Roman" w:cs="Times New Roman"/>
          <w:sz w:val="24"/>
          <w:szCs w:val="24"/>
        </w:rPr>
        <w:t xml:space="preserve"> </w:t>
      </w:r>
      <w:r w:rsidRPr="00BD36DF">
        <w:rPr>
          <w:rFonts w:ascii="Times New Roman" w:hAnsi="Times New Roman" w:cs="Times New Roman"/>
          <w:sz w:val="24"/>
          <w:szCs w:val="24"/>
        </w:rPr>
        <w:t>štáte vyžaduje predchádzajúce povolenie a</w:t>
      </w:r>
      <w:r w:rsidR="00BD614F" w:rsidRPr="00BD36DF">
        <w:rPr>
          <w:rFonts w:ascii="Times New Roman" w:hAnsi="Times New Roman" w:cs="Times New Roman"/>
          <w:sz w:val="24"/>
          <w:szCs w:val="24"/>
        </w:rPr>
        <w:t> </w:t>
      </w:r>
      <w:r w:rsidRPr="00BD36DF">
        <w:rPr>
          <w:rFonts w:ascii="Times New Roman" w:hAnsi="Times New Roman" w:cs="Times New Roman"/>
          <w:sz w:val="24"/>
          <w:szCs w:val="24"/>
        </w:rPr>
        <w:t>podľa</w:t>
      </w:r>
      <w:r w:rsidR="00BD614F" w:rsidRPr="00BD36DF">
        <w:rPr>
          <w:rFonts w:ascii="Times New Roman" w:hAnsi="Times New Roman" w:cs="Times New Roman"/>
          <w:sz w:val="24"/>
          <w:szCs w:val="24"/>
        </w:rPr>
        <w:t xml:space="preserve"> </w:t>
      </w:r>
      <w:r w:rsidRPr="00BD36DF">
        <w:rPr>
          <w:rFonts w:ascii="Times New Roman" w:hAnsi="Times New Roman" w:cs="Times New Roman"/>
          <w:sz w:val="24"/>
          <w:szCs w:val="24"/>
        </w:rPr>
        <w:t>ktorej sa takéto povolenie musí zamietnuť najmä vtedy, ak uvedená spoločnosť nemá</w:t>
      </w:r>
      <w:r w:rsidR="00BD614F" w:rsidRPr="00BD36DF">
        <w:rPr>
          <w:rFonts w:ascii="Times New Roman" w:hAnsi="Times New Roman" w:cs="Times New Roman"/>
          <w:sz w:val="24"/>
          <w:szCs w:val="24"/>
        </w:rPr>
        <w:t xml:space="preserve"> </w:t>
      </w:r>
      <w:r w:rsidRPr="00BD36DF">
        <w:rPr>
          <w:rFonts w:ascii="Times New Roman" w:hAnsi="Times New Roman" w:cs="Times New Roman"/>
          <w:sz w:val="24"/>
          <w:szCs w:val="24"/>
        </w:rPr>
        <w:t>svoje ústredie alebo pobočku na tomto území, zasahuje prevažne do výkonu</w:t>
      </w:r>
      <w:r w:rsidR="00BD614F" w:rsidRPr="00BD36DF">
        <w:rPr>
          <w:rFonts w:ascii="Times New Roman" w:hAnsi="Times New Roman" w:cs="Times New Roman"/>
          <w:sz w:val="24"/>
          <w:szCs w:val="24"/>
        </w:rPr>
        <w:t xml:space="preserve"> </w:t>
      </w:r>
      <w:r w:rsidRPr="00BD36DF">
        <w:rPr>
          <w:rFonts w:ascii="Times New Roman" w:hAnsi="Times New Roman" w:cs="Times New Roman"/>
          <w:sz w:val="24"/>
          <w:szCs w:val="24"/>
        </w:rPr>
        <w:t>slobodného poskytovania služieb v zmysle článku 49 a</w:t>
      </w:r>
      <w:r w:rsidR="00BD614F" w:rsidRPr="00BD36DF">
        <w:rPr>
          <w:rFonts w:ascii="Times New Roman" w:hAnsi="Times New Roman" w:cs="Times New Roman"/>
          <w:sz w:val="24"/>
          <w:szCs w:val="24"/>
        </w:rPr>
        <w:t> </w:t>
      </w:r>
      <w:r w:rsidRPr="00BD36DF">
        <w:rPr>
          <w:rFonts w:ascii="Times New Roman" w:hAnsi="Times New Roman" w:cs="Times New Roman"/>
          <w:sz w:val="24"/>
          <w:szCs w:val="24"/>
        </w:rPr>
        <w:t>nasl. ES. Spoločnosť</w:t>
      </w:r>
      <w:r w:rsidR="00BD614F" w:rsidRPr="00BD36DF">
        <w:rPr>
          <w:rFonts w:ascii="Times New Roman" w:hAnsi="Times New Roman" w:cs="Times New Roman"/>
          <w:sz w:val="24"/>
          <w:szCs w:val="24"/>
        </w:rPr>
        <w:t xml:space="preserve"> </w:t>
      </w:r>
      <w:r w:rsidRPr="00BD36DF">
        <w:rPr>
          <w:rFonts w:ascii="Times New Roman" w:hAnsi="Times New Roman" w:cs="Times New Roman"/>
          <w:sz w:val="24"/>
          <w:szCs w:val="24"/>
        </w:rPr>
        <w:t>usadená v</w:t>
      </w:r>
      <w:r w:rsidR="00BD614F" w:rsidRPr="00BD36DF">
        <w:rPr>
          <w:rFonts w:ascii="Times New Roman" w:hAnsi="Times New Roman" w:cs="Times New Roman"/>
          <w:sz w:val="24"/>
          <w:szCs w:val="24"/>
        </w:rPr>
        <w:t> </w:t>
      </w:r>
      <w:r w:rsidRPr="00BD36DF">
        <w:rPr>
          <w:rFonts w:ascii="Times New Roman" w:hAnsi="Times New Roman" w:cs="Times New Roman"/>
          <w:sz w:val="24"/>
          <w:szCs w:val="24"/>
        </w:rPr>
        <w:t>treťom</w:t>
      </w:r>
      <w:r w:rsidR="00BD614F" w:rsidRPr="00BD36DF">
        <w:rPr>
          <w:rFonts w:ascii="Times New Roman" w:hAnsi="Times New Roman" w:cs="Times New Roman"/>
          <w:sz w:val="24"/>
          <w:szCs w:val="24"/>
        </w:rPr>
        <w:t xml:space="preserve"> </w:t>
      </w:r>
      <w:r w:rsidRPr="00BD36DF">
        <w:rPr>
          <w:rFonts w:ascii="Times New Roman" w:hAnsi="Times New Roman" w:cs="Times New Roman"/>
          <w:sz w:val="24"/>
          <w:szCs w:val="24"/>
        </w:rPr>
        <w:t>štáte sa nemôže odvolávať na tieto ustanovenia.  </w:t>
      </w:r>
    </w:p>
    <w:p w14:paraId="0D59F7E4" w14:textId="77777777" w:rsidR="009666E9" w:rsidRPr="00BD36DF" w:rsidRDefault="009666E9" w:rsidP="004A2EED">
      <w:pPr>
        <w:spacing w:after="0" w:line="240" w:lineRule="auto"/>
        <w:ind w:left="1134"/>
        <w:jc w:val="both"/>
        <w:rPr>
          <w:rFonts w:ascii="Times New Roman" w:hAnsi="Times New Roman" w:cs="Times New Roman"/>
          <w:sz w:val="24"/>
          <w:szCs w:val="24"/>
        </w:rPr>
      </w:pPr>
    </w:p>
    <w:p w14:paraId="050A9CD4" w14:textId="77777777" w:rsidR="003A68BE" w:rsidRPr="00BD36DF" w:rsidRDefault="008545C6"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rozsudok</w:t>
      </w:r>
      <w:r w:rsidRPr="00BD36DF">
        <w:rPr>
          <w:rFonts w:ascii="Times New Roman" w:eastAsia="Times New Roman" w:hAnsi="Times New Roman" w:cs="Times New Roman"/>
          <w:spacing w:val="7"/>
          <w:sz w:val="24"/>
          <w:szCs w:val="24"/>
          <w:lang w:eastAsia="sk-SK"/>
        </w:rPr>
        <w:t xml:space="preserve"> </w:t>
      </w:r>
      <w:r w:rsidRPr="00BD36DF">
        <w:rPr>
          <w:rFonts w:ascii="Times New Roman" w:eastAsia="Times New Roman" w:hAnsi="Times New Roman" w:cs="Times New Roman"/>
          <w:sz w:val="24"/>
          <w:szCs w:val="24"/>
          <w:lang w:eastAsia="sk-SK"/>
        </w:rPr>
        <w:t>Súdneho</w:t>
      </w:r>
      <w:r w:rsidRPr="00BD36DF">
        <w:rPr>
          <w:rFonts w:ascii="Times New Roman" w:eastAsia="Times New Roman" w:hAnsi="Times New Roman" w:cs="Times New Roman"/>
          <w:spacing w:val="7"/>
          <w:sz w:val="24"/>
          <w:szCs w:val="24"/>
          <w:lang w:eastAsia="sk-SK"/>
        </w:rPr>
        <w:t xml:space="preserve"> </w:t>
      </w:r>
      <w:r w:rsidRPr="00BD36DF">
        <w:rPr>
          <w:rFonts w:ascii="Times New Roman" w:eastAsia="Times New Roman" w:hAnsi="Times New Roman" w:cs="Times New Roman"/>
          <w:sz w:val="24"/>
          <w:szCs w:val="24"/>
          <w:lang w:eastAsia="sk-SK"/>
        </w:rPr>
        <w:t>dvora</w:t>
      </w:r>
      <w:r w:rsidRPr="00BD36DF">
        <w:rPr>
          <w:rFonts w:ascii="Times New Roman" w:eastAsia="Times New Roman" w:hAnsi="Times New Roman" w:cs="Times New Roman"/>
          <w:spacing w:val="7"/>
          <w:sz w:val="24"/>
          <w:szCs w:val="24"/>
          <w:lang w:eastAsia="sk-SK"/>
        </w:rPr>
        <w:t xml:space="preserve"> </w:t>
      </w:r>
      <w:r w:rsidRPr="00BD36DF">
        <w:rPr>
          <w:rFonts w:ascii="Times New Roman" w:eastAsia="Times New Roman" w:hAnsi="Times New Roman" w:cs="Times New Roman"/>
          <w:sz w:val="24"/>
          <w:szCs w:val="24"/>
          <w:lang w:eastAsia="sk-SK"/>
        </w:rPr>
        <w:t>vo</w:t>
      </w:r>
      <w:r w:rsidRPr="00BD36DF">
        <w:rPr>
          <w:rFonts w:ascii="Times New Roman" w:eastAsia="Times New Roman" w:hAnsi="Times New Roman" w:cs="Times New Roman"/>
          <w:spacing w:val="7"/>
          <w:sz w:val="24"/>
          <w:szCs w:val="24"/>
          <w:lang w:eastAsia="sk-SK"/>
        </w:rPr>
        <w:t xml:space="preserve"> </w:t>
      </w:r>
      <w:r w:rsidRPr="00BD36DF">
        <w:rPr>
          <w:rFonts w:ascii="Times New Roman" w:eastAsia="Times New Roman" w:hAnsi="Times New Roman" w:cs="Times New Roman"/>
          <w:sz w:val="24"/>
          <w:szCs w:val="24"/>
          <w:lang w:eastAsia="sk-SK"/>
        </w:rPr>
        <w:t>veci</w:t>
      </w:r>
      <w:r w:rsidRPr="00BD36DF">
        <w:rPr>
          <w:rFonts w:ascii="Times New Roman" w:eastAsia="Times New Roman" w:hAnsi="Times New Roman" w:cs="Times New Roman"/>
          <w:spacing w:val="7"/>
          <w:sz w:val="24"/>
          <w:szCs w:val="24"/>
          <w:lang w:eastAsia="sk-SK"/>
        </w:rPr>
        <w:t xml:space="preserve"> </w:t>
      </w:r>
      <w:r w:rsidR="009B130A" w:rsidRPr="00BD36DF">
        <w:rPr>
          <w:rFonts w:ascii="Times New Roman" w:hAnsi="Times New Roman" w:cs="Times New Roman"/>
          <w:sz w:val="24"/>
          <w:szCs w:val="24"/>
        </w:rPr>
        <w:t>C</w:t>
      </w:r>
      <w:r w:rsidR="009B130A" w:rsidRPr="00BD36DF">
        <w:rPr>
          <w:rFonts w:ascii="Times New Roman" w:hAnsi="Times New Roman" w:cs="Times New Roman"/>
          <w:sz w:val="24"/>
          <w:szCs w:val="24"/>
        </w:rPr>
        <w:noBreakHyphen/>
        <w:t>52/17</w:t>
      </w:r>
      <w:r w:rsidR="009B130A" w:rsidRPr="00BD36DF">
        <w:rPr>
          <w:rFonts w:ascii="Times New Roman" w:eastAsia="Times New Roman" w:hAnsi="Times New Roman" w:cs="Times New Roman"/>
          <w:sz w:val="24"/>
          <w:szCs w:val="24"/>
          <w:lang w:eastAsia="sk-SK"/>
        </w:rPr>
        <w:t>,</w:t>
      </w:r>
      <w:r w:rsidRPr="00BD36DF">
        <w:rPr>
          <w:rFonts w:ascii="Times New Roman" w:eastAsia="Times New Roman" w:hAnsi="Times New Roman" w:cs="Times New Roman"/>
          <w:spacing w:val="7"/>
          <w:sz w:val="24"/>
          <w:szCs w:val="24"/>
          <w:lang w:eastAsia="sk-SK"/>
        </w:rPr>
        <w:t xml:space="preserve"> </w:t>
      </w:r>
      <w:r w:rsidR="009B130A" w:rsidRPr="00BD36DF">
        <w:rPr>
          <w:rFonts w:ascii="Times New Roman" w:hAnsi="Times New Roman" w:cs="Times New Roman"/>
          <w:bCs/>
          <w:sz w:val="24"/>
          <w:szCs w:val="24"/>
        </w:rPr>
        <w:t xml:space="preserve">VTB Bank (Austria) AG </w:t>
      </w:r>
      <w:r w:rsidRPr="00BD36DF">
        <w:rPr>
          <w:rFonts w:ascii="Times New Roman" w:eastAsia="Times New Roman" w:hAnsi="Times New Roman" w:cs="Times New Roman"/>
          <w:sz w:val="24"/>
          <w:szCs w:val="24"/>
          <w:lang w:eastAsia="sk-SK"/>
        </w:rPr>
        <w:t>proti</w:t>
      </w:r>
      <w:r w:rsidRPr="00BD36DF">
        <w:rPr>
          <w:rFonts w:ascii="Times New Roman" w:eastAsia="Times New Roman" w:hAnsi="Times New Roman" w:cs="Times New Roman"/>
          <w:spacing w:val="7"/>
          <w:sz w:val="24"/>
          <w:szCs w:val="24"/>
          <w:lang w:eastAsia="sk-SK"/>
        </w:rPr>
        <w:t xml:space="preserve"> </w:t>
      </w:r>
      <w:r w:rsidR="009B130A" w:rsidRPr="00BD36DF">
        <w:rPr>
          <w:rFonts w:ascii="Times New Roman" w:hAnsi="Times New Roman" w:cs="Times New Roman"/>
          <w:bCs/>
          <w:sz w:val="24"/>
          <w:szCs w:val="24"/>
        </w:rPr>
        <w:t>Finanzmarktaufsichtsbehörd</w:t>
      </w:r>
      <w:r w:rsidR="009B130A" w:rsidRPr="00BD36DF">
        <w:rPr>
          <w:rFonts w:ascii="Times New Roman" w:eastAsia="Times New Roman" w:hAnsi="Times New Roman" w:cs="Times New Roman"/>
          <w:sz w:val="24"/>
          <w:szCs w:val="24"/>
          <w:lang w:eastAsia="sk-SK"/>
        </w:rPr>
        <w:t>e, [201</w:t>
      </w:r>
      <w:r w:rsidRPr="00BD36DF">
        <w:rPr>
          <w:rFonts w:ascii="Times New Roman" w:eastAsia="Times New Roman" w:hAnsi="Times New Roman" w:cs="Times New Roman"/>
          <w:sz w:val="24"/>
          <w:szCs w:val="24"/>
          <w:lang w:eastAsia="sk-SK"/>
        </w:rPr>
        <w:t>8].</w:t>
      </w:r>
    </w:p>
    <w:p w14:paraId="032F1ECD" w14:textId="77777777" w:rsidR="009B130A" w:rsidRPr="00BD36DF" w:rsidRDefault="009B130A" w:rsidP="004A2EED">
      <w:pPr>
        <w:spacing w:after="0" w:line="240" w:lineRule="auto"/>
        <w:ind w:left="708"/>
        <w:jc w:val="both"/>
        <w:rPr>
          <w:rFonts w:ascii="Times New Roman" w:eastAsia="Times New Roman" w:hAnsi="Times New Roman" w:cs="Times New Roman"/>
          <w:b/>
          <w:sz w:val="24"/>
          <w:szCs w:val="24"/>
          <w:lang w:eastAsia="sk-SK"/>
        </w:rPr>
      </w:pPr>
    </w:p>
    <w:p w14:paraId="41BD5146" w14:textId="77777777" w:rsidR="009B130A" w:rsidRPr="00BD36DF" w:rsidRDefault="009B130A" w:rsidP="002A1F18">
      <w:pPr>
        <w:keepNext/>
        <w:spacing w:after="0" w:line="240" w:lineRule="auto"/>
        <w:ind w:left="1134"/>
        <w:jc w:val="both"/>
        <w:rPr>
          <w:rFonts w:ascii="Times New Roman" w:eastAsia="Times New Roman" w:hAnsi="Times New Roman" w:cs="Times New Roman"/>
          <w:b/>
          <w:sz w:val="24"/>
          <w:szCs w:val="24"/>
          <w:lang w:eastAsia="sk-SK"/>
        </w:rPr>
      </w:pPr>
      <w:r w:rsidRPr="00BD36DF">
        <w:rPr>
          <w:rFonts w:ascii="Times New Roman" w:eastAsia="Times New Roman" w:hAnsi="Times New Roman" w:cs="Times New Roman"/>
          <w:b/>
          <w:sz w:val="24"/>
          <w:szCs w:val="24"/>
          <w:lang w:eastAsia="sk-SK"/>
        </w:rPr>
        <w:lastRenderedPageBreak/>
        <w:t xml:space="preserve">Výrok rozhodnutia: </w:t>
      </w:r>
    </w:p>
    <w:p w14:paraId="16E3CA1E" w14:textId="5CB7586B" w:rsidR="009B130A" w:rsidRPr="00BD36DF" w:rsidRDefault="009B130A" w:rsidP="002A1F18">
      <w:pPr>
        <w:pStyle w:val="gmail-c08dispositif"/>
        <w:keepNext/>
        <w:spacing w:before="0" w:beforeAutospacing="0" w:after="0" w:afterAutospacing="0"/>
        <w:ind w:left="1134"/>
        <w:jc w:val="both"/>
        <w:rPr>
          <w:bCs/>
        </w:rPr>
      </w:pPr>
      <w:r w:rsidRPr="00BD36DF">
        <w:rPr>
          <w:bCs/>
        </w:rPr>
        <w:t>1. Článok 64 a článok 65 ods. 1 smernice Európskeho parlamentu a Rady </w:t>
      </w:r>
      <w:bookmarkStart w:id="4" w:name="ctx23"/>
      <w:r w:rsidRPr="00BD36DF">
        <w:rPr>
          <w:bCs/>
        </w:rPr>
        <w:t>2013/36</w:t>
      </w:r>
      <w:bookmarkEnd w:id="4"/>
      <w:r w:rsidRPr="00BD36DF">
        <w:rPr>
          <w:bCs/>
        </w:rPr>
        <w:t>/EÚ z 26. júna 2013 o prístupe k činnosti úverových inštitúcií a prudenciálnom dohľade nad úverovými inštitúciami a investičnými spoločnosťami, o zmene smernice 2002/87/ES a o zrušení smerníc 2006/48/ES a 2006/49/ES, ako aj článok 395 ods. 1 a 5 nariadenia Európskeho parlamentu a Rady (EÚ) č. 575/2013 z 26. júna 2013 o prudenciálnych požiadavkách na úverové inštitúcie a investičné spoločnosti a o zmene nariadenia (EÚ) č. 648/2012, sa majú vykladať v tom zmysle, že bránia vnútroštátnej právnej úprave, podľa ktorej sa v prípade prekročenia limitov expozície stanovených v článku 395 ods. 1 nariadenia č. 575/2013 úverovej inštitúcii automaticky ukladajú zrážkové úroky, hoci táto inštitúcia spĺňa podmienky stanovené v článku 395 ods. 5 tohto nariadenia, ktoré jej umožňujú prekročiť uvedené limity.</w:t>
      </w:r>
    </w:p>
    <w:p w14:paraId="00C7D76B" w14:textId="77777777" w:rsidR="00161545" w:rsidRPr="00BD36DF" w:rsidRDefault="00161545" w:rsidP="00161545">
      <w:pPr>
        <w:pStyle w:val="gmail-c08dispositif"/>
        <w:spacing w:before="0" w:beforeAutospacing="0" w:after="0" w:afterAutospacing="0"/>
        <w:ind w:left="1134"/>
        <w:jc w:val="both"/>
        <w:rPr>
          <w:bCs/>
        </w:rPr>
      </w:pPr>
    </w:p>
    <w:p w14:paraId="3BCDA9A8" w14:textId="67B30E63" w:rsidR="009B130A" w:rsidRPr="00BD36DF" w:rsidRDefault="009B130A" w:rsidP="004A2EED">
      <w:pPr>
        <w:pStyle w:val="gmail-c02alineaalta"/>
        <w:spacing w:before="0" w:beforeAutospacing="0" w:after="0" w:afterAutospacing="0"/>
        <w:ind w:left="1134"/>
        <w:jc w:val="both"/>
        <w:rPr>
          <w:bCs/>
        </w:rPr>
      </w:pPr>
      <w:r w:rsidRPr="00BD36DF">
        <w:rPr>
          <w:bCs/>
        </w:rPr>
        <w:t>2.</w:t>
      </w:r>
      <w:r w:rsidR="000A25FD" w:rsidRPr="00BD36DF">
        <w:rPr>
          <w:bCs/>
        </w:rPr>
        <w:t xml:space="preserve"> </w:t>
      </w:r>
      <w:r w:rsidRPr="00BD36DF">
        <w:rPr>
          <w:bCs/>
        </w:rPr>
        <w:t>Článok 48 ods. 3 nariadenia Európskej centrálnej banky (EÚ) č. 468/2014 zo 16. apríla 2014 o rámci pre spoluprácu v rámci jednotného mechanizmu dohľadu medzi Európskou centrálnou bankou, príslušnými vnútroštátnymi orgánmi a určenými vnútroštátnymi orgánmi (nariadenie o rámci JMD) sa má vykladať v tom zmysle, že v zmysle tohto ustanovenia nemožno postup vo veci dohľadu považovať za formálne začatý, ani keď úverová inštitúcia oznámi vnútroštátnemu orgánu dohľadu prekročenie limitov stanovených v článku 395 ods. 1 nariadenia č. 575/2013, ani keď tento orgán už prijal rozhodnutie v paralelnom konaní týkajúcom sa podobných porušení.</w:t>
      </w:r>
    </w:p>
    <w:p w14:paraId="5B3BCA13" w14:textId="77777777" w:rsidR="009666E9" w:rsidRPr="00BD36DF" w:rsidRDefault="009666E9" w:rsidP="004A2EED">
      <w:pPr>
        <w:pStyle w:val="gmail-c02alineaalta"/>
        <w:spacing w:before="0" w:beforeAutospacing="0" w:after="0" w:afterAutospacing="0"/>
        <w:ind w:left="1134"/>
        <w:jc w:val="both"/>
      </w:pPr>
    </w:p>
    <w:p w14:paraId="5BF253D1" w14:textId="77777777" w:rsidR="009B130A" w:rsidRPr="00BD36DF" w:rsidRDefault="009B130A" w:rsidP="004A2EED">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rozsudok</w:t>
      </w:r>
      <w:r w:rsidRPr="00BD36DF">
        <w:rPr>
          <w:rFonts w:ascii="Times New Roman" w:eastAsia="Times New Roman" w:hAnsi="Times New Roman" w:cs="Times New Roman"/>
          <w:spacing w:val="7"/>
          <w:sz w:val="24"/>
          <w:szCs w:val="24"/>
          <w:lang w:eastAsia="sk-SK"/>
        </w:rPr>
        <w:t xml:space="preserve"> </w:t>
      </w:r>
      <w:r w:rsidRPr="00BD36DF">
        <w:rPr>
          <w:rFonts w:ascii="Times New Roman" w:eastAsia="Times New Roman" w:hAnsi="Times New Roman" w:cs="Times New Roman"/>
          <w:sz w:val="24"/>
          <w:szCs w:val="24"/>
          <w:lang w:eastAsia="sk-SK"/>
        </w:rPr>
        <w:t>Súdneho</w:t>
      </w:r>
      <w:r w:rsidRPr="00BD36DF">
        <w:rPr>
          <w:rFonts w:ascii="Times New Roman" w:eastAsia="Times New Roman" w:hAnsi="Times New Roman" w:cs="Times New Roman"/>
          <w:spacing w:val="7"/>
          <w:sz w:val="24"/>
          <w:szCs w:val="24"/>
          <w:lang w:eastAsia="sk-SK"/>
        </w:rPr>
        <w:t xml:space="preserve"> </w:t>
      </w:r>
      <w:r w:rsidRPr="00BD36DF">
        <w:rPr>
          <w:rFonts w:ascii="Times New Roman" w:eastAsia="Times New Roman" w:hAnsi="Times New Roman" w:cs="Times New Roman"/>
          <w:sz w:val="24"/>
          <w:szCs w:val="24"/>
          <w:lang w:eastAsia="sk-SK"/>
        </w:rPr>
        <w:t>dvora</w:t>
      </w:r>
      <w:r w:rsidRPr="00BD36DF">
        <w:rPr>
          <w:rFonts w:ascii="Times New Roman" w:eastAsia="Times New Roman" w:hAnsi="Times New Roman" w:cs="Times New Roman"/>
          <w:spacing w:val="7"/>
          <w:sz w:val="24"/>
          <w:szCs w:val="24"/>
          <w:lang w:eastAsia="sk-SK"/>
        </w:rPr>
        <w:t xml:space="preserve"> </w:t>
      </w:r>
      <w:r w:rsidRPr="00BD36DF">
        <w:rPr>
          <w:rFonts w:ascii="Times New Roman" w:eastAsia="Times New Roman" w:hAnsi="Times New Roman" w:cs="Times New Roman"/>
          <w:sz w:val="24"/>
          <w:szCs w:val="24"/>
          <w:lang w:eastAsia="sk-SK"/>
        </w:rPr>
        <w:t>vo</w:t>
      </w:r>
      <w:r w:rsidRPr="00BD36DF">
        <w:rPr>
          <w:rFonts w:ascii="Times New Roman" w:eastAsia="Times New Roman" w:hAnsi="Times New Roman" w:cs="Times New Roman"/>
          <w:spacing w:val="7"/>
          <w:sz w:val="24"/>
          <w:szCs w:val="24"/>
          <w:lang w:eastAsia="sk-SK"/>
        </w:rPr>
        <w:t xml:space="preserve"> </w:t>
      </w:r>
      <w:r w:rsidRPr="00BD36DF">
        <w:rPr>
          <w:rFonts w:ascii="Times New Roman" w:eastAsia="Times New Roman" w:hAnsi="Times New Roman" w:cs="Times New Roman"/>
          <w:sz w:val="24"/>
          <w:szCs w:val="24"/>
          <w:lang w:eastAsia="sk-SK"/>
        </w:rPr>
        <w:t>veci</w:t>
      </w:r>
      <w:r w:rsidRPr="00BD36DF">
        <w:rPr>
          <w:rFonts w:ascii="Times New Roman" w:eastAsia="Times New Roman" w:hAnsi="Times New Roman" w:cs="Times New Roman"/>
          <w:spacing w:val="7"/>
          <w:sz w:val="24"/>
          <w:szCs w:val="24"/>
          <w:lang w:eastAsia="sk-SK"/>
        </w:rPr>
        <w:t xml:space="preserve"> </w:t>
      </w:r>
      <w:r w:rsidRPr="00BD36DF">
        <w:rPr>
          <w:rFonts w:ascii="Times New Roman" w:hAnsi="Times New Roman" w:cs="Times New Roman"/>
          <w:sz w:val="24"/>
          <w:szCs w:val="24"/>
        </w:rPr>
        <w:t>C</w:t>
      </w:r>
      <w:r w:rsidRPr="00BD36DF">
        <w:rPr>
          <w:rFonts w:ascii="Times New Roman" w:hAnsi="Times New Roman" w:cs="Times New Roman"/>
          <w:sz w:val="24"/>
          <w:szCs w:val="24"/>
        </w:rPr>
        <w:noBreakHyphen/>
        <w:t>594/16</w:t>
      </w:r>
      <w:r w:rsidRPr="00BD36DF">
        <w:rPr>
          <w:rFonts w:ascii="Times New Roman" w:eastAsia="Times New Roman" w:hAnsi="Times New Roman" w:cs="Times New Roman"/>
          <w:sz w:val="24"/>
          <w:szCs w:val="24"/>
          <w:lang w:eastAsia="sk-SK"/>
        </w:rPr>
        <w:t>,</w:t>
      </w:r>
      <w:r w:rsidRPr="00BD36DF">
        <w:rPr>
          <w:rFonts w:ascii="Times New Roman" w:eastAsia="Times New Roman" w:hAnsi="Times New Roman" w:cs="Times New Roman"/>
          <w:spacing w:val="7"/>
          <w:sz w:val="24"/>
          <w:szCs w:val="24"/>
          <w:lang w:eastAsia="sk-SK"/>
        </w:rPr>
        <w:t xml:space="preserve"> </w:t>
      </w:r>
      <w:r w:rsidRPr="00BD36DF">
        <w:rPr>
          <w:rFonts w:ascii="Times New Roman" w:hAnsi="Times New Roman" w:cs="Times New Roman"/>
          <w:bCs/>
          <w:sz w:val="24"/>
          <w:szCs w:val="24"/>
        </w:rPr>
        <w:t xml:space="preserve">Enzo Buccioni </w:t>
      </w:r>
      <w:r w:rsidRPr="00BD36DF">
        <w:rPr>
          <w:rFonts w:ascii="Times New Roman" w:eastAsia="Times New Roman" w:hAnsi="Times New Roman" w:cs="Times New Roman"/>
          <w:sz w:val="24"/>
          <w:szCs w:val="24"/>
          <w:lang w:eastAsia="sk-SK"/>
        </w:rPr>
        <w:t>proti</w:t>
      </w:r>
      <w:r w:rsidRPr="00BD36DF">
        <w:rPr>
          <w:rFonts w:ascii="Times New Roman" w:eastAsia="Times New Roman" w:hAnsi="Times New Roman" w:cs="Times New Roman"/>
          <w:spacing w:val="7"/>
          <w:sz w:val="24"/>
          <w:szCs w:val="24"/>
          <w:lang w:eastAsia="sk-SK"/>
        </w:rPr>
        <w:t xml:space="preserve"> </w:t>
      </w:r>
      <w:r w:rsidRPr="00BD36DF">
        <w:rPr>
          <w:rFonts w:ascii="Times New Roman" w:hAnsi="Times New Roman" w:cs="Times New Roman"/>
          <w:bCs/>
          <w:sz w:val="24"/>
          <w:szCs w:val="24"/>
        </w:rPr>
        <w:t>Banca d’Italia za účasti Banca Network Investimenti SpA</w:t>
      </w:r>
      <w:r w:rsidRPr="00BD36DF">
        <w:rPr>
          <w:rFonts w:ascii="Times New Roman" w:eastAsia="Times New Roman" w:hAnsi="Times New Roman" w:cs="Times New Roman"/>
          <w:sz w:val="24"/>
          <w:szCs w:val="24"/>
          <w:lang w:eastAsia="sk-SK"/>
        </w:rPr>
        <w:t>, [2018].</w:t>
      </w:r>
    </w:p>
    <w:p w14:paraId="7A866532" w14:textId="77777777" w:rsidR="009B130A" w:rsidRPr="00BD36DF" w:rsidRDefault="009B130A" w:rsidP="004A2EED">
      <w:pPr>
        <w:spacing w:after="0" w:line="240" w:lineRule="auto"/>
        <w:jc w:val="both"/>
        <w:rPr>
          <w:rFonts w:ascii="Times New Roman" w:eastAsia="Times New Roman" w:hAnsi="Times New Roman" w:cs="Times New Roman"/>
          <w:sz w:val="24"/>
          <w:szCs w:val="24"/>
          <w:lang w:eastAsia="sk-SK"/>
        </w:rPr>
      </w:pPr>
    </w:p>
    <w:p w14:paraId="10E51B10" w14:textId="77777777" w:rsidR="009B130A" w:rsidRPr="00BD36DF" w:rsidRDefault="009B130A" w:rsidP="0088317A">
      <w:pPr>
        <w:keepNext/>
        <w:spacing w:after="0" w:line="240" w:lineRule="auto"/>
        <w:ind w:left="1134"/>
        <w:jc w:val="both"/>
        <w:rPr>
          <w:rFonts w:ascii="Times New Roman" w:eastAsia="Times New Roman" w:hAnsi="Times New Roman" w:cs="Times New Roman"/>
          <w:b/>
          <w:sz w:val="24"/>
          <w:szCs w:val="24"/>
          <w:lang w:eastAsia="sk-SK"/>
        </w:rPr>
      </w:pPr>
      <w:r w:rsidRPr="00BD36DF">
        <w:rPr>
          <w:rFonts w:ascii="Times New Roman" w:eastAsia="Times New Roman" w:hAnsi="Times New Roman" w:cs="Times New Roman"/>
          <w:b/>
          <w:sz w:val="24"/>
          <w:szCs w:val="24"/>
          <w:lang w:eastAsia="sk-SK"/>
        </w:rPr>
        <w:t xml:space="preserve">Výrok rozhodnutia: </w:t>
      </w:r>
    </w:p>
    <w:p w14:paraId="404BFDDE" w14:textId="77777777" w:rsidR="009B130A" w:rsidRPr="00BD36DF" w:rsidRDefault="009B130A" w:rsidP="0088317A">
      <w:pPr>
        <w:keepNext/>
        <w:spacing w:after="0" w:line="240" w:lineRule="auto"/>
        <w:ind w:left="1134"/>
        <w:jc w:val="both"/>
        <w:rPr>
          <w:rFonts w:ascii="Times New Roman" w:hAnsi="Times New Roman" w:cs="Times New Roman"/>
          <w:sz w:val="24"/>
          <w:szCs w:val="24"/>
        </w:rPr>
      </w:pPr>
      <w:r w:rsidRPr="00BD36DF">
        <w:rPr>
          <w:rFonts w:ascii="Times New Roman" w:hAnsi="Times New Roman" w:cs="Times New Roman"/>
          <w:bCs/>
          <w:sz w:val="24"/>
          <w:szCs w:val="24"/>
        </w:rPr>
        <w:t>Článok 53 ods. 1 smernice Európskeho parlamentu a Rady </w:t>
      </w:r>
      <w:bookmarkStart w:id="5" w:name="ctx21"/>
      <w:r w:rsidRPr="00BD36DF">
        <w:rPr>
          <w:rFonts w:ascii="Times New Roman" w:hAnsi="Times New Roman" w:cs="Times New Roman"/>
          <w:bCs/>
          <w:sz w:val="24"/>
          <w:szCs w:val="24"/>
        </w:rPr>
        <w:t>2013/36</w:t>
      </w:r>
      <w:bookmarkEnd w:id="5"/>
      <w:r w:rsidRPr="00BD36DF">
        <w:rPr>
          <w:rFonts w:ascii="Times New Roman" w:hAnsi="Times New Roman" w:cs="Times New Roman"/>
          <w:bCs/>
          <w:sz w:val="24"/>
          <w:szCs w:val="24"/>
        </w:rPr>
        <w:t>/EÚ z 26. júna 2013 o prístupe k činnosti úverových inštitúcií a prudenciálnom dohľade nad úverovými inštitúciami a investičnými spoločnosťami, o zmene smernice 2002/87/ES a o zrušení smerníc 2006/48/ES a 2006/49/ES, sa má vykladať v tom zmysle, že nebráni tomu, aby príslušné orgány členských štátov sprístupnili dôverné informácie osobe, ktorá o ne požiada, na účely začatia občianskoprávneho alebo obchodného súdneho konania zameraného na ochranu majetkových záujmov, ktoré mali byť poškodené v dôsledku začatia nútenej likvidácie úverovej inštitúcie. Žiadosť o sprístupnenie informácií sa však musí vzťahovať na informácie, v súvislosti s ktorými žiadateľ predložil presné a súhlasné indície nasvedčujúce tomu, že uvedené informácie sa ukazujú ako relevantné na účely občianskoprávneho alebo obchodného súdneho konania, ktorého predmet musí byť žiadateľom presne identifikovaný, pričom predmetné informácie sa nesmú použiť mimo takého konania. Príslušným orgánom a súdom prináleží, aby pred sprístupnením každej z požadovaných dôverných informácií zaručili rovnováhu medzi záujmom žiadateľa na disponovanie dotknutými informáciami a záujmami súvisiacimi so zachovaním dôvernosti informácií, na ktoré sa vzťahuje povinnosť zachovávať služobné tajomstvo.</w:t>
      </w:r>
      <w:r w:rsidRPr="00BD36DF">
        <w:rPr>
          <w:rFonts w:ascii="Times New Roman" w:hAnsi="Times New Roman" w:cs="Times New Roman"/>
          <w:sz w:val="24"/>
          <w:szCs w:val="24"/>
        </w:rPr>
        <w:t>  </w:t>
      </w:r>
    </w:p>
    <w:p w14:paraId="5CD49B0D" w14:textId="227BDAA4" w:rsidR="002119D1" w:rsidRPr="00BD36DF" w:rsidRDefault="002119D1" w:rsidP="004A2EED">
      <w:pPr>
        <w:spacing w:after="0" w:line="240" w:lineRule="auto"/>
        <w:ind w:left="1134"/>
        <w:jc w:val="both"/>
        <w:rPr>
          <w:rFonts w:ascii="Times New Roman" w:hAnsi="Times New Roman" w:cs="Times New Roman"/>
          <w:sz w:val="24"/>
          <w:szCs w:val="24"/>
        </w:rPr>
      </w:pPr>
    </w:p>
    <w:p w14:paraId="45933C8D" w14:textId="54CB45FA" w:rsidR="00A36D07" w:rsidRPr="00BD36DF" w:rsidRDefault="00A36D07" w:rsidP="00A36D07">
      <w:pPr>
        <w:pStyle w:val="c08dispositif"/>
        <w:numPr>
          <w:ilvl w:val="0"/>
          <w:numId w:val="3"/>
        </w:numPr>
        <w:spacing w:after="240" w:afterAutospacing="0"/>
        <w:jc w:val="both"/>
        <w:rPr>
          <w:bCs/>
        </w:rPr>
      </w:pPr>
      <w:r w:rsidRPr="00BD36DF">
        <w:rPr>
          <w:bCs/>
        </w:rPr>
        <w:t>rozsudok Súdneho dvora vo veci C-414/18, Iccrea Banca SpA Istituto Centrale del Credito Cooperativo proti Banca d’Italia, [2019].</w:t>
      </w:r>
    </w:p>
    <w:p w14:paraId="3C86D6B9" w14:textId="77777777" w:rsidR="00A36D07" w:rsidRPr="00BD36DF" w:rsidRDefault="00A36D07" w:rsidP="00A36D07">
      <w:pPr>
        <w:pStyle w:val="c08dispositif"/>
        <w:spacing w:before="0" w:beforeAutospacing="0" w:after="0" w:afterAutospacing="0"/>
        <w:ind w:left="709" w:firstLine="359"/>
        <w:jc w:val="both"/>
        <w:rPr>
          <w:b/>
          <w:bCs/>
        </w:rPr>
      </w:pPr>
      <w:r w:rsidRPr="00BD36DF">
        <w:rPr>
          <w:b/>
          <w:bCs/>
        </w:rPr>
        <w:lastRenderedPageBreak/>
        <w:t>Výrok rozhodnutia</w:t>
      </w:r>
    </w:p>
    <w:p w14:paraId="1BE84775" w14:textId="532AEC15" w:rsidR="00A36D07" w:rsidRPr="00BD36DF" w:rsidRDefault="00A36D07" w:rsidP="00A36D07">
      <w:pPr>
        <w:pStyle w:val="c08dispositif"/>
        <w:spacing w:before="0" w:beforeAutospacing="0" w:after="0" w:afterAutospacing="0"/>
        <w:ind w:left="1068"/>
        <w:jc w:val="both"/>
        <w:rPr>
          <w:bCs/>
        </w:rPr>
      </w:pPr>
      <w:r w:rsidRPr="00BD36DF">
        <w:rPr>
          <w:bCs/>
        </w:rPr>
        <w:t>Článok 103 ods. 2 smernice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w:t>
      </w:r>
      <w:r w:rsidR="00B22913" w:rsidRPr="00BD36DF">
        <w:rPr>
          <w:bCs/>
        </w:rPr>
        <w:t> </w:t>
      </w:r>
      <w:r w:rsidRPr="00BD36DF">
        <w:rPr>
          <w:bCs/>
        </w:rPr>
        <w:t>nariadenia</w:t>
      </w:r>
      <w:r w:rsidR="00B22913" w:rsidRPr="00BD36DF">
        <w:rPr>
          <w:bCs/>
        </w:rPr>
        <w:t xml:space="preserve"> </w:t>
      </w:r>
      <w:r w:rsidRPr="00BD36DF">
        <w:rPr>
          <w:bCs/>
        </w:rPr>
        <w:t>Európskeho parlamentu a Rady (EÚ) č. 1093/2010 a (EÚ) č. 648/2012, a článok 5 ods. 1 písm. a) a f) delegovaného nariadenia Komisie (EÚ) 2015/63 z 21. októbra 2014, ktorým sa dopĺňa smernica Európskeho parlamentu a Rady 2014/59/EÚ, pokiaľ ide o príspevky ex  ante do mechanizmov financovania riešenia krízových situácií, sa majú vykladať v tom zmysle, že záväzky, ktoré sú výsledkom transakcií medzi bankou druhého stupňa a členmi skupiny, ktorú tvorí s</w:t>
      </w:r>
      <w:r w:rsidR="00B22913" w:rsidRPr="00BD36DF">
        <w:rPr>
          <w:bCs/>
        </w:rPr>
        <w:t> </w:t>
      </w:r>
      <w:r w:rsidRPr="00BD36DF">
        <w:rPr>
          <w:bCs/>
        </w:rPr>
        <w:t>družstevnými</w:t>
      </w:r>
      <w:r w:rsidR="00B22913" w:rsidRPr="00BD36DF">
        <w:rPr>
          <w:bCs/>
        </w:rPr>
        <w:t xml:space="preserve"> </w:t>
      </w:r>
      <w:r w:rsidRPr="00BD36DF">
        <w:rPr>
          <w:bCs/>
        </w:rPr>
        <w:t>bankami, ktorým poskytuje rôzne služby bez toho, aby ich kontrolovala, a nepokrývajúce úvery poskytnuté na nesúťažnom a neziskovom základe s cieľom podporiť ciele verejnej politiky ústrednej alebo regionálnej štátnej správy</w:t>
      </w:r>
      <w:r w:rsidRPr="00BD36DF">
        <w:t xml:space="preserve"> </w:t>
      </w:r>
      <w:r w:rsidRPr="00BD36DF">
        <w:rPr>
          <w:bCs/>
        </w:rPr>
        <w:t>členského štátu, nie sú vylúčené z výpočtu príspevkov do vnútroštátneho fondu na riešenie</w:t>
      </w:r>
      <w:r w:rsidRPr="00BD36DF">
        <w:t xml:space="preserve"> </w:t>
      </w:r>
      <w:r w:rsidRPr="00BD36DF">
        <w:rPr>
          <w:bCs/>
        </w:rPr>
        <w:t>krízových situácií uvedených v tomto článku 103 ods. 2.</w:t>
      </w:r>
    </w:p>
    <w:p w14:paraId="390A1B96" w14:textId="77777777" w:rsidR="00A36D07" w:rsidRPr="00BD36DF" w:rsidRDefault="00A36D07" w:rsidP="00A36D07">
      <w:pPr>
        <w:pStyle w:val="c08dispositif"/>
        <w:spacing w:after="240" w:afterAutospacing="0"/>
        <w:ind w:left="720"/>
        <w:jc w:val="both"/>
        <w:rPr>
          <w:bCs/>
        </w:rPr>
      </w:pPr>
      <w:r w:rsidRPr="00BD36DF">
        <w:rPr>
          <w:bCs/>
        </w:rPr>
        <w:t>- rozsudok Súdneho dvora vo veci C-255/18, State Street Bank International GmbH proti Banca d’Italia za účasti Banco delle Tre Venezie SpA, [2019].</w:t>
      </w:r>
    </w:p>
    <w:p w14:paraId="53D1194A" w14:textId="77777777" w:rsidR="00A36D07" w:rsidRPr="00BD36DF" w:rsidRDefault="00A36D07" w:rsidP="0086636E">
      <w:pPr>
        <w:pStyle w:val="c08dispositif"/>
        <w:spacing w:before="0" w:beforeAutospacing="0" w:after="0" w:afterAutospacing="0"/>
        <w:ind w:left="426" w:firstLine="708"/>
        <w:jc w:val="both"/>
        <w:rPr>
          <w:b/>
          <w:bCs/>
        </w:rPr>
      </w:pPr>
      <w:r w:rsidRPr="00BD36DF">
        <w:rPr>
          <w:b/>
          <w:bCs/>
        </w:rPr>
        <w:t xml:space="preserve">Výrok rozhodnutia </w:t>
      </w:r>
    </w:p>
    <w:p w14:paraId="17C416E2" w14:textId="69E7573A" w:rsidR="00A36D07" w:rsidRPr="00BD36DF" w:rsidRDefault="00A36D07" w:rsidP="0086636E">
      <w:pPr>
        <w:pStyle w:val="c08dispositif"/>
        <w:spacing w:before="0" w:beforeAutospacing="0" w:after="0" w:afterAutospacing="0"/>
        <w:ind w:left="1134"/>
        <w:jc w:val="both"/>
        <w:rPr>
          <w:bCs/>
        </w:rPr>
      </w:pPr>
      <w:r w:rsidRPr="00BD36DF">
        <w:rPr>
          <w:bCs/>
        </w:rPr>
        <w:t>1. Pojem „zmena štatútu“ v zmysle článku 12 ods. 2 delegovaného nariadenia Komisie (EÚ) 2015/63 z 21. októbra 2014, ktorým sa dopĺňa smernica Európskeho parlamentu a Rady 2014/59/EÚ, pokiaľ ide o príspevky ex  ante do mechanizmov financovania riešenia krízových situácií, sa má vykladať v tom zmysle, že zahŕňa takú operáciu, o akú</w:t>
      </w:r>
      <w:r w:rsidRPr="00BD36DF">
        <w:t xml:space="preserve"> </w:t>
      </w:r>
      <w:r w:rsidRPr="00BD36DF">
        <w:rPr>
          <w:bCs/>
        </w:rPr>
        <w:t>ide vo veci samej, v súvislosti s ktorou inštitúcia prestane v priebehu roka podliehať dohľadu národného orgánu pre riešenie krízových situácií v nadväznosti na cezhraničné zlúčenie s jej materskou spoločnosťou, a že v</w:t>
      </w:r>
      <w:r w:rsidR="00B22913" w:rsidRPr="00BD36DF">
        <w:rPr>
          <w:bCs/>
        </w:rPr>
        <w:t> </w:t>
      </w:r>
      <w:r w:rsidRPr="00BD36DF">
        <w:rPr>
          <w:bCs/>
        </w:rPr>
        <w:t>dôsledku</w:t>
      </w:r>
      <w:r w:rsidR="00B22913" w:rsidRPr="00BD36DF">
        <w:rPr>
          <w:bCs/>
        </w:rPr>
        <w:t xml:space="preserve"> </w:t>
      </w:r>
      <w:r w:rsidRPr="00BD36DF">
        <w:rPr>
          <w:bCs/>
        </w:rPr>
        <w:t>toho táto operácia nemá vplyv na povinnosť tejto inštitúcie uhradiť všetky pravidelné príspevky splatné za príslušný príspevkový rok.</w:t>
      </w:r>
    </w:p>
    <w:p w14:paraId="58AE9E43" w14:textId="77777777" w:rsidR="00A36D07" w:rsidRPr="00BD36DF" w:rsidRDefault="00A36D07" w:rsidP="0086636E">
      <w:pPr>
        <w:pStyle w:val="c08dispositif"/>
        <w:spacing w:after="240" w:afterAutospacing="0"/>
        <w:ind w:left="1134"/>
        <w:jc w:val="both"/>
        <w:rPr>
          <w:bCs/>
        </w:rPr>
      </w:pPr>
      <w:r w:rsidRPr="00BD36DF">
        <w:rPr>
          <w:bCs/>
        </w:rPr>
        <w:t>2. Článok 12 ods. 2 delegovaného nariadenia 2015/63 sa má vykladať v tom zmysle, že sa uplatňuje na situáciu, v ktorej k cezhraničnému zlúčeniu inštitúcie so sídlom v členskom štáte s jej materskou spoločnosťou so sídlom v inom členskom štáte a následnému zániku tejto inštitúcie došlo počas roka 2015, hoci vnútroštátny orgán pre riešenie krízových situácií ani štátny fond neboli prvým členským štátom ešte formálne vytvorené a príspevky</w:t>
      </w:r>
      <w:r w:rsidRPr="00BD36DF">
        <w:t xml:space="preserve"> </w:t>
      </w:r>
      <w:r w:rsidRPr="00BD36DF">
        <w:rPr>
          <w:bCs/>
        </w:rPr>
        <w:t>ešte neboli vypočítané.</w:t>
      </w:r>
    </w:p>
    <w:p w14:paraId="3DFA5917" w14:textId="7E005CAF" w:rsidR="00A36D07" w:rsidRPr="00BD36DF" w:rsidRDefault="00A36D07" w:rsidP="0086636E">
      <w:pPr>
        <w:pStyle w:val="c08dispositif"/>
        <w:spacing w:after="240" w:afterAutospacing="0"/>
        <w:ind w:left="1134"/>
        <w:jc w:val="both"/>
        <w:rPr>
          <w:bCs/>
        </w:rPr>
      </w:pPr>
      <w:r w:rsidRPr="00BD36DF">
        <w:rPr>
          <w:bCs/>
        </w:rPr>
        <w:t>3. Článok 104 smernice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w:t>
      </w:r>
      <w:r w:rsidR="00B22913" w:rsidRPr="00BD36DF">
        <w:rPr>
          <w:bCs/>
        </w:rPr>
        <w:t> </w:t>
      </w:r>
      <w:r w:rsidRPr="00BD36DF">
        <w:rPr>
          <w:bCs/>
        </w:rPr>
        <w:t>nariadenia</w:t>
      </w:r>
      <w:r w:rsidR="00B22913" w:rsidRPr="00BD36DF">
        <w:rPr>
          <w:bCs/>
        </w:rPr>
        <w:t xml:space="preserve"> </w:t>
      </w:r>
      <w:r w:rsidRPr="00BD36DF">
        <w:rPr>
          <w:bCs/>
        </w:rPr>
        <w:t>Európskeho parlamentu a Rady (EÚ) č. 1093/2010 a (EÚ) č.</w:t>
      </w:r>
      <w:r w:rsidR="00B22913" w:rsidRPr="00BD36DF">
        <w:rPr>
          <w:bCs/>
        </w:rPr>
        <w:t> </w:t>
      </w:r>
      <w:r w:rsidRPr="00BD36DF">
        <w:rPr>
          <w:bCs/>
        </w:rPr>
        <w:t xml:space="preserve"> 648/2012, sa má vykladať v tom zmysle, že inštitúcia so sídlom v členskom štáte, ktorá sa zlúčila s materskou spoločnosťou so sídlom v inom členskom štáte pred zavedením mimoriadneho príspevku vnútroštátnym orgánom pre riešenie krízových situácií prvého členského štátu, nie je povinná uhradiť tento príspevok.</w:t>
      </w:r>
    </w:p>
    <w:p w14:paraId="48389EA6" w14:textId="77777777" w:rsidR="00A36D07" w:rsidRPr="00BD36DF" w:rsidRDefault="00A36D07" w:rsidP="00A36D07">
      <w:pPr>
        <w:pStyle w:val="c08dispositif"/>
        <w:spacing w:after="240"/>
        <w:ind w:left="709"/>
        <w:jc w:val="both"/>
        <w:rPr>
          <w:bCs/>
        </w:rPr>
      </w:pPr>
      <w:r w:rsidRPr="00BD36DF">
        <w:rPr>
          <w:bCs/>
        </w:rPr>
        <w:lastRenderedPageBreak/>
        <w:t>- rozsudok Súdneho dvora v spojených veciach C‑775/22, C‑779/22 a C‑794/22,</w:t>
      </w:r>
      <w:r w:rsidRPr="00BD36DF">
        <w:t xml:space="preserve"> </w:t>
      </w:r>
      <w:r w:rsidRPr="00BD36DF">
        <w:rPr>
          <w:bCs/>
        </w:rPr>
        <w:t>M.S.G., N.G.S., A.G.S. (C‑775/22), M.C.S. (C‑779/22), FSC (C‑794/22) proti Banco Santander SA, [2024].</w:t>
      </w:r>
    </w:p>
    <w:p w14:paraId="3F2B113C" w14:textId="77777777" w:rsidR="00A36D07" w:rsidRPr="00BD36DF" w:rsidRDefault="00A36D07" w:rsidP="0086636E">
      <w:pPr>
        <w:pStyle w:val="c08dispositif"/>
        <w:spacing w:before="0" w:beforeAutospacing="0" w:after="0" w:afterAutospacing="0"/>
        <w:ind w:left="426" w:firstLine="708"/>
        <w:jc w:val="both"/>
        <w:rPr>
          <w:b/>
          <w:bCs/>
        </w:rPr>
      </w:pPr>
      <w:r w:rsidRPr="00BD36DF">
        <w:rPr>
          <w:b/>
          <w:bCs/>
        </w:rPr>
        <w:t xml:space="preserve">Výrok rozhodnutia </w:t>
      </w:r>
    </w:p>
    <w:p w14:paraId="7240F6D9" w14:textId="77777777" w:rsidR="00A36D07" w:rsidRPr="00BD36DF" w:rsidRDefault="00A36D07" w:rsidP="0086636E">
      <w:pPr>
        <w:pStyle w:val="c08dispositif"/>
        <w:spacing w:after="240"/>
        <w:ind w:left="1134"/>
        <w:jc w:val="both"/>
        <w:rPr>
          <w:bCs/>
        </w:rPr>
      </w:pPr>
      <w:r w:rsidRPr="00BD36DF">
        <w:rPr>
          <w:bCs/>
        </w:rPr>
        <w:t xml:space="preserve">1. </w:t>
      </w:r>
      <w:r w:rsidRPr="00BD36DF">
        <w:rPr>
          <w:bCs/>
        </w:rPr>
        <w:tab/>
        <w:t>Ustanovenia článku 34 ods. 1 písm. a) a b) v spojení s článkom 53 ods. 1 a 3, ako aj článkom 60 ods. 2 prvým pododsekom písm. b) a c) smernice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sa majú vykladať v tom zmysle, že:</w:t>
      </w:r>
    </w:p>
    <w:p w14:paraId="414ACAAF" w14:textId="3659BC7C" w:rsidR="00A36D07" w:rsidRPr="00BD36DF" w:rsidRDefault="00A36D07" w:rsidP="0086636E">
      <w:pPr>
        <w:pStyle w:val="c08dispositif"/>
        <w:spacing w:after="240"/>
        <w:ind w:left="1134"/>
        <w:jc w:val="both"/>
        <w:rPr>
          <w:bCs/>
        </w:rPr>
      </w:pPr>
      <w:r w:rsidRPr="00BD36DF">
        <w:rPr>
          <w:bCs/>
        </w:rPr>
        <w:t>bránia tomu, aby po úplnom odpísaní akcií tvoriacich základné imanie úverovej inštitúcie podliehajúcej postupu riešenia krízovej situácie podali osoby, ktoré nadobudli kapitálové nástroje, ktoré boli konvertované na akcie tejto úverovej inštitúcie, pred prijatím opatrení na riešenia krízovej situácie, proti uvedenej inštitúcii alebo proti subjektu, ktorý je jej právnym nástupcom, žalobu o náhradu škody spôsobenej chybnými a nesprávnymi informáciami poskytnutými v</w:t>
      </w:r>
      <w:r w:rsidR="00B22913" w:rsidRPr="00BD36DF">
        <w:rPr>
          <w:bCs/>
        </w:rPr>
        <w:t> </w:t>
      </w:r>
      <w:r w:rsidRPr="00BD36DF">
        <w:rPr>
          <w:bCs/>
        </w:rPr>
        <w:t>prospekte</w:t>
      </w:r>
      <w:r w:rsidR="00B22913" w:rsidRPr="00BD36DF">
        <w:rPr>
          <w:bCs/>
        </w:rPr>
        <w:t xml:space="preserve"> </w:t>
      </w:r>
      <w:r w:rsidRPr="00BD36DF">
        <w:rPr>
          <w:bCs/>
        </w:rPr>
        <w:t>podľa článku 6 smernice 2003/71/ES Európskeho parlamentu a Rady zo 4. novembra 2003 o prospekte, ktorý sa zverejňuje pri verejnej ponuke cenných papierov alebo ich prijatí na obchodovanie, a o zmene a doplnení smernice 2001/34/ES, zmenenej smernicou Európskeho parlamentu a Rady 2008/11/ES z</w:t>
      </w:r>
      <w:r w:rsidR="00B22913" w:rsidRPr="00BD36DF">
        <w:rPr>
          <w:bCs/>
        </w:rPr>
        <w:t> </w:t>
      </w:r>
      <w:r w:rsidRPr="00BD36DF">
        <w:rPr>
          <w:bCs/>
        </w:rPr>
        <w:t xml:space="preserve"> 11. marca 2008, alebo žalobu o neplatnosť zmluvy o upísaní týchto kapitálových nástrojov podľa vnútroštátneho práva, ktorá vzhľadom na svoj retroaktívny účinok by viedla k vráteniu protihodnoty pôvodne nadobudnutých kapitálových nástrojov a neskôr konvertovaných na akcie, spolu s úrokmi od dátumu uzavretia tejto zmluvy.</w:t>
      </w:r>
    </w:p>
    <w:p w14:paraId="6D4E6C1F" w14:textId="77777777" w:rsidR="00A36D07" w:rsidRPr="00BD36DF" w:rsidRDefault="00A36D07" w:rsidP="0086636E">
      <w:pPr>
        <w:pStyle w:val="c08dispositif"/>
        <w:spacing w:after="240"/>
        <w:ind w:left="1134"/>
        <w:jc w:val="both"/>
        <w:rPr>
          <w:bCs/>
        </w:rPr>
      </w:pPr>
      <w:r w:rsidRPr="00BD36DF">
        <w:rPr>
          <w:bCs/>
        </w:rPr>
        <w:t>2.      Ustanovenia smernice 2014/59, najmä jej článok 34 ods. 1 písm. a) a b), ako aj jej článok 38 sa majú vykladať v tom zmysle, že:</w:t>
      </w:r>
    </w:p>
    <w:p w14:paraId="7496C537" w14:textId="77777777" w:rsidR="00A36D07" w:rsidRPr="00BD36DF" w:rsidRDefault="00A36D07" w:rsidP="0086636E">
      <w:pPr>
        <w:pStyle w:val="c08dispositif"/>
        <w:spacing w:after="240"/>
        <w:ind w:left="1134"/>
        <w:jc w:val="both"/>
        <w:rPr>
          <w:bCs/>
        </w:rPr>
      </w:pPr>
      <w:r w:rsidRPr="00BD36DF">
        <w:rPr>
          <w:bCs/>
        </w:rPr>
        <w:t>bránia tomu, aby po úplnom odpísaní akcií tvoriacich základné imanie úverovej inštitúcie podliehajúcej postupu riešenia krízovej situácie podali osoby, ktoré nadobudli kapitálové nástroje, ktoré boli v rámci tohto postupu konvertované na akcie tejto úverovej inštitúcie, ktoré boli následne prevedené na inú úverovú inštitúciu, proti tejto inej úverovej inštitúcii žalobu o neplatnosť zmluvy o upísaní týchto kapitálových nástrojov podľa vnútroštátneho práva, ktorá by vzhľadom na svoj retroaktívny účinok viedla k vráteniu protihodnoty uvedených kapitálových nástrojov, spolu s úrokmi od dátumu uzavretia tejto zmluvy.</w:t>
      </w:r>
    </w:p>
    <w:p w14:paraId="1101403A" w14:textId="7809B7F3" w:rsidR="00A36D07" w:rsidRPr="00BD36DF" w:rsidRDefault="00A36D07" w:rsidP="004A2EED">
      <w:pPr>
        <w:spacing w:after="0" w:line="240" w:lineRule="auto"/>
        <w:ind w:left="1134"/>
        <w:jc w:val="both"/>
        <w:rPr>
          <w:rFonts w:ascii="Times New Roman" w:hAnsi="Times New Roman" w:cs="Times New Roman"/>
          <w:sz w:val="24"/>
          <w:szCs w:val="24"/>
        </w:rPr>
      </w:pPr>
    </w:p>
    <w:p w14:paraId="27E2DF0A" w14:textId="77777777" w:rsidR="00A36D07" w:rsidRPr="00BD36DF" w:rsidRDefault="00A36D07" w:rsidP="004A2EED">
      <w:pPr>
        <w:spacing w:after="0" w:line="240" w:lineRule="auto"/>
        <w:ind w:left="1134"/>
        <w:jc w:val="both"/>
        <w:rPr>
          <w:rFonts w:ascii="Times New Roman" w:hAnsi="Times New Roman" w:cs="Times New Roman"/>
          <w:sz w:val="24"/>
          <w:szCs w:val="24"/>
        </w:rPr>
      </w:pPr>
    </w:p>
    <w:p w14:paraId="3E570B4F" w14:textId="77777777" w:rsidR="008545C6" w:rsidRPr="00BD36DF" w:rsidRDefault="008545C6" w:rsidP="004A2EED">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BD36DF">
        <w:rPr>
          <w:rFonts w:ascii="Times New Roman" w:eastAsia="Times New Roman" w:hAnsi="Times New Roman" w:cs="Times New Roman"/>
          <w:b/>
          <w:bCs/>
          <w:sz w:val="24"/>
          <w:szCs w:val="24"/>
          <w:lang w:eastAsia="sk-SK"/>
        </w:rPr>
        <w:t>Záväzky Slovenskej republiky vo vzťahu k Európskej únii:</w:t>
      </w:r>
    </w:p>
    <w:p w14:paraId="045FCB4D" w14:textId="21FE601B" w:rsidR="0088317A" w:rsidRPr="00BD36DF" w:rsidRDefault="0088317A" w:rsidP="00F928EA">
      <w:pPr>
        <w:pStyle w:val="Odsekzoznamu"/>
        <w:numPr>
          <w:ilvl w:val="0"/>
          <w:numId w:val="8"/>
        </w:numPr>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Lehota</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na</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prebratie</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 xml:space="preserve">smernice (EÚ) </w:t>
      </w:r>
      <w:r w:rsidRPr="00BD36DF">
        <w:rPr>
          <w:rFonts w:ascii="Times New Roman" w:eastAsia="Times New Roman" w:hAnsi="Times New Roman" w:cs="Times New Roman"/>
          <w:sz w:val="24"/>
          <w:szCs w:val="24"/>
          <w:u w:val="single"/>
          <w:lang w:eastAsia="sk-SK"/>
        </w:rPr>
        <w:t>2024/2994</w:t>
      </w:r>
      <w:r w:rsidRPr="00BD36DF">
        <w:rPr>
          <w:rFonts w:ascii="Times New Roman" w:eastAsia="Times New Roman" w:hAnsi="Times New Roman" w:cs="Times New Roman"/>
          <w:sz w:val="24"/>
          <w:szCs w:val="24"/>
          <w:lang w:eastAsia="sk-SK"/>
        </w:rPr>
        <w:t xml:space="preserve"> je stanovená</w:t>
      </w:r>
      <w:r w:rsidRPr="00BD36DF">
        <w:rPr>
          <w:rFonts w:ascii="Times New Roman" w:eastAsia="Times New Roman" w:hAnsi="Times New Roman" w:cs="Times New Roman"/>
          <w:spacing w:val="22"/>
          <w:sz w:val="24"/>
          <w:szCs w:val="24"/>
          <w:lang w:eastAsia="sk-SK"/>
        </w:rPr>
        <w:t xml:space="preserve"> </w:t>
      </w:r>
      <w:r w:rsidRPr="00BD36DF">
        <w:rPr>
          <w:rFonts w:ascii="Times New Roman" w:eastAsia="Times New Roman" w:hAnsi="Times New Roman" w:cs="Times New Roman"/>
          <w:sz w:val="24"/>
          <w:szCs w:val="24"/>
          <w:lang w:eastAsia="sk-SK"/>
        </w:rPr>
        <w:t>do 25. júna 2026.</w:t>
      </w:r>
    </w:p>
    <w:p w14:paraId="5FD198CB" w14:textId="0026C3BF" w:rsidR="0088317A" w:rsidRPr="00BD36DF" w:rsidRDefault="0088317A" w:rsidP="0088317A">
      <w:pPr>
        <w:pStyle w:val="Odsekzoznamu"/>
        <w:spacing w:after="0" w:line="240" w:lineRule="auto"/>
        <w:jc w:val="both"/>
        <w:rPr>
          <w:rFonts w:ascii="Times New Roman" w:eastAsia="Times New Roman" w:hAnsi="Times New Roman" w:cs="Times New Roman"/>
          <w:sz w:val="24"/>
          <w:szCs w:val="24"/>
          <w:lang w:eastAsia="sk-SK"/>
        </w:rPr>
      </w:pPr>
    </w:p>
    <w:p w14:paraId="18A23712" w14:textId="1BAAD951" w:rsidR="00F928EA" w:rsidRPr="00BD36DF" w:rsidRDefault="00F928EA" w:rsidP="0088317A">
      <w:pPr>
        <w:pStyle w:val="Odsekzoznamu"/>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lastRenderedPageBreak/>
        <w:t xml:space="preserve">Lehota na prebratie smernice </w:t>
      </w:r>
      <w:bookmarkStart w:id="6" w:name="_Hlk202944686"/>
      <w:r w:rsidRPr="00BD36DF">
        <w:rPr>
          <w:rFonts w:ascii="Times New Roman" w:eastAsia="Times New Roman" w:hAnsi="Times New Roman" w:cs="Times New Roman"/>
          <w:sz w:val="24"/>
          <w:szCs w:val="24"/>
          <w:lang w:eastAsia="sk-SK"/>
        </w:rPr>
        <w:t xml:space="preserve">(EÚ) </w:t>
      </w:r>
      <w:bookmarkEnd w:id="6"/>
      <w:r w:rsidRPr="00BD36DF">
        <w:rPr>
          <w:rFonts w:ascii="Times New Roman" w:eastAsia="Times New Roman" w:hAnsi="Times New Roman" w:cs="Times New Roman"/>
          <w:sz w:val="24"/>
          <w:szCs w:val="24"/>
          <w:u w:val="single"/>
          <w:lang w:eastAsia="sk-SK"/>
        </w:rPr>
        <w:t>2024/1619</w:t>
      </w:r>
      <w:r w:rsidRPr="00BD36DF">
        <w:rPr>
          <w:rFonts w:ascii="Times New Roman" w:eastAsia="Times New Roman" w:hAnsi="Times New Roman" w:cs="Times New Roman"/>
          <w:sz w:val="24"/>
          <w:szCs w:val="24"/>
          <w:lang w:eastAsia="sk-SK"/>
        </w:rPr>
        <w:t xml:space="preserve"> je stanovená do 10. januára 2026. Uvedené opatrenia sa uplatňujú od 11. januára 2026. Členské štáty však uplatňujú opatrenia potrebné na dosiahnutie súladu so zmenami stanovenými v článku 1 bodoch 9 a 13 od 11. januára 2027. Odchylne od tretieho pododseku tohto odseku členské štáty uplatňujú ustanovenia potrebné na dosiahnutie súladu so zmenami stanovenými v</w:t>
      </w:r>
      <w:r w:rsidR="00B63700" w:rsidRPr="00BD36DF">
        <w:rPr>
          <w:rFonts w:ascii="Times New Roman" w:eastAsia="Times New Roman" w:hAnsi="Times New Roman" w:cs="Times New Roman"/>
          <w:sz w:val="24"/>
          <w:szCs w:val="24"/>
          <w:lang w:eastAsia="sk-SK"/>
        </w:rPr>
        <w:t> </w:t>
      </w:r>
      <w:r w:rsidRPr="00BD36DF">
        <w:rPr>
          <w:rFonts w:ascii="Times New Roman" w:eastAsia="Times New Roman" w:hAnsi="Times New Roman" w:cs="Times New Roman"/>
          <w:sz w:val="24"/>
          <w:szCs w:val="24"/>
          <w:lang w:eastAsia="sk-SK"/>
        </w:rPr>
        <w:t xml:space="preserve"> článku 1 bode 13 tejto smernice, pokiaľ ide o články 48k a 48l smernice 2013/36/EÚ od 11. januára 2026, a so zmenami stanovenými v článku 1 bode 9 tejto smernice, pokiaľ ide o článok 21c ods. 5 smernice 2013/36/EÚ, od 11. júla 2026.</w:t>
      </w:r>
    </w:p>
    <w:p w14:paraId="11D2EB23" w14:textId="77777777" w:rsidR="00F928EA" w:rsidRPr="00BD36DF" w:rsidRDefault="00F928EA" w:rsidP="00F928EA">
      <w:pPr>
        <w:pStyle w:val="Odsekzoznamu"/>
        <w:spacing w:after="0" w:line="240" w:lineRule="auto"/>
        <w:jc w:val="both"/>
        <w:rPr>
          <w:rFonts w:ascii="Times New Roman" w:eastAsia="Times New Roman" w:hAnsi="Times New Roman" w:cs="Times New Roman"/>
          <w:sz w:val="24"/>
          <w:szCs w:val="24"/>
          <w:lang w:eastAsia="sk-SK"/>
        </w:rPr>
      </w:pPr>
    </w:p>
    <w:p w14:paraId="79D2B63F" w14:textId="77777777" w:rsidR="0086636E" w:rsidRPr="00BD36DF" w:rsidRDefault="0086636E" w:rsidP="0086636E">
      <w:pPr>
        <w:pStyle w:val="Odsekzoznamu"/>
        <w:spacing w:after="0" w:line="240" w:lineRule="auto"/>
        <w:jc w:val="both"/>
        <w:rPr>
          <w:rFonts w:ascii="Times New Roman" w:hAnsi="Times New Roman" w:cs="Times New Roman"/>
          <w:sz w:val="24"/>
          <w:szCs w:val="24"/>
        </w:rPr>
      </w:pPr>
      <w:r w:rsidRPr="00BD36DF">
        <w:rPr>
          <w:rFonts w:ascii="Times New Roman" w:hAnsi="Times New Roman" w:cs="Times New Roman"/>
          <w:sz w:val="24"/>
          <w:szCs w:val="24"/>
        </w:rPr>
        <w:t xml:space="preserve">Lehota na prebratie smernice </w:t>
      </w:r>
      <w:r w:rsidRPr="00BD36DF">
        <w:rPr>
          <w:rFonts w:ascii="Times New Roman" w:hAnsi="Times New Roman" w:cs="Times New Roman"/>
          <w:bCs/>
          <w:color w:val="333333"/>
          <w:sz w:val="24"/>
          <w:szCs w:val="24"/>
          <w:shd w:val="clear" w:color="auto" w:fill="FFFFFF"/>
        </w:rPr>
        <w:t xml:space="preserve">(EÚ) </w:t>
      </w:r>
      <w:r w:rsidRPr="00BD36DF">
        <w:rPr>
          <w:rFonts w:ascii="Times New Roman" w:eastAsia="Times New Roman" w:hAnsi="Times New Roman" w:cs="Times New Roman"/>
          <w:color w:val="000000"/>
          <w:sz w:val="24"/>
          <w:szCs w:val="24"/>
          <w:u w:val="single"/>
          <w:lang w:eastAsia="sk-SK"/>
        </w:rPr>
        <w:t>2024/1174</w:t>
      </w:r>
      <w:r w:rsidRPr="00BD36DF">
        <w:rPr>
          <w:rFonts w:ascii="Times New Roman" w:eastAsia="Times New Roman" w:hAnsi="Times New Roman" w:cs="Times New Roman"/>
          <w:color w:val="000000"/>
          <w:sz w:val="24"/>
          <w:szCs w:val="24"/>
          <w:lang w:eastAsia="sk-SK"/>
        </w:rPr>
        <w:t xml:space="preserve"> </w:t>
      </w:r>
      <w:r w:rsidRPr="00BD36DF">
        <w:rPr>
          <w:rFonts w:ascii="Times New Roman" w:hAnsi="Times New Roman" w:cs="Times New Roman"/>
          <w:sz w:val="24"/>
          <w:szCs w:val="24"/>
        </w:rPr>
        <w:t>bola stanovená do</w:t>
      </w:r>
      <w:r w:rsidRPr="00BD36DF">
        <w:t xml:space="preserve"> </w:t>
      </w:r>
      <w:r w:rsidRPr="00BD36DF">
        <w:rPr>
          <w:rFonts w:ascii="Times New Roman" w:hAnsi="Times New Roman" w:cs="Times New Roman"/>
          <w:sz w:val="24"/>
          <w:szCs w:val="24"/>
        </w:rPr>
        <w:t>13. novembra 2024.</w:t>
      </w:r>
    </w:p>
    <w:p w14:paraId="23A68068" w14:textId="5E247A0A" w:rsidR="0086636E" w:rsidRPr="00BD36DF" w:rsidRDefault="0086636E" w:rsidP="0086636E">
      <w:pPr>
        <w:pStyle w:val="Odsekzoznamu"/>
        <w:spacing w:after="0" w:line="240" w:lineRule="auto"/>
        <w:jc w:val="both"/>
        <w:rPr>
          <w:rFonts w:ascii="Times New Roman" w:eastAsia="Times New Roman" w:hAnsi="Times New Roman" w:cs="Times New Roman"/>
          <w:color w:val="000000"/>
          <w:sz w:val="24"/>
          <w:szCs w:val="24"/>
          <w:lang w:eastAsia="sk-SK"/>
        </w:rPr>
      </w:pPr>
      <w:r w:rsidRPr="00BD36DF">
        <w:rPr>
          <w:rFonts w:ascii="Times New Roman" w:hAnsi="Times New Roman" w:cs="Times New Roman"/>
          <w:sz w:val="24"/>
          <w:szCs w:val="24"/>
        </w:rPr>
        <w:t xml:space="preserve">Lehota účinnosti bola ustanovená </w:t>
      </w:r>
      <w:r w:rsidRPr="00BD36DF">
        <w:rPr>
          <w:rFonts w:ascii="Times New Roman" w:eastAsia="Times New Roman" w:hAnsi="Times New Roman" w:cs="Times New Roman"/>
          <w:color w:val="000000"/>
          <w:sz w:val="24"/>
          <w:szCs w:val="24"/>
          <w:lang w:eastAsia="sk-SK"/>
        </w:rPr>
        <w:t>od 14. novembra 2024.</w:t>
      </w:r>
    </w:p>
    <w:p w14:paraId="128C383D" w14:textId="77777777" w:rsidR="006F2598" w:rsidRPr="00BD36DF" w:rsidRDefault="006F2598" w:rsidP="0086636E">
      <w:pPr>
        <w:pStyle w:val="Odsekzoznamu"/>
        <w:spacing w:after="0" w:line="240" w:lineRule="auto"/>
        <w:jc w:val="both"/>
        <w:rPr>
          <w:rFonts w:ascii="Times New Roman" w:eastAsia="Times New Roman" w:hAnsi="Times New Roman" w:cs="Times New Roman"/>
          <w:color w:val="000000"/>
          <w:sz w:val="24"/>
          <w:szCs w:val="24"/>
          <w:lang w:eastAsia="sk-SK"/>
        </w:rPr>
      </w:pPr>
    </w:p>
    <w:p w14:paraId="7EEA029B" w14:textId="77777777" w:rsidR="008D0846" w:rsidRPr="00BD36DF" w:rsidRDefault="0086636E" w:rsidP="0086636E">
      <w:pPr>
        <w:pStyle w:val="Odsekzoznamu"/>
        <w:spacing w:after="0" w:line="240" w:lineRule="auto"/>
        <w:jc w:val="both"/>
        <w:rPr>
          <w:rFonts w:ascii="Times New Roman" w:eastAsia="Times New Roman" w:hAnsi="Times New Roman" w:cs="Times New Roman"/>
          <w:color w:val="000000"/>
          <w:sz w:val="24"/>
          <w:szCs w:val="24"/>
          <w:lang w:eastAsia="sk-SK"/>
        </w:rPr>
      </w:pPr>
      <w:r w:rsidRPr="00BD36DF">
        <w:rPr>
          <w:rFonts w:ascii="Times New Roman" w:eastAsia="Times New Roman" w:hAnsi="Times New Roman" w:cs="Times New Roman"/>
          <w:color w:val="000000"/>
          <w:sz w:val="24"/>
          <w:szCs w:val="24"/>
          <w:lang w:eastAsia="sk-SK"/>
        </w:rPr>
        <w:t>Lehota</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na</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prebratie</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smernice</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(EÚ</w:t>
      </w:r>
      <w:r w:rsidRPr="00BD36DF">
        <w:rPr>
          <w:rFonts w:ascii="Times New Roman" w:eastAsia="Times New Roman" w:hAnsi="Times New Roman" w:cs="Times New Roman"/>
          <w:color w:val="000000"/>
          <w:spacing w:val="82"/>
          <w:sz w:val="24"/>
          <w:szCs w:val="24"/>
          <w:lang w:eastAsia="sk-SK"/>
        </w:rPr>
        <w:t>)</w:t>
      </w:r>
      <w:r w:rsidRPr="00BD36DF">
        <w:rPr>
          <w:rFonts w:ascii="Times New Roman" w:eastAsia="Times New Roman" w:hAnsi="Times New Roman" w:cs="Times New Roman"/>
          <w:color w:val="000000"/>
          <w:sz w:val="24"/>
          <w:szCs w:val="24"/>
          <w:u w:val="single"/>
          <w:lang w:eastAsia="sk-SK"/>
        </w:rPr>
        <w:t>2019/2034</w:t>
      </w:r>
      <w:r w:rsidR="002B0D2F" w:rsidRPr="00BD36DF">
        <w:rPr>
          <w:rFonts w:ascii="Times New Roman" w:eastAsia="Times New Roman" w:hAnsi="Times New Roman" w:cs="Times New Roman"/>
          <w:color w:val="000000"/>
          <w:sz w:val="24"/>
          <w:szCs w:val="24"/>
          <w:lang w:eastAsia="sk-SK"/>
        </w:rPr>
        <w:t xml:space="preserve"> </w:t>
      </w:r>
      <w:r w:rsidR="002B0D2F" w:rsidRPr="00BD36DF">
        <w:rPr>
          <w:rFonts w:ascii="Times New Roman" w:eastAsia="Times New Roman" w:hAnsi="Times New Roman" w:cs="Times New Roman"/>
          <w:sz w:val="24"/>
          <w:szCs w:val="24"/>
          <w:lang w:eastAsia="sk-SK"/>
        </w:rPr>
        <w:t>v platnom znení</w:t>
      </w:r>
      <w:r w:rsidRPr="00BD36DF">
        <w:rPr>
          <w:rFonts w:ascii="Times New Roman" w:eastAsia="Times New Roman" w:hAnsi="Times New Roman" w:cs="Times New Roman"/>
          <w:color w:val="000000"/>
          <w:sz w:val="24"/>
          <w:szCs w:val="24"/>
          <w:lang w:eastAsia="sk-SK"/>
        </w:rPr>
        <w:t xml:space="preserve"> bola</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stanovená</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do</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26. júna 2021</w:t>
      </w:r>
      <w:r w:rsidR="008D0846" w:rsidRPr="00BD36DF">
        <w:rPr>
          <w:rFonts w:ascii="Times New Roman" w:eastAsia="Times New Roman" w:hAnsi="Times New Roman" w:cs="Times New Roman"/>
          <w:color w:val="000000"/>
          <w:sz w:val="24"/>
          <w:szCs w:val="24"/>
          <w:lang w:eastAsia="sk-SK"/>
        </w:rPr>
        <w:t>.</w:t>
      </w:r>
    </w:p>
    <w:p w14:paraId="4AFCB066" w14:textId="76442143" w:rsidR="0086636E" w:rsidRPr="00BD36DF" w:rsidRDefault="008D0846" w:rsidP="0086636E">
      <w:pPr>
        <w:pStyle w:val="Odsekzoznamu"/>
        <w:spacing w:after="0" w:line="240" w:lineRule="auto"/>
        <w:jc w:val="both"/>
        <w:rPr>
          <w:rFonts w:ascii="Times New Roman" w:eastAsia="Times New Roman" w:hAnsi="Times New Roman" w:cs="Times New Roman"/>
          <w:color w:val="000000"/>
          <w:sz w:val="24"/>
          <w:szCs w:val="24"/>
          <w:lang w:eastAsia="sk-SK"/>
        </w:rPr>
      </w:pPr>
      <w:r w:rsidRPr="00BD36DF">
        <w:rPr>
          <w:rFonts w:ascii="Times New Roman" w:hAnsi="Times New Roman" w:cs="Times New Roman"/>
          <w:sz w:val="24"/>
          <w:szCs w:val="24"/>
        </w:rPr>
        <w:t xml:space="preserve">Lehota účinnosti bola ustanovená </w:t>
      </w:r>
      <w:r w:rsidRPr="00BD36DF">
        <w:rPr>
          <w:rFonts w:ascii="Times New Roman" w:eastAsia="Times New Roman" w:hAnsi="Times New Roman" w:cs="Times New Roman"/>
          <w:color w:val="000000"/>
          <w:sz w:val="24"/>
          <w:szCs w:val="24"/>
          <w:lang w:eastAsia="sk-SK"/>
        </w:rPr>
        <w:t>od 26. júna 2021</w:t>
      </w:r>
      <w:r w:rsidR="0086636E" w:rsidRPr="00BD36DF">
        <w:rPr>
          <w:rFonts w:ascii="Times New Roman" w:eastAsia="Times New Roman" w:hAnsi="Times New Roman" w:cs="Times New Roman"/>
          <w:color w:val="000000"/>
          <w:sz w:val="24"/>
          <w:szCs w:val="24"/>
          <w:lang w:eastAsia="sk-SK"/>
        </w:rPr>
        <w:t xml:space="preserve"> s výnimkou článku 64 bod 5, pri ktorom bola stanovená lehota do 26. marca 2020</w:t>
      </w:r>
      <w:r w:rsidRPr="00BD36DF">
        <w:rPr>
          <w:rFonts w:ascii="Times New Roman" w:eastAsia="Times New Roman" w:hAnsi="Times New Roman" w:cs="Times New Roman"/>
          <w:color w:val="000000"/>
          <w:sz w:val="24"/>
          <w:szCs w:val="24"/>
          <w:lang w:eastAsia="sk-SK"/>
        </w:rPr>
        <w:t xml:space="preserve"> a </w:t>
      </w:r>
      <w:r w:rsidRPr="00BD36DF">
        <w:rPr>
          <w:rFonts w:ascii="Times New Roman" w:hAnsi="Times New Roman" w:cs="Times New Roman"/>
          <w:color w:val="333333"/>
          <w:sz w:val="24"/>
          <w:szCs w:val="24"/>
          <w:shd w:val="clear" w:color="auto" w:fill="FFFFFF"/>
        </w:rPr>
        <w:t>článku 62 bod 6, pokiaľ ide o článok 8a ods. 3 smernice 2013/36/EÚ, pri ktorom bola stanovená lehota účinnosti do 27. decembra 2020.</w:t>
      </w:r>
    </w:p>
    <w:p w14:paraId="7A3A5F2F" w14:textId="77777777" w:rsidR="0086636E" w:rsidRPr="00BD36DF" w:rsidRDefault="0086636E" w:rsidP="00F928EA">
      <w:pPr>
        <w:pStyle w:val="Odsekzoznamu"/>
        <w:spacing w:after="0" w:line="240" w:lineRule="auto"/>
        <w:jc w:val="both"/>
        <w:rPr>
          <w:rFonts w:ascii="Times New Roman" w:eastAsia="Times New Roman" w:hAnsi="Times New Roman" w:cs="Times New Roman"/>
          <w:sz w:val="24"/>
          <w:szCs w:val="24"/>
          <w:lang w:eastAsia="sk-SK"/>
        </w:rPr>
      </w:pPr>
    </w:p>
    <w:p w14:paraId="014E0685" w14:textId="2C628F07" w:rsidR="00F928EA" w:rsidRPr="00BD36DF" w:rsidRDefault="00F928EA" w:rsidP="00F928EA">
      <w:pPr>
        <w:pStyle w:val="Odsekzoznamu"/>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Lehota</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na</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prebratie</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smernice</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 xml:space="preserve">(EÚ) </w:t>
      </w:r>
      <w:r w:rsidRPr="00BD36DF">
        <w:rPr>
          <w:rFonts w:ascii="Times New Roman" w:eastAsia="Times New Roman" w:hAnsi="Times New Roman" w:cs="Times New Roman"/>
          <w:sz w:val="24"/>
          <w:szCs w:val="24"/>
          <w:u w:val="single"/>
          <w:lang w:eastAsia="sk-SK"/>
        </w:rPr>
        <w:t>2019/878</w:t>
      </w:r>
      <w:r w:rsidRPr="00BD36DF">
        <w:rPr>
          <w:rFonts w:ascii="Times New Roman" w:eastAsia="Times New Roman" w:hAnsi="Times New Roman" w:cs="Times New Roman"/>
          <w:sz w:val="24"/>
          <w:szCs w:val="24"/>
          <w:lang w:eastAsia="sk-SK"/>
        </w:rPr>
        <w:t xml:space="preserve"> v platnom znení </w:t>
      </w:r>
      <w:r w:rsidR="0088317A" w:rsidRPr="00BD36DF">
        <w:rPr>
          <w:rFonts w:ascii="Times New Roman" w:eastAsia="Times New Roman" w:hAnsi="Times New Roman" w:cs="Times New Roman"/>
          <w:sz w:val="24"/>
          <w:szCs w:val="24"/>
          <w:lang w:eastAsia="sk-SK"/>
        </w:rPr>
        <w:t>bola</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stanovená</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do</w:t>
      </w:r>
      <w:r w:rsidRPr="00BD36DF">
        <w:rPr>
          <w:rFonts w:ascii="Times New Roman" w:eastAsia="Times New Roman" w:hAnsi="Times New Roman" w:cs="Times New Roman"/>
          <w:spacing w:val="82"/>
          <w:sz w:val="24"/>
          <w:szCs w:val="24"/>
          <w:lang w:eastAsia="sk-SK"/>
        </w:rPr>
        <w:t xml:space="preserve"> </w:t>
      </w:r>
      <w:r w:rsidRPr="00BD36DF">
        <w:rPr>
          <w:rFonts w:ascii="Times New Roman" w:eastAsia="Times New Roman" w:hAnsi="Times New Roman" w:cs="Times New Roman"/>
          <w:sz w:val="24"/>
          <w:szCs w:val="24"/>
          <w:lang w:eastAsia="sk-SK"/>
        </w:rPr>
        <w:t>28.</w:t>
      </w:r>
      <w:r w:rsidR="0088317A" w:rsidRPr="00BD36DF">
        <w:rPr>
          <w:rFonts w:ascii="Times New Roman" w:eastAsia="Times New Roman" w:hAnsi="Times New Roman" w:cs="Times New Roman"/>
          <w:sz w:val="24"/>
          <w:szCs w:val="24"/>
          <w:lang w:eastAsia="sk-SK"/>
        </w:rPr>
        <w:t> </w:t>
      </w:r>
      <w:r w:rsidRPr="00BD36DF">
        <w:rPr>
          <w:rFonts w:ascii="Times New Roman" w:eastAsia="Times New Roman" w:hAnsi="Times New Roman" w:cs="Times New Roman"/>
          <w:sz w:val="24"/>
          <w:szCs w:val="24"/>
          <w:lang w:eastAsia="sk-SK"/>
        </w:rPr>
        <w:t>decembra 2020.</w:t>
      </w:r>
      <w:r w:rsidR="008E5A67" w:rsidRPr="00BD36DF">
        <w:rPr>
          <w:rFonts w:ascii="Times New Roman" w:eastAsia="Times New Roman" w:hAnsi="Times New Roman" w:cs="Times New Roman"/>
          <w:sz w:val="24"/>
          <w:szCs w:val="24"/>
          <w:lang w:eastAsia="sk-SK"/>
        </w:rPr>
        <w:t xml:space="preserve"> </w:t>
      </w:r>
      <w:r w:rsidRPr="00BD36DF">
        <w:rPr>
          <w:rFonts w:ascii="Times New Roman" w:eastAsia="Times New Roman" w:hAnsi="Times New Roman" w:cs="Times New Roman"/>
          <w:sz w:val="24"/>
          <w:szCs w:val="24"/>
          <w:lang w:eastAsia="sk-SK"/>
        </w:rPr>
        <w:t>Uvedené opatrenia sa uplatňujú od 29. decembra 2020. Ustanovenia potrebné na dosiahnutie súladu so zmenami stanovenými v článku 1 bode 21 a bode 29 písm. a), b) a c) tejto smernice, pokiaľ ide o článok 84 a článok 98 ods. 5 a 5a smernice 2013/36/EÚ, sa však uplatňujú od 28. júna 2021 a ustanovenia potrebné na dosiahnutie súladu so zmenami stanovenými v článku 1 bodoch 52 a 53 tejto smernice, pokiaľ ide o články 141b, 141c a článok 142 ods. 1 smernice 2013/36/EÚ, sa uplatňujú od 1. januára 2022.</w:t>
      </w:r>
      <w:r w:rsidR="008E5A67" w:rsidRPr="00BD36DF">
        <w:rPr>
          <w:rFonts w:ascii="Times New Roman" w:eastAsia="Times New Roman" w:hAnsi="Times New Roman" w:cs="Times New Roman"/>
          <w:sz w:val="24"/>
          <w:szCs w:val="24"/>
          <w:lang w:eastAsia="sk-SK"/>
        </w:rPr>
        <w:t xml:space="preserve"> </w:t>
      </w:r>
      <w:r w:rsidRPr="00BD36DF">
        <w:rPr>
          <w:rFonts w:ascii="Times New Roman" w:eastAsia="Times New Roman" w:hAnsi="Times New Roman" w:cs="Times New Roman"/>
          <w:sz w:val="24"/>
          <w:szCs w:val="24"/>
          <w:lang w:eastAsia="sk-SK"/>
        </w:rPr>
        <w:t>Členské štáty prijmú, uverejnia a uplatňujú do 26. júna 2021 opatrenia potrebné na dosiahnutie súladu s ustanoveniami tejto smernice, pokiaľ sa týkajú investičných spoločností, s výnimkou opatrení uvedených v písmene b) prvého pododseku.</w:t>
      </w:r>
    </w:p>
    <w:p w14:paraId="295CC335" w14:textId="7703862A" w:rsidR="00F928EA" w:rsidRPr="00BD36DF" w:rsidRDefault="00F928EA" w:rsidP="00F928EA">
      <w:pPr>
        <w:pStyle w:val="Odsekzoznamu"/>
        <w:spacing w:after="0" w:line="240" w:lineRule="auto"/>
        <w:jc w:val="both"/>
        <w:rPr>
          <w:rFonts w:ascii="Times New Roman" w:eastAsia="Times New Roman" w:hAnsi="Times New Roman" w:cs="Times New Roman"/>
          <w:sz w:val="24"/>
          <w:szCs w:val="24"/>
          <w:lang w:eastAsia="sk-SK"/>
        </w:rPr>
      </w:pPr>
    </w:p>
    <w:p w14:paraId="1F6F38C4" w14:textId="66A18FDC" w:rsidR="0086636E" w:rsidRPr="00BD36DF" w:rsidRDefault="0086636E" w:rsidP="0086636E">
      <w:pPr>
        <w:pStyle w:val="Odsekzoznamu"/>
        <w:spacing w:after="0" w:line="240" w:lineRule="auto"/>
        <w:jc w:val="both"/>
        <w:rPr>
          <w:rFonts w:ascii="Times New Roman" w:hAnsi="Times New Roman" w:cs="Times New Roman"/>
          <w:sz w:val="24"/>
          <w:szCs w:val="24"/>
        </w:rPr>
      </w:pPr>
      <w:r w:rsidRPr="00BD36DF">
        <w:rPr>
          <w:rFonts w:ascii="Times New Roman" w:hAnsi="Times New Roman" w:cs="Times New Roman"/>
          <w:sz w:val="24"/>
          <w:szCs w:val="24"/>
        </w:rPr>
        <w:t xml:space="preserve">Lehota na prebratie smernice </w:t>
      </w:r>
      <w:r w:rsidRPr="00BD36DF">
        <w:rPr>
          <w:rFonts w:ascii="Times New Roman" w:hAnsi="Times New Roman" w:cs="Times New Roman"/>
          <w:bCs/>
          <w:color w:val="333333"/>
          <w:sz w:val="24"/>
          <w:szCs w:val="24"/>
          <w:shd w:val="clear" w:color="auto" w:fill="FFFFFF"/>
        </w:rPr>
        <w:t xml:space="preserve">(EÚ) </w:t>
      </w:r>
      <w:r w:rsidRPr="00BD36DF">
        <w:rPr>
          <w:rFonts w:ascii="Times New Roman" w:hAnsi="Times New Roman" w:cs="Times New Roman"/>
          <w:bCs/>
          <w:color w:val="333333"/>
          <w:sz w:val="24"/>
          <w:szCs w:val="24"/>
          <w:u w:val="single"/>
          <w:shd w:val="clear" w:color="auto" w:fill="FFFFFF"/>
        </w:rPr>
        <w:t>2019/879</w:t>
      </w:r>
      <w:r w:rsidRPr="00BD36DF">
        <w:rPr>
          <w:rFonts w:ascii="Times New Roman" w:hAnsi="Times New Roman" w:cs="Times New Roman"/>
          <w:bCs/>
          <w:color w:val="333333"/>
          <w:sz w:val="24"/>
          <w:szCs w:val="24"/>
          <w:shd w:val="clear" w:color="auto" w:fill="FFFFFF"/>
        </w:rPr>
        <w:t xml:space="preserve"> </w:t>
      </w:r>
      <w:r w:rsidRPr="00BD36DF">
        <w:rPr>
          <w:rFonts w:ascii="Times New Roman" w:hAnsi="Times New Roman" w:cs="Times New Roman"/>
          <w:sz w:val="24"/>
          <w:szCs w:val="24"/>
        </w:rPr>
        <w:t>bola stanovená do 28. decembra 2020.</w:t>
      </w:r>
    </w:p>
    <w:p w14:paraId="1060DEFE" w14:textId="76D76D7E" w:rsidR="0086636E" w:rsidRPr="00BD36DF" w:rsidRDefault="0083577F" w:rsidP="0086636E">
      <w:pPr>
        <w:pStyle w:val="Odsekzoznamu"/>
        <w:spacing w:after="0" w:line="240" w:lineRule="auto"/>
        <w:jc w:val="both"/>
        <w:rPr>
          <w:rFonts w:ascii="Times New Roman" w:hAnsi="Times New Roman" w:cs="Times New Roman"/>
          <w:sz w:val="24"/>
          <w:szCs w:val="24"/>
        </w:rPr>
      </w:pPr>
      <w:r w:rsidRPr="00BD36DF">
        <w:rPr>
          <w:rFonts w:ascii="Times New Roman" w:hAnsi="Times New Roman" w:cs="Times New Roman"/>
          <w:sz w:val="24"/>
          <w:szCs w:val="24"/>
        </w:rPr>
        <w:t>Lehota účinnosti bola ustanovená najneskôr 28. decembra 2020, okrem č</w:t>
      </w:r>
      <w:r w:rsidR="0086636E" w:rsidRPr="00BD36DF">
        <w:rPr>
          <w:rFonts w:ascii="Times New Roman" w:hAnsi="Times New Roman" w:cs="Times New Roman"/>
          <w:sz w:val="24"/>
          <w:szCs w:val="24"/>
        </w:rPr>
        <w:t>lánk</w:t>
      </w:r>
      <w:r w:rsidRPr="00BD36DF">
        <w:rPr>
          <w:rFonts w:ascii="Times New Roman" w:hAnsi="Times New Roman" w:cs="Times New Roman"/>
          <w:sz w:val="24"/>
          <w:szCs w:val="24"/>
        </w:rPr>
        <w:t>u</w:t>
      </w:r>
      <w:r w:rsidR="0086636E" w:rsidRPr="00BD36DF">
        <w:rPr>
          <w:rFonts w:ascii="Times New Roman" w:hAnsi="Times New Roman" w:cs="Times New Roman"/>
          <w:sz w:val="24"/>
          <w:szCs w:val="24"/>
        </w:rPr>
        <w:t xml:space="preserve"> 1 bod 17 </w:t>
      </w:r>
      <w:r w:rsidRPr="00BD36DF">
        <w:rPr>
          <w:rFonts w:ascii="Times New Roman" w:hAnsi="Times New Roman" w:cs="Times New Roman"/>
          <w:sz w:val="24"/>
          <w:szCs w:val="24"/>
        </w:rPr>
        <w:t xml:space="preserve">uvedenej </w:t>
      </w:r>
      <w:r w:rsidR="0086636E" w:rsidRPr="00BD36DF">
        <w:rPr>
          <w:rFonts w:ascii="Times New Roman" w:hAnsi="Times New Roman" w:cs="Times New Roman"/>
          <w:sz w:val="24"/>
          <w:szCs w:val="24"/>
        </w:rPr>
        <w:t>smernice, pokiaľ ide o článok 45i ods. 3 smernice 2014/59/EÚ,</w:t>
      </w:r>
      <w:r w:rsidRPr="00BD36DF">
        <w:rPr>
          <w:rFonts w:ascii="Times New Roman" w:eastAsia="Times New Roman" w:hAnsi="Times New Roman" w:cs="Times New Roman"/>
          <w:color w:val="000000"/>
          <w:sz w:val="24"/>
          <w:szCs w:val="24"/>
          <w:lang w:eastAsia="sk-SK"/>
        </w:rPr>
        <w:t xml:space="preserve"> pri ktorom bola stanovená lehota</w:t>
      </w:r>
      <w:r w:rsidR="0086636E" w:rsidRPr="00BD36DF">
        <w:rPr>
          <w:rFonts w:ascii="Times New Roman" w:hAnsi="Times New Roman" w:cs="Times New Roman"/>
          <w:sz w:val="24"/>
          <w:szCs w:val="24"/>
        </w:rPr>
        <w:t xml:space="preserve"> od 1. januára 2024. </w:t>
      </w:r>
    </w:p>
    <w:p w14:paraId="5E236EDC" w14:textId="77777777" w:rsidR="0086636E" w:rsidRPr="00BD36DF" w:rsidRDefault="0086636E" w:rsidP="0086636E">
      <w:pPr>
        <w:pStyle w:val="Odsekzoznamu"/>
        <w:spacing w:after="0" w:line="240" w:lineRule="auto"/>
        <w:jc w:val="both"/>
        <w:rPr>
          <w:rFonts w:ascii="Times New Roman" w:hAnsi="Times New Roman" w:cs="Times New Roman"/>
          <w:sz w:val="24"/>
          <w:szCs w:val="24"/>
        </w:rPr>
      </w:pPr>
    </w:p>
    <w:p w14:paraId="4FD32535" w14:textId="035E8141" w:rsidR="0086636E" w:rsidRPr="00BD36DF" w:rsidRDefault="0086636E" w:rsidP="0086636E">
      <w:pPr>
        <w:pStyle w:val="Odsekzoznamu"/>
        <w:tabs>
          <w:tab w:val="left" w:pos="360"/>
          <w:tab w:val="left" w:pos="540"/>
        </w:tabs>
        <w:spacing w:after="0" w:line="240" w:lineRule="auto"/>
        <w:jc w:val="both"/>
        <w:rPr>
          <w:rFonts w:ascii="Times New Roman" w:hAnsi="Times New Roman" w:cs="Times New Roman"/>
          <w:sz w:val="24"/>
          <w:szCs w:val="24"/>
        </w:rPr>
      </w:pPr>
      <w:r w:rsidRPr="00BD36DF">
        <w:rPr>
          <w:rFonts w:ascii="Times New Roman" w:hAnsi="Times New Roman" w:cs="Times New Roman"/>
          <w:sz w:val="24"/>
          <w:szCs w:val="24"/>
        </w:rPr>
        <w:t xml:space="preserve">Lehota na prebratie smernice </w:t>
      </w:r>
      <w:r w:rsidRPr="00BD36DF">
        <w:rPr>
          <w:rFonts w:ascii="Times New Roman" w:hAnsi="Times New Roman" w:cs="Times New Roman"/>
          <w:sz w:val="24"/>
          <w:szCs w:val="24"/>
          <w:u w:val="single"/>
        </w:rPr>
        <w:t>2014/59/EÚ</w:t>
      </w:r>
      <w:r w:rsidRPr="00BD36DF">
        <w:rPr>
          <w:rFonts w:ascii="Times New Roman" w:hAnsi="Times New Roman" w:cs="Times New Roman"/>
          <w:sz w:val="24"/>
          <w:szCs w:val="24"/>
        </w:rPr>
        <w:t xml:space="preserve"> v platnom znení bola stanovená do 31. decembra 2014.</w:t>
      </w:r>
    </w:p>
    <w:p w14:paraId="727302BF" w14:textId="4DF261DF" w:rsidR="0086636E" w:rsidRPr="00BD36DF" w:rsidRDefault="0086636E" w:rsidP="0086636E">
      <w:pPr>
        <w:pStyle w:val="Odsekzoznamu"/>
        <w:tabs>
          <w:tab w:val="left" w:pos="360"/>
          <w:tab w:val="left" w:pos="540"/>
        </w:tabs>
        <w:spacing w:after="0" w:line="240" w:lineRule="auto"/>
        <w:jc w:val="both"/>
        <w:rPr>
          <w:rFonts w:ascii="Times New Roman" w:hAnsi="Times New Roman" w:cs="Times New Roman"/>
          <w:sz w:val="24"/>
          <w:szCs w:val="24"/>
        </w:rPr>
      </w:pPr>
      <w:r w:rsidRPr="00BD36DF">
        <w:rPr>
          <w:rFonts w:ascii="Times New Roman" w:hAnsi="Times New Roman" w:cs="Times New Roman"/>
          <w:sz w:val="24"/>
          <w:szCs w:val="24"/>
        </w:rPr>
        <w:t>Lehota účinnosti bola ustanovená od 1. januára 2015. Ustanovenia prijaté s cieľom riadiť sa požiadavkami hlavy IV kapitoly IV oddielu 5 sa uplatňujú najneskôr od 1.</w:t>
      </w:r>
      <w:r w:rsidR="00B22913" w:rsidRPr="00BD36DF">
        <w:rPr>
          <w:rFonts w:ascii="Times New Roman" w:hAnsi="Times New Roman" w:cs="Times New Roman"/>
          <w:sz w:val="24"/>
          <w:szCs w:val="24"/>
        </w:rPr>
        <w:t> </w:t>
      </w:r>
      <w:r w:rsidRPr="00BD36DF">
        <w:rPr>
          <w:rFonts w:ascii="Times New Roman" w:hAnsi="Times New Roman" w:cs="Times New Roman"/>
          <w:sz w:val="24"/>
          <w:szCs w:val="24"/>
        </w:rPr>
        <w:t>januára 2016.</w:t>
      </w:r>
    </w:p>
    <w:p w14:paraId="5B915B93" w14:textId="77777777" w:rsidR="0086636E" w:rsidRPr="00BD36DF" w:rsidRDefault="0086636E" w:rsidP="0086636E">
      <w:pPr>
        <w:pStyle w:val="Odsekzoznamu"/>
        <w:tabs>
          <w:tab w:val="left" w:pos="360"/>
          <w:tab w:val="left" w:pos="540"/>
        </w:tabs>
        <w:spacing w:after="0" w:line="240" w:lineRule="auto"/>
        <w:jc w:val="both"/>
        <w:rPr>
          <w:rFonts w:ascii="Times New Roman" w:hAnsi="Times New Roman" w:cs="Times New Roman"/>
          <w:sz w:val="24"/>
          <w:szCs w:val="24"/>
        </w:rPr>
      </w:pPr>
    </w:p>
    <w:p w14:paraId="5D3EDDE3" w14:textId="48A16A9C" w:rsidR="0086636E" w:rsidRPr="00BD36DF" w:rsidRDefault="002B0D2F" w:rsidP="00F928EA">
      <w:pPr>
        <w:pStyle w:val="Odsekzoznamu"/>
        <w:spacing w:after="0" w:line="240" w:lineRule="auto"/>
        <w:jc w:val="both"/>
        <w:rPr>
          <w:rFonts w:ascii="Times New Roman" w:hAnsi="Times New Roman" w:cs="Times New Roman"/>
          <w:color w:val="333333"/>
          <w:sz w:val="24"/>
          <w:szCs w:val="24"/>
          <w:shd w:val="clear" w:color="auto" w:fill="FFFFFF"/>
        </w:rPr>
      </w:pPr>
      <w:r w:rsidRPr="00BD36DF">
        <w:rPr>
          <w:rFonts w:ascii="Times New Roman" w:eastAsia="Times New Roman" w:hAnsi="Times New Roman" w:cs="Times New Roman"/>
          <w:color w:val="000000"/>
          <w:sz w:val="24"/>
          <w:szCs w:val="24"/>
          <w:lang w:eastAsia="sk-SK"/>
        </w:rPr>
        <w:t>Lehota</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na</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prebratie</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smernice</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(EÚ</w:t>
      </w:r>
      <w:r w:rsidRPr="00BD36DF">
        <w:rPr>
          <w:rFonts w:ascii="Times New Roman" w:eastAsia="Times New Roman" w:hAnsi="Times New Roman" w:cs="Times New Roman"/>
          <w:color w:val="000000"/>
          <w:spacing w:val="82"/>
          <w:sz w:val="24"/>
          <w:szCs w:val="24"/>
          <w:lang w:eastAsia="sk-SK"/>
        </w:rPr>
        <w:t>)</w:t>
      </w:r>
      <w:r w:rsidRPr="00BD36DF">
        <w:rPr>
          <w:rFonts w:ascii="Times New Roman" w:eastAsia="Times New Roman" w:hAnsi="Times New Roman" w:cs="Times New Roman"/>
          <w:color w:val="000000"/>
          <w:sz w:val="24"/>
          <w:szCs w:val="24"/>
          <w:u w:val="single"/>
          <w:lang w:eastAsia="sk-SK"/>
        </w:rPr>
        <w:t>2019/2162</w:t>
      </w:r>
      <w:r w:rsidRPr="00BD36DF">
        <w:rPr>
          <w:rFonts w:ascii="Times New Roman" w:eastAsia="Times New Roman" w:hAnsi="Times New Roman" w:cs="Times New Roman"/>
          <w:color w:val="000000"/>
          <w:sz w:val="24"/>
          <w:szCs w:val="24"/>
          <w:lang w:eastAsia="sk-SK"/>
        </w:rPr>
        <w:t xml:space="preserve"> </w:t>
      </w:r>
      <w:r w:rsidRPr="00BD36DF">
        <w:rPr>
          <w:rFonts w:ascii="Times New Roman" w:eastAsia="Times New Roman" w:hAnsi="Times New Roman" w:cs="Times New Roman"/>
          <w:sz w:val="24"/>
          <w:szCs w:val="24"/>
          <w:lang w:eastAsia="sk-SK"/>
        </w:rPr>
        <w:t xml:space="preserve">v platnom znení </w:t>
      </w:r>
      <w:r w:rsidRPr="00BD36DF">
        <w:rPr>
          <w:rFonts w:ascii="Times New Roman" w:eastAsia="Times New Roman" w:hAnsi="Times New Roman" w:cs="Times New Roman"/>
          <w:color w:val="000000"/>
          <w:sz w:val="24"/>
          <w:szCs w:val="24"/>
          <w:lang w:eastAsia="sk-SK"/>
        </w:rPr>
        <w:t>bola</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stanovená</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 xml:space="preserve">do </w:t>
      </w:r>
      <w:r w:rsidRPr="00BD36DF">
        <w:rPr>
          <w:rFonts w:ascii="Times New Roman" w:hAnsi="Times New Roman" w:cs="Times New Roman"/>
          <w:color w:val="333333"/>
          <w:sz w:val="24"/>
          <w:szCs w:val="24"/>
          <w:shd w:val="clear" w:color="auto" w:fill="FFFFFF"/>
        </w:rPr>
        <w:t>8. júla 2021.</w:t>
      </w:r>
    </w:p>
    <w:p w14:paraId="7383B34B" w14:textId="596833C1" w:rsidR="002B0D2F" w:rsidRPr="00BD36DF" w:rsidRDefault="002B0D2F" w:rsidP="00F928EA">
      <w:pPr>
        <w:pStyle w:val="Odsekzoznamu"/>
        <w:spacing w:after="0" w:line="240" w:lineRule="auto"/>
        <w:jc w:val="both"/>
        <w:rPr>
          <w:rFonts w:ascii="Times New Roman" w:eastAsia="Times New Roman" w:hAnsi="Times New Roman" w:cs="Times New Roman"/>
          <w:color w:val="000000"/>
          <w:sz w:val="24"/>
          <w:szCs w:val="24"/>
          <w:lang w:eastAsia="sk-SK"/>
        </w:rPr>
      </w:pPr>
      <w:r w:rsidRPr="00BD36DF">
        <w:rPr>
          <w:rFonts w:ascii="Times New Roman" w:hAnsi="Times New Roman" w:cs="Times New Roman"/>
          <w:sz w:val="24"/>
          <w:szCs w:val="24"/>
        </w:rPr>
        <w:t>Lehota účinnosti bola ustanovená od 8. júla 2022.</w:t>
      </w:r>
    </w:p>
    <w:p w14:paraId="219C8499" w14:textId="5DADD913" w:rsidR="002B0D2F" w:rsidRPr="00BD36DF" w:rsidRDefault="002B0D2F" w:rsidP="00F928EA">
      <w:pPr>
        <w:pStyle w:val="Odsekzoznamu"/>
        <w:spacing w:after="0" w:line="240" w:lineRule="auto"/>
        <w:jc w:val="both"/>
        <w:rPr>
          <w:rFonts w:ascii="Times New Roman" w:eastAsia="Times New Roman" w:hAnsi="Times New Roman" w:cs="Times New Roman"/>
          <w:color w:val="000000"/>
          <w:sz w:val="24"/>
          <w:szCs w:val="24"/>
          <w:lang w:eastAsia="sk-SK"/>
        </w:rPr>
      </w:pPr>
    </w:p>
    <w:p w14:paraId="36B757F1" w14:textId="5F2C51C8" w:rsidR="002B0D2F" w:rsidRPr="00BD36DF" w:rsidRDefault="002B0D2F" w:rsidP="00F928EA">
      <w:pPr>
        <w:pStyle w:val="Odsekzoznamu"/>
        <w:spacing w:after="0" w:line="240" w:lineRule="auto"/>
        <w:jc w:val="both"/>
        <w:rPr>
          <w:rFonts w:ascii="Times New Roman" w:eastAsia="Times New Roman" w:hAnsi="Times New Roman" w:cs="Times New Roman"/>
          <w:color w:val="000000"/>
          <w:sz w:val="24"/>
          <w:szCs w:val="24"/>
          <w:lang w:eastAsia="sk-SK"/>
        </w:rPr>
      </w:pPr>
      <w:r w:rsidRPr="00BD36DF">
        <w:rPr>
          <w:rFonts w:ascii="Times New Roman" w:eastAsia="Times New Roman" w:hAnsi="Times New Roman" w:cs="Times New Roman"/>
          <w:color w:val="000000"/>
          <w:sz w:val="24"/>
          <w:szCs w:val="24"/>
          <w:lang w:eastAsia="sk-SK"/>
        </w:rPr>
        <w:t>Lehota</w:t>
      </w:r>
      <w:r w:rsidRPr="00BD36DF">
        <w:rPr>
          <w:rFonts w:ascii="Times New Roman" w:eastAsia="Times New Roman" w:hAnsi="Times New Roman" w:cs="Times New Roman"/>
          <w:color w:val="000000"/>
          <w:spacing w:val="82"/>
          <w:sz w:val="24"/>
          <w:szCs w:val="24"/>
          <w:lang w:eastAsia="sk-SK"/>
        </w:rPr>
        <w:t xml:space="preserve"> </w:t>
      </w:r>
      <w:r w:rsidR="00A8450F" w:rsidRPr="00BD36DF">
        <w:rPr>
          <w:rFonts w:ascii="Times New Roman" w:hAnsi="Times New Roman" w:cs="Times New Roman"/>
          <w:sz w:val="24"/>
          <w:szCs w:val="24"/>
        </w:rPr>
        <w:t>účinnosti</w:t>
      </w:r>
      <w:r w:rsidR="00A8450F" w:rsidRPr="00BD36DF">
        <w:rPr>
          <w:rFonts w:ascii="Times New Roman" w:eastAsia="Times New Roman" w:hAnsi="Times New Roman" w:cs="Times New Roman"/>
          <w:color w:val="000000"/>
          <w:sz w:val="24"/>
          <w:szCs w:val="24"/>
          <w:lang w:eastAsia="sk-SK"/>
        </w:rPr>
        <w:t xml:space="preserve"> článkov 1, 2 a 3 </w:t>
      </w:r>
      <w:r w:rsidRPr="00BD36DF">
        <w:rPr>
          <w:rFonts w:ascii="Times New Roman" w:eastAsia="Times New Roman" w:hAnsi="Times New Roman" w:cs="Times New Roman"/>
          <w:color w:val="000000"/>
          <w:sz w:val="24"/>
          <w:szCs w:val="24"/>
          <w:lang w:eastAsia="sk-SK"/>
        </w:rPr>
        <w:t>smernice</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u w:val="single"/>
          <w:lang w:eastAsia="sk-SK"/>
        </w:rPr>
        <w:t>2011/89/EÚ</w:t>
      </w:r>
      <w:r w:rsidRPr="00BD36DF">
        <w:rPr>
          <w:rFonts w:ascii="Times New Roman" w:eastAsia="Times New Roman" w:hAnsi="Times New Roman" w:cs="Times New Roman"/>
          <w:color w:val="000000"/>
          <w:sz w:val="24"/>
          <w:szCs w:val="24"/>
          <w:lang w:eastAsia="sk-SK"/>
        </w:rPr>
        <w:t xml:space="preserve"> bola</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stanovená</w:t>
      </w:r>
      <w:r w:rsidRPr="00BD36DF">
        <w:rPr>
          <w:rFonts w:ascii="Times New Roman" w:eastAsia="Times New Roman" w:hAnsi="Times New Roman" w:cs="Times New Roman"/>
          <w:color w:val="000000"/>
          <w:spacing w:val="82"/>
          <w:sz w:val="24"/>
          <w:szCs w:val="24"/>
          <w:lang w:eastAsia="sk-SK"/>
        </w:rPr>
        <w:t xml:space="preserve"> </w:t>
      </w:r>
      <w:r w:rsidRPr="00BD36DF">
        <w:rPr>
          <w:rFonts w:ascii="Times New Roman" w:eastAsia="Times New Roman" w:hAnsi="Times New Roman" w:cs="Times New Roman"/>
          <w:color w:val="000000"/>
          <w:sz w:val="24"/>
          <w:szCs w:val="24"/>
          <w:lang w:eastAsia="sk-SK"/>
        </w:rPr>
        <w:t>do 10. júna 2013</w:t>
      </w:r>
      <w:r w:rsidR="00A8450F" w:rsidRPr="00BD36DF">
        <w:rPr>
          <w:rFonts w:ascii="Times New Roman" w:eastAsia="Times New Roman" w:hAnsi="Times New Roman" w:cs="Times New Roman"/>
          <w:color w:val="000000"/>
          <w:sz w:val="24"/>
          <w:szCs w:val="24"/>
          <w:lang w:eastAsia="sk-SK"/>
        </w:rPr>
        <w:t xml:space="preserve">, </w:t>
      </w:r>
      <w:r w:rsidR="00A8450F" w:rsidRPr="00BD36DF">
        <w:rPr>
          <w:rFonts w:ascii="Times New Roman" w:hAnsi="Times New Roman" w:cs="Times New Roman"/>
          <w:sz w:val="24"/>
          <w:szCs w:val="24"/>
        </w:rPr>
        <w:t xml:space="preserve">okrem </w:t>
      </w:r>
      <w:r w:rsidR="00A8450F" w:rsidRPr="00BD36DF">
        <w:rPr>
          <w:rFonts w:ascii="Times New Roman" w:hAnsi="Times New Roman" w:cs="Times New Roman"/>
          <w:color w:val="333333"/>
          <w:sz w:val="24"/>
          <w:szCs w:val="24"/>
          <w:shd w:val="clear" w:color="auto" w:fill="FFFFFF"/>
        </w:rPr>
        <w:t xml:space="preserve">článku 2 bod 23, ako aj článku 2 bod 1 a bod 2 písm. a) v rozsahu, v akom tieto ustanovenia menia a dopĺňajú článok 1, článok 2 ods. 4, 5a a 16 a článok 3 ods. 2 smernice 2002/87/ES s ohľadom na správcov alternatívnych investičných fondov, pri </w:t>
      </w:r>
      <w:r w:rsidR="00A8450F" w:rsidRPr="00BD36DF">
        <w:rPr>
          <w:rFonts w:ascii="Times New Roman" w:hAnsi="Times New Roman" w:cs="Times New Roman"/>
          <w:color w:val="333333"/>
          <w:sz w:val="24"/>
          <w:szCs w:val="24"/>
          <w:shd w:val="clear" w:color="auto" w:fill="FFFFFF"/>
        </w:rPr>
        <w:lastRenderedPageBreak/>
        <w:t>ktorých bola stanovená lehota účinnosti do 22. júla 2013.</w:t>
      </w:r>
      <w:r w:rsidR="00BE1EED" w:rsidRPr="00BD36DF">
        <w:rPr>
          <w:rFonts w:ascii="Times New Roman" w:eastAsia="Times New Roman" w:hAnsi="Times New Roman" w:cs="Times New Roman"/>
          <w:color w:val="000000"/>
          <w:sz w:val="24"/>
          <w:szCs w:val="24"/>
          <w:lang w:eastAsia="sk-SK"/>
        </w:rPr>
        <w:t xml:space="preserve"> </w:t>
      </w:r>
      <w:r w:rsidRPr="00BD36DF">
        <w:rPr>
          <w:rFonts w:ascii="Times New Roman" w:hAnsi="Times New Roman" w:cs="Times New Roman"/>
          <w:sz w:val="24"/>
          <w:szCs w:val="24"/>
        </w:rPr>
        <w:t xml:space="preserve">Lehota účinnosti </w:t>
      </w:r>
      <w:r w:rsidR="00A8450F" w:rsidRPr="00BD36DF">
        <w:rPr>
          <w:rFonts w:ascii="Times New Roman" w:hAnsi="Times New Roman" w:cs="Times New Roman"/>
          <w:sz w:val="24"/>
          <w:szCs w:val="24"/>
        </w:rPr>
        <w:t xml:space="preserve">pre článok 4 </w:t>
      </w:r>
      <w:r w:rsidRPr="00BD36DF">
        <w:rPr>
          <w:rFonts w:ascii="Times New Roman" w:hAnsi="Times New Roman" w:cs="Times New Roman"/>
          <w:sz w:val="24"/>
          <w:szCs w:val="24"/>
        </w:rPr>
        <w:t>bola ustanovená od 10. júna 2023</w:t>
      </w:r>
      <w:r w:rsidRPr="00BD36DF">
        <w:rPr>
          <w:rFonts w:ascii="Times New Roman" w:hAnsi="Times New Roman" w:cs="Times New Roman"/>
          <w:color w:val="333333"/>
          <w:sz w:val="24"/>
          <w:szCs w:val="24"/>
          <w:shd w:val="clear" w:color="auto" w:fill="FFFFFF"/>
        </w:rPr>
        <w:t>.</w:t>
      </w:r>
    </w:p>
    <w:p w14:paraId="3DC303F5" w14:textId="0184336C" w:rsidR="008545C6" w:rsidRPr="00BD36DF" w:rsidRDefault="008545C6" w:rsidP="004A2EED">
      <w:pPr>
        <w:pStyle w:val="Odsekzoznamu"/>
        <w:spacing w:after="0" w:line="240" w:lineRule="auto"/>
        <w:rPr>
          <w:rFonts w:ascii="Times New Roman" w:eastAsia="Times New Roman" w:hAnsi="Times New Roman" w:cs="Times New Roman"/>
          <w:sz w:val="24"/>
          <w:szCs w:val="24"/>
          <w:lang w:eastAsia="sk-SK"/>
        </w:rPr>
      </w:pPr>
    </w:p>
    <w:p w14:paraId="47B56AE9" w14:textId="77777777" w:rsidR="00B22913" w:rsidRPr="00BD36DF" w:rsidRDefault="00B22913" w:rsidP="004A2EED">
      <w:pPr>
        <w:pStyle w:val="Odsekzoznamu"/>
        <w:spacing w:after="0" w:line="240" w:lineRule="auto"/>
        <w:rPr>
          <w:rFonts w:ascii="Times New Roman" w:eastAsia="Times New Roman" w:hAnsi="Times New Roman" w:cs="Times New Roman"/>
          <w:sz w:val="24"/>
          <w:szCs w:val="24"/>
          <w:lang w:eastAsia="sk-SK"/>
        </w:rPr>
      </w:pPr>
    </w:p>
    <w:p w14:paraId="7D7B9B54" w14:textId="28458E0A" w:rsidR="004D1F27" w:rsidRPr="00BD36DF" w:rsidRDefault="00F9215F" w:rsidP="004D1F27">
      <w:pPr>
        <w:pStyle w:val="Odsekzoznamu"/>
        <w:numPr>
          <w:ilvl w:val="0"/>
          <w:numId w:val="8"/>
        </w:numPr>
        <w:spacing w:after="0" w:line="240" w:lineRule="auto"/>
        <w:jc w:val="both"/>
        <w:rPr>
          <w:rFonts w:ascii="Times New Roman" w:hAnsi="Times New Roman" w:cs="Times New Roman"/>
          <w:sz w:val="24"/>
          <w:szCs w:val="24"/>
        </w:rPr>
      </w:pPr>
      <w:r w:rsidRPr="00BD36DF">
        <w:rPr>
          <w:rFonts w:ascii="Times New Roman" w:hAnsi="Times New Roman" w:cs="Times New Roman"/>
          <w:sz w:val="24"/>
          <w:szCs w:val="24"/>
        </w:rPr>
        <w:t xml:space="preserve">Proti SR </w:t>
      </w:r>
      <w:r w:rsidR="004D1F27" w:rsidRPr="00BD36DF">
        <w:rPr>
          <w:rFonts w:ascii="Times New Roman" w:hAnsi="Times New Roman" w:cs="Times New Roman"/>
          <w:sz w:val="24"/>
          <w:szCs w:val="24"/>
        </w:rPr>
        <w:t>začala Európska komisia konanie o porušení povinnosti zaslaním formálneho oznámenia:</w:t>
      </w:r>
    </w:p>
    <w:p w14:paraId="7C7A80CB" w14:textId="77777777" w:rsidR="0086636E" w:rsidRPr="00BD36DF" w:rsidRDefault="0086636E" w:rsidP="00DC2689">
      <w:pPr>
        <w:pStyle w:val="Odsekzoznamu"/>
        <w:spacing w:after="0" w:line="240" w:lineRule="auto"/>
        <w:ind w:left="851" w:hanging="131"/>
        <w:jc w:val="both"/>
        <w:rPr>
          <w:rFonts w:ascii="Times New Roman" w:hAnsi="Times New Roman" w:cs="Times New Roman"/>
          <w:bCs/>
          <w:sz w:val="24"/>
          <w:szCs w:val="24"/>
        </w:rPr>
      </w:pPr>
      <w:r w:rsidRPr="00BD36DF">
        <w:rPr>
          <w:rFonts w:ascii="Times New Roman" w:hAnsi="Times New Roman" w:cs="Times New Roman"/>
          <w:color w:val="000000"/>
          <w:sz w:val="24"/>
          <w:szCs w:val="24"/>
        </w:rPr>
        <w:t>- konanie č. INF(2024)2186</w:t>
      </w:r>
      <w:r w:rsidRPr="00BD36DF">
        <w:rPr>
          <w:sz w:val="24"/>
          <w:szCs w:val="24"/>
        </w:rPr>
        <w:t xml:space="preserve"> </w:t>
      </w:r>
      <w:r w:rsidRPr="00BD36DF">
        <w:rPr>
          <w:rFonts w:ascii="Times New Roman" w:hAnsi="Times New Roman" w:cs="Times New Roman"/>
          <w:color w:val="000000"/>
          <w:sz w:val="24"/>
          <w:szCs w:val="24"/>
        </w:rPr>
        <w:t xml:space="preserve">v súvislosti s chýbajúcou transpozíciou nariadenia </w:t>
      </w:r>
      <w:r w:rsidRPr="00BD36DF">
        <w:rPr>
          <w:rFonts w:ascii="Times New Roman" w:eastAsia="Times New Roman" w:hAnsi="Times New Roman" w:cs="Times New Roman"/>
          <w:color w:val="000000"/>
          <w:sz w:val="24"/>
          <w:szCs w:val="24"/>
          <w:lang w:eastAsia="sk-SK"/>
        </w:rPr>
        <w:t>(EÚ) 2022/2036 (novelizácia smernice 2014/59/EÚ).</w:t>
      </w:r>
    </w:p>
    <w:p w14:paraId="0A02D0BE" w14:textId="77777777" w:rsidR="00F9215F" w:rsidRPr="00BD36DF" w:rsidRDefault="00F9215F" w:rsidP="004A2EED">
      <w:pPr>
        <w:pStyle w:val="Odsekzoznamu"/>
        <w:spacing w:after="0" w:line="240" w:lineRule="auto"/>
        <w:rPr>
          <w:rFonts w:ascii="Times New Roman" w:eastAsia="Times New Roman" w:hAnsi="Times New Roman" w:cs="Times New Roman"/>
          <w:sz w:val="24"/>
          <w:szCs w:val="24"/>
          <w:lang w:eastAsia="sk-SK"/>
        </w:rPr>
      </w:pPr>
    </w:p>
    <w:p w14:paraId="16FD601B" w14:textId="77777777" w:rsidR="00691CDF" w:rsidRPr="00BD36DF" w:rsidRDefault="00691CDF" w:rsidP="004A2EED">
      <w:pPr>
        <w:pStyle w:val="Odsekzoznamu"/>
        <w:spacing w:line="240" w:lineRule="auto"/>
        <w:rPr>
          <w:rFonts w:ascii="Times New Roman" w:hAnsi="Times New Roman" w:cs="Times New Roman"/>
          <w:bCs/>
          <w:sz w:val="24"/>
          <w:szCs w:val="24"/>
        </w:rPr>
      </w:pPr>
    </w:p>
    <w:p w14:paraId="614D27A9" w14:textId="77777777" w:rsidR="0086636E" w:rsidRPr="00BD36DF" w:rsidRDefault="0086636E" w:rsidP="0086636E">
      <w:pPr>
        <w:pStyle w:val="Odsekzoznamu"/>
        <w:numPr>
          <w:ilvl w:val="0"/>
          <w:numId w:val="8"/>
        </w:numPr>
        <w:spacing w:after="0" w:line="240" w:lineRule="auto"/>
        <w:jc w:val="both"/>
        <w:rPr>
          <w:rFonts w:ascii="Times New Roman" w:eastAsia="Times New Roman" w:hAnsi="Times New Roman" w:cs="Times New Roman"/>
          <w:color w:val="000000"/>
          <w:sz w:val="24"/>
          <w:szCs w:val="24"/>
          <w:lang w:eastAsia="sk-SK"/>
        </w:rPr>
      </w:pPr>
      <w:r w:rsidRPr="00BD36DF">
        <w:rPr>
          <w:rFonts w:ascii="Times New Roman" w:hAnsi="Times New Roman" w:cs="Times New Roman"/>
          <w:bCs/>
          <w:sz w:val="24"/>
          <w:szCs w:val="24"/>
        </w:rPr>
        <w:t xml:space="preserve">Smernica </w:t>
      </w:r>
      <w:r w:rsidRPr="00BD36DF">
        <w:rPr>
          <w:rFonts w:ascii="Times New Roman" w:hAnsi="Times New Roman" w:cs="Times New Roman"/>
          <w:bCs/>
          <w:sz w:val="24"/>
          <w:szCs w:val="24"/>
          <w:u w:val="single"/>
        </w:rPr>
        <w:t>2014/59/EÚ</w:t>
      </w:r>
      <w:r w:rsidRPr="00BD36DF">
        <w:rPr>
          <w:rFonts w:ascii="Times New Roman" w:hAnsi="Times New Roman" w:cs="Times New Roman"/>
          <w:bCs/>
          <w:sz w:val="24"/>
          <w:szCs w:val="24"/>
        </w:rPr>
        <w:t xml:space="preserve"> v platnom znení bola prebratá do zákona č. 371/2014 Z. z. o riešení krízových situácií na finančnom trhu o zmene a doplnení niektorých zákonov v znení neskorších predpisov,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 </w:t>
      </w:r>
      <w:r w:rsidRPr="00BD36DF">
        <w:rPr>
          <w:rFonts w:ascii="Times New Roman" w:hAnsi="Times New Roman" w:cs="Times New Roman"/>
          <w:bCs/>
          <w:sz w:val="24"/>
          <w:szCs w:val="24"/>
          <w:shd w:val="clear" w:color="auto" w:fill="FFFFFF"/>
        </w:rPr>
        <w:t>do zákona Národnej rady Slovenskej republiky č. 118/1996 Z. z. o ochrane vkladov a o zmene a doplnení niektorých zákonov v znení neskorších predpisov, do zákona č. 747/2004 Z. z. o dohľade nad finančným trhom a o zmene a doplnení niektorých zákonov v znení neskorších predpisov</w:t>
      </w:r>
      <w:r w:rsidRPr="00BD36DF">
        <w:rPr>
          <w:rFonts w:ascii="Times New Roman" w:hAnsi="Times New Roman" w:cs="Times New Roman"/>
          <w:bCs/>
          <w:sz w:val="24"/>
          <w:szCs w:val="24"/>
        </w:rPr>
        <w:t xml:space="preserve"> a do </w:t>
      </w:r>
      <w:r w:rsidRPr="00BD36DF">
        <w:rPr>
          <w:rFonts w:ascii="Times New Roman" w:hAnsi="Times New Roman" w:cs="Times New Roman"/>
          <w:sz w:val="24"/>
          <w:szCs w:val="24"/>
        </w:rPr>
        <w:t xml:space="preserve">zákona č. 7/2005 Z. z. o konkurze a reštrukturalizácii a o zmene a doplnení niektorých zákonov </w:t>
      </w:r>
      <w:r w:rsidRPr="00BD36DF">
        <w:rPr>
          <w:rFonts w:ascii="Times New Roman" w:hAnsi="Times New Roman" w:cs="Times New Roman"/>
          <w:bCs/>
          <w:sz w:val="24"/>
          <w:szCs w:val="24"/>
        </w:rPr>
        <w:t>v znení neskorších predpisov</w:t>
      </w:r>
      <w:r w:rsidRPr="00BD36DF">
        <w:rPr>
          <w:rFonts w:ascii="Times New Roman" w:hAnsi="Times New Roman" w:cs="Times New Roman"/>
          <w:sz w:val="24"/>
          <w:szCs w:val="24"/>
        </w:rPr>
        <w:t>.</w:t>
      </w:r>
    </w:p>
    <w:p w14:paraId="723E764C" w14:textId="77777777" w:rsidR="0086636E" w:rsidRPr="00BD36DF" w:rsidRDefault="0086636E" w:rsidP="0086636E">
      <w:pPr>
        <w:pStyle w:val="Odsekzoznamu"/>
        <w:spacing w:after="0" w:line="240" w:lineRule="auto"/>
        <w:jc w:val="both"/>
        <w:rPr>
          <w:rFonts w:ascii="Times New Roman" w:hAnsi="Times New Roman" w:cs="Times New Roman"/>
          <w:bCs/>
          <w:sz w:val="24"/>
          <w:szCs w:val="24"/>
        </w:rPr>
      </w:pPr>
    </w:p>
    <w:p w14:paraId="2A67F122" w14:textId="14F0BAE4" w:rsidR="00404928" w:rsidRPr="00BD36DF" w:rsidRDefault="00691CDF" w:rsidP="0086636E">
      <w:pPr>
        <w:pStyle w:val="Odsekzoznamu"/>
        <w:spacing w:after="0" w:line="240" w:lineRule="auto"/>
        <w:jc w:val="both"/>
        <w:rPr>
          <w:rFonts w:ascii="Times New Roman" w:hAnsi="Times New Roman" w:cs="Times New Roman"/>
          <w:bCs/>
          <w:sz w:val="24"/>
          <w:szCs w:val="24"/>
        </w:rPr>
      </w:pPr>
      <w:r w:rsidRPr="00BD36DF">
        <w:rPr>
          <w:rFonts w:ascii="Times New Roman" w:hAnsi="Times New Roman" w:cs="Times New Roman"/>
          <w:bCs/>
          <w:sz w:val="24"/>
          <w:szCs w:val="24"/>
        </w:rPr>
        <w:t xml:space="preserve">Smernica (EÚ) </w:t>
      </w:r>
      <w:r w:rsidRPr="00BD36DF">
        <w:rPr>
          <w:rFonts w:ascii="Times New Roman" w:hAnsi="Times New Roman" w:cs="Times New Roman"/>
          <w:bCs/>
          <w:sz w:val="24"/>
          <w:szCs w:val="24"/>
          <w:u w:val="single"/>
        </w:rPr>
        <w:t>2019/878</w:t>
      </w:r>
      <w:r w:rsidRPr="00BD36DF">
        <w:rPr>
          <w:rFonts w:ascii="Times New Roman" w:hAnsi="Times New Roman" w:cs="Times New Roman"/>
          <w:bCs/>
          <w:sz w:val="24"/>
          <w:szCs w:val="24"/>
        </w:rPr>
        <w:t xml:space="preserve"> </w:t>
      </w:r>
      <w:r w:rsidR="00404928" w:rsidRPr="00BD36DF">
        <w:rPr>
          <w:rFonts w:ascii="Times New Roman" w:hAnsi="Times New Roman" w:cs="Times New Roman"/>
          <w:color w:val="000000"/>
          <w:sz w:val="24"/>
          <w:szCs w:val="24"/>
          <w:lang w:eastAsia="sk-SK"/>
        </w:rPr>
        <w:t xml:space="preserve">v platnom znení </w:t>
      </w:r>
      <w:r w:rsidRPr="00BD36DF">
        <w:rPr>
          <w:rFonts w:ascii="Times New Roman" w:hAnsi="Times New Roman" w:cs="Times New Roman"/>
          <w:bCs/>
          <w:sz w:val="24"/>
          <w:szCs w:val="24"/>
        </w:rPr>
        <w:t xml:space="preserve">bola prebratá do zákona č. 483/2001 Z. z. o bankách a o zmene a doplnení niektorých zákonov v znení neskorších predpisov, do zákona </w:t>
      </w:r>
      <w:r w:rsidRPr="00BD36DF">
        <w:rPr>
          <w:rFonts w:ascii="Times New Roman" w:hAnsi="Times New Roman" w:cs="Times New Roman"/>
          <w:sz w:val="24"/>
          <w:szCs w:val="24"/>
        </w:rPr>
        <w:t>č.</w:t>
      </w:r>
      <w:r w:rsidR="00637A26" w:rsidRPr="00BD36DF">
        <w:rPr>
          <w:rFonts w:ascii="Times New Roman" w:hAnsi="Times New Roman" w:cs="Times New Roman"/>
          <w:sz w:val="24"/>
          <w:szCs w:val="24"/>
        </w:rPr>
        <w:t> </w:t>
      </w:r>
      <w:r w:rsidRPr="00BD36DF">
        <w:rPr>
          <w:rFonts w:ascii="Times New Roman" w:hAnsi="Times New Roman" w:cs="Times New Roman"/>
          <w:sz w:val="24"/>
          <w:szCs w:val="24"/>
        </w:rPr>
        <w:t>566/2001 Z. z. o cenných papieroch a investičných službách a o zmene a</w:t>
      </w:r>
      <w:r w:rsidR="00B63700" w:rsidRPr="00BD36DF">
        <w:rPr>
          <w:rFonts w:ascii="Times New Roman" w:hAnsi="Times New Roman" w:cs="Times New Roman"/>
          <w:sz w:val="24"/>
          <w:szCs w:val="24"/>
        </w:rPr>
        <w:t> </w:t>
      </w:r>
      <w:r w:rsidRPr="00BD36DF">
        <w:rPr>
          <w:rFonts w:ascii="Times New Roman" w:hAnsi="Times New Roman" w:cs="Times New Roman"/>
          <w:sz w:val="24"/>
          <w:szCs w:val="24"/>
        </w:rPr>
        <w:t xml:space="preserve"> doplnení niektorých zákonov (zákon o cenných papieroch) v znení neskorších predpisov, do zákona č.</w:t>
      </w:r>
      <w:r w:rsidRPr="00BD36DF">
        <w:rPr>
          <w:rFonts w:ascii="Times New Roman" w:hAnsi="Times New Roman" w:cs="Times New Roman"/>
          <w:bCs/>
          <w:sz w:val="24"/>
          <w:szCs w:val="24"/>
        </w:rPr>
        <w:t> </w:t>
      </w:r>
      <w:r w:rsidRPr="00BD36DF">
        <w:rPr>
          <w:rFonts w:ascii="Times New Roman" w:hAnsi="Times New Roman" w:cs="Times New Roman"/>
          <w:sz w:val="24"/>
          <w:szCs w:val="24"/>
        </w:rPr>
        <w:t xml:space="preserve">747/2004 Z. z. </w:t>
      </w:r>
      <w:r w:rsidRPr="00BD36DF">
        <w:rPr>
          <w:rFonts w:ascii="Times New Roman" w:hAnsi="Times New Roman" w:cs="Times New Roman"/>
          <w:bCs/>
          <w:sz w:val="24"/>
          <w:szCs w:val="24"/>
          <w:shd w:val="clear" w:color="auto" w:fill="FFFFFF"/>
        </w:rPr>
        <w:t>o dohľade nad finančným trhom a o zmene a</w:t>
      </w:r>
      <w:r w:rsidR="00B63700" w:rsidRPr="00BD36DF">
        <w:rPr>
          <w:rFonts w:ascii="Times New Roman" w:hAnsi="Times New Roman" w:cs="Times New Roman"/>
          <w:bCs/>
          <w:sz w:val="24"/>
          <w:szCs w:val="24"/>
          <w:shd w:val="clear" w:color="auto" w:fill="FFFFFF"/>
        </w:rPr>
        <w:t> </w:t>
      </w:r>
      <w:r w:rsidRPr="00BD36DF">
        <w:rPr>
          <w:rFonts w:ascii="Times New Roman" w:hAnsi="Times New Roman" w:cs="Times New Roman"/>
          <w:bCs/>
          <w:sz w:val="24"/>
          <w:szCs w:val="24"/>
          <w:shd w:val="clear" w:color="auto" w:fill="FFFFFF"/>
        </w:rPr>
        <w:t xml:space="preserve"> doplnení niektorých zákonov v znení neskorších predpisov, do zákona č. 371/2014 Z. z. o riešení krízových situácií na finančnom trhu a o zmene a doplnení niektorých zákonov v znení neskorších predpisov, do zákona č. </w:t>
      </w:r>
      <w:r w:rsidRPr="00BD36DF">
        <w:rPr>
          <w:rFonts w:ascii="Times New Roman" w:hAnsi="Times New Roman" w:cs="Times New Roman"/>
          <w:bCs/>
          <w:sz w:val="24"/>
          <w:szCs w:val="24"/>
        </w:rPr>
        <w:t xml:space="preserve">365/2004 Z. z. </w:t>
      </w:r>
      <w:r w:rsidRPr="00BD36DF">
        <w:rPr>
          <w:rFonts w:ascii="Times New Roman" w:hAnsi="Times New Roman" w:cs="Times New Roman"/>
          <w:bCs/>
          <w:sz w:val="24"/>
          <w:szCs w:val="24"/>
          <w:shd w:val="clear" w:color="auto" w:fill="FFFFFF"/>
        </w:rPr>
        <w:t>o rovnakom zaobchádzaní v</w:t>
      </w:r>
      <w:r w:rsidR="00637A26" w:rsidRPr="00BD36DF">
        <w:rPr>
          <w:rFonts w:ascii="Times New Roman" w:hAnsi="Times New Roman" w:cs="Times New Roman"/>
          <w:bCs/>
          <w:sz w:val="24"/>
          <w:szCs w:val="24"/>
          <w:shd w:val="clear" w:color="auto" w:fill="FFFFFF"/>
        </w:rPr>
        <w:t> </w:t>
      </w:r>
      <w:r w:rsidRPr="00BD36DF">
        <w:rPr>
          <w:rFonts w:ascii="Times New Roman" w:hAnsi="Times New Roman" w:cs="Times New Roman"/>
          <w:bCs/>
          <w:sz w:val="24"/>
          <w:szCs w:val="24"/>
          <w:shd w:val="clear" w:color="auto" w:fill="FFFFFF"/>
        </w:rPr>
        <w:t>niektorých oblastiach a o ochrane pred diskrimináciou a o zmene a</w:t>
      </w:r>
      <w:r w:rsidR="00B63700" w:rsidRPr="00BD36DF">
        <w:rPr>
          <w:rFonts w:ascii="Times New Roman" w:hAnsi="Times New Roman" w:cs="Times New Roman"/>
          <w:bCs/>
          <w:sz w:val="24"/>
          <w:szCs w:val="24"/>
          <w:shd w:val="clear" w:color="auto" w:fill="FFFFFF"/>
        </w:rPr>
        <w:t> </w:t>
      </w:r>
      <w:r w:rsidRPr="00BD36DF">
        <w:rPr>
          <w:rFonts w:ascii="Times New Roman" w:hAnsi="Times New Roman" w:cs="Times New Roman"/>
          <w:bCs/>
          <w:sz w:val="24"/>
          <w:szCs w:val="24"/>
          <w:shd w:val="clear" w:color="auto" w:fill="FFFFFF"/>
        </w:rPr>
        <w:t xml:space="preserve"> doplnení niektorých zákonov (antidiskriminačný zákon) v znení neskorších predpisov, do zákona č. 39/2015 Z. z. o poisťovníctve a o zmene a doplnení niektorých zákonov v znení neskorších predpisov, do zákona č. 18/2018 Z. z. o ochrane osobných údajov a</w:t>
      </w:r>
      <w:r w:rsidR="00637A26" w:rsidRPr="00BD36DF">
        <w:rPr>
          <w:rFonts w:ascii="Times New Roman" w:hAnsi="Times New Roman" w:cs="Times New Roman"/>
          <w:bCs/>
          <w:sz w:val="24"/>
          <w:szCs w:val="24"/>
          <w:shd w:val="clear" w:color="auto" w:fill="FFFFFF"/>
        </w:rPr>
        <w:t> </w:t>
      </w:r>
      <w:r w:rsidRPr="00BD36DF">
        <w:rPr>
          <w:rFonts w:ascii="Times New Roman" w:hAnsi="Times New Roman" w:cs="Times New Roman"/>
          <w:bCs/>
          <w:sz w:val="24"/>
          <w:szCs w:val="24"/>
          <w:shd w:val="clear" w:color="auto" w:fill="FFFFFF"/>
        </w:rPr>
        <w:t>o</w:t>
      </w:r>
      <w:r w:rsidR="00637A26" w:rsidRPr="00BD36DF">
        <w:rPr>
          <w:rFonts w:ascii="Times New Roman" w:hAnsi="Times New Roman" w:cs="Times New Roman"/>
          <w:bCs/>
          <w:sz w:val="24"/>
          <w:szCs w:val="24"/>
          <w:shd w:val="clear" w:color="auto" w:fill="FFFFFF"/>
        </w:rPr>
        <w:t xml:space="preserve"> </w:t>
      </w:r>
      <w:r w:rsidRPr="00BD36DF">
        <w:rPr>
          <w:rFonts w:ascii="Times New Roman" w:hAnsi="Times New Roman" w:cs="Times New Roman"/>
          <w:bCs/>
          <w:sz w:val="24"/>
          <w:szCs w:val="24"/>
          <w:shd w:val="clear" w:color="auto" w:fill="FFFFFF"/>
        </w:rPr>
        <w:t>zmene a doplnení niektorých zákonov v znení neskorších predpisov, do opatrenia Národnej banky Slovenska č.</w:t>
      </w:r>
      <w:r w:rsidRPr="00BD36DF">
        <w:rPr>
          <w:rStyle w:val="Vrazn"/>
          <w:rFonts w:ascii="Times New Roman" w:hAnsi="Times New Roman"/>
          <w:sz w:val="24"/>
          <w:szCs w:val="24"/>
        </w:rPr>
        <w:t> </w:t>
      </w:r>
      <w:r w:rsidRPr="00BD36DF">
        <w:rPr>
          <w:rFonts w:ascii="Times New Roman" w:hAnsi="Times New Roman" w:cs="Times New Roman"/>
          <w:bCs/>
          <w:sz w:val="24"/>
          <w:szCs w:val="24"/>
          <w:shd w:val="clear" w:color="auto" w:fill="FFFFFF"/>
        </w:rPr>
        <w:t xml:space="preserve">4/2015 </w:t>
      </w:r>
      <w:r w:rsidRPr="00BD36DF">
        <w:rPr>
          <w:rFonts w:ascii="Times New Roman" w:hAnsi="Times New Roman" w:cs="Times New Roman"/>
          <w:sz w:val="24"/>
          <w:szCs w:val="24"/>
          <w:shd w:val="clear" w:color="auto" w:fill="FFFFFF"/>
        </w:rPr>
        <w:t>z 31. marca 2015 o ďalších druhoch rizík, o</w:t>
      </w:r>
      <w:r w:rsidR="00637A26" w:rsidRPr="00BD36DF">
        <w:rPr>
          <w:rFonts w:ascii="Times New Roman" w:hAnsi="Times New Roman" w:cs="Times New Roman"/>
          <w:sz w:val="24"/>
          <w:szCs w:val="24"/>
          <w:shd w:val="clear" w:color="auto" w:fill="FFFFFF"/>
        </w:rPr>
        <w:t> </w:t>
      </w:r>
      <w:r w:rsidRPr="00BD36DF">
        <w:rPr>
          <w:rFonts w:ascii="Times New Roman" w:hAnsi="Times New Roman" w:cs="Times New Roman"/>
          <w:sz w:val="24"/>
          <w:szCs w:val="24"/>
          <w:shd w:val="clear" w:color="auto" w:fill="FFFFFF"/>
        </w:rPr>
        <w:t>podrobnostiach o systéme riadenia rizík banky a pobočky zahraničnej banky a</w:t>
      </w:r>
      <w:r w:rsidR="00B63700" w:rsidRPr="00BD36DF">
        <w:rPr>
          <w:rFonts w:ascii="Times New Roman" w:hAnsi="Times New Roman" w:cs="Times New Roman"/>
          <w:sz w:val="24"/>
          <w:szCs w:val="24"/>
          <w:shd w:val="clear" w:color="auto" w:fill="FFFFFF"/>
        </w:rPr>
        <w:t> </w:t>
      </w:r>
      <w:r w:rsidRPr="00BD36DF">
        <w:rPr>
          <w:rFonts w:ascii="Times New Roman" w:hAnsi="Times New Roman" w:cs="Times New Roman"/>
          <w:sz w:val="24"/>
          <w:szCs w:val="24"/>
          <w:shd w:val="clear" w:color="auto" w:fill="FFFFFF"/>
        </w:rPr>
        <w:t xml:space="preserve"> ktorým sa ustanovuje čo sa rozumie náhlou a neočakávanou zmenou úrokových mier na trhu v znení neskorších predpisov, do opatrenia </w:t>
      </w:r>
      <w:r w:rsidRPr="00BD36DF">
        <w:rPr>
          <w:rFonts w:ascii="Times New Roman" w:hAnsi="Times New Roman" w:cs="Times New Roman"/>
          <w:sz w:val="24"/>
          <w:szCs w:val="24"/>
        </w:rPr>
        <w:t>N</w:t>
      </w:r>
      <w:r w:rsidRPr="00BD36DF">
        <w:rPr>
          <w:rFonts w:ascii="Times New Roman" w:hAnsi="Times New Roman" w:cs="Times New Roman"/>
          <w:bCs/>
          <w:sz w:val="24"/>
          <w:szCs w:val="24"/>
        </w:rPr>
        <w:t>árodnej banky Slovenska č. 6/2010 z 11.</w:t>
      </w:r>
      <w:r w:rsidR="00404928" w:rsidRPr="00BD36DF">
        <w:rPr>
          <w:rFonts w:ascii="Times New Roman" w:hAnsi="Times New Roman" w:cs="Times New Roman"/>
          <w:bCs/>
          <w:sz w:val="24"/>
          <w:szCs w:val="24"/>
        </w:rPr>
        <w:t> </w:t>
      </w:r>
      <w:r w:rsidRPr="00BD36DF">
        <w:rPr>
          <w:rFonts w:ascii="Times New Roman" w:hAnsi="Times New Roman" w:cs="Times New Roman"/>
          <w:bCs/>
          <w:sz w:val="24"/>
          <w:szCs w:val="24"/>
        </w:rPr>
        <w:t>mája 2010, ktorým sa ustanovujú náležitosti žiadosti o predchádzajúci súhlas Národnej banky Slovenska</w:t>
      </w:r>
      <w:r w:rsidR="00404928" w:rsidRPr="00BD36DF">
        <w:rPr>
          <w:rFonts w:ascii="Times New Roman" w:hAnsi="Times New Roman" w:cs="Times New Roman"/>
          <w:bCs/>
          <w:sz w:val="24"/>
          <w:szCs w:val="24"/>
        </w:rPr>
        <w:t xml:space="preserve"> v znení neskorších predpisov.</w:t>
      </w:r>
    </w:p>
    <w:p w14:paraId="634460AF" w14:textId="78043CEB" w:rsidR="0086636E" w:rsidRPr="00BD36DF" w:rsidRDefault="0086636E" w:rsidP="0086636E">
      <w:pPr>
        <w:spacing w:after="0" w:line="240" w:lineRule="auto"/>
        <w:jc w:val="both"/>
        <w:rPr>
          <w:rFonts w:ascii="Times New Roman" w:hAnsi="Times New Roman" w:cs="Times New Roman"/>
          <w:bCs/>
          <w:sz w:val="24"/>
          <w:szCs w:val="24"/>
        </w:rPr>
      </w:pPr>
    </w:p>
    <w:p w14:paraId="44672507" w14:textId="5E42D969" w:rsidR="0086636E" w:rsidRPr="00BD36DF" w:rsidRDefault="0086636E" w:rsidP="0086636E">
      <w:pPr>
        <w:spacing w:after="0" w:line="240" w:lineRule="auto"/>
        <w:ind w:left="708"/>
        <w:jc w:val="both"/>
        <w:rPr>
          <w:rFonts w:ascii="Times New Roman" w:eastAsia="Times New Roman" w:hAnsi="Times New Roman" w:cs="Times New Roman"/>
          <w:bCs/>
          <w:sz w:val="24"/>
          <w:szCs w:val="24"/>
          <w:lang w:eastAsia="sk-SK"/>
        </w:rPr>
      </w:pPr>
      <w:r w:rsidRPr="00BD36DF">
        <w:rPr>
          <w:rFonts w:ascii="Times New Roman" w:hAnsi="Times New Roman" w:cs="Times New Roman"/>
          <w:bCs/>
          <w:sz w:val="24"/>
          <w:szCs w:val="24"/>
        </w:rPr>
        <w:t xml:space="preserve">Smernica (EÚ) </w:t>
      </w:r>
      <w:r w:rsidRPr="00BD36DF">
        <w:rPr>
          <w:rFonts w:ascii="Times New Roman" w:hAnsi="Times New Roman" w:cs="Times New Roman"/>
          <w:bCs/>
          <w:sz w:val="24"/>
          <w:szCs w:val="24"/>
          <w:u w:val="single"/>
        </w:rPr>
        <w:t>2019/2034</w:t>
      </w:r>
      <w:r w:rsidRPr="00BD36DF">
        <w:rPr>
          <w:rFonts w:ascii="Times New Roman" w:hAnsi="Times New Roman" w:cs="Times New Roman"/>
          <w:bCs/>
          <w:sz w:val="24"/>
          <w:szCs w:val="24"/>
        </w:rPr>
        <w:t xml:space="preserve"> v platnom znení bola prebratá do zákona č. 566/2001 Z.</w:t>
      </w:r>
      <w:r w:rsidR="00B22913" w:rsidRPr="00BD36DF">
        <w:rPr>
          <w:rFonts w:ascii="Times New Roman" w:hAnsi="Times New Roman" w:cs="Times New Roman"/>
          <w:bCs/>
          <w:sz w:val="24"/>
          <w:szCs w:val="24"/>
        </w:rPr>
        <w:t xml:space="preserve"> </w:t>
      </w:r>
      <w:r w:rsidRPr="00BD36DF">
        <w:rPr>
          <w:rFonts w:ascii="Times New Roman" w:hAnsi="Times New Roman" w:cs="Times New Roman"/>
          <w:bCs/>
          <w:sz w:val="24"/>
          <w:szCs w:val="24"/>
        </w:rPr>
        <w:t>z. o</w:t>
      </w:r>
      <w:r w:rsidR="00B22913" w:rsidRPr="00BD36DF">
        <w:rPr>
          <w:rFonts w:ascii="Times New Roman" w:hAnsi="Times New Roman" w:cs="Times New Roman"/>
          <w:bCs/>
          <w:sz w:val="24"/>
          <w:szCs w:val="24"/>
        </w:rPr>
        <w:t> </w:t>
      </w:r>
      <w:r w:rsidRPr="00BD36DF">
        <w:rPr>
          <w:rFonts w:ascii="Times New Roman" w:hAnsi="Times New Roman" w:cs="Times New Roman"/>
          <w:bCs/>
          <w:sz w:val="24"/>
          <w:szCs w:val="24"/>
        </w:rPr>
        <w:t>cenných</w:t>
      </w:r>
      <w:r w:rsidR="00B22913" w:rsidRPr="00BD36DF">
        <w:rPr>
          <w:rFonts w:ascii="Times New Roman" w:hAnsi="Times New Roman" w:cs="Times New Roman"/>
          <w:bCs/>
          <w:sz w:val="24"/>
          <w:szCs w:val="24"/>
        </w:rPr>
        <w:t xml:space="preserve"> </w:t>
      </w:r>
      <w:r w:rsidRPr="00BD36DF">
        <w:rPr>
          <w:rFonts w:ascii="Times New Roman" w:hAnsi="Times New Roman" w:cs="Times New Roman"/>
          <w:bCs/>
          <w:sz w:val="24"/>
          <w:szCs w:val="24"/>
        </w:rPr>
        <w:t>papieroch a investičných službách a o zmene a doplnení niektorých zákonov (zákon o cenných papieroch) v znení neskorších predpisov, do zákona č. 483/2001 Z.</w:t>
      </w:r>
      <w:r w:rsidR="00B22913" w:rsidRPr="00BD36DF">
        <w:rPr>
          <w:rFonts w:ascii="Times New Roman" w:hAnsi="Times New Roman" w:cs="Times New Roman"/>
          <w:bCs/>
          <w:sz w:val="24"/>
          <w:szCs w:val="24"/>
        </w:rPr>
        <w:t> </w:t>
      </w:r>
      <w:r w:rsidRPr="00BD36DF">
        <w:rPr>
          <w:rFonts w:ascii="Times New Roman" w:hAnsi="Times New Roman" w:cs="Times New Roman"/>
          <w:bCs/>
          <w:sz w:val="24"/>
          <w:szCs w:val="24"/>
        </w:rPr>
        <w:t>z. o bankách a o zmene a doplnení niektorých zákonov v znení neskorších predpisov, do zákona č. 747/2004 Z.</w:t>
      </w:r>
      <w:r w:rsidR="00B604FE" w:rsidRPr="00BD36DF">
        <w:rPr>
          <w:rFonts w:ascii="Times New Roman" w:hAnsi="Times New Roman" w:cs="Times New Roman"/>
          <w:bCs/>
          <w:sz w:val="24"/>
          <w:szCs w:val="24"/>
        </w:rPr>
        <w:t xml:space="preserve"> </w:t>
      </w:r>
      <w:r w:rsidRPr="00BD36DF">
        <w:rPr>
          <w:rFonts w:ascii="Times New Roman" w:hAnsi="Times New Roman" w:cs="Times New Roman"/>
          <w:bCs/>
          <w:sz w:val="24"/>
          <w:szCs w:val="24"/>
        </w:rPr>
        <w:t xml:space="preserve">z. o dohľade nad finančným trhom a o zmene a doplnení niektorých zákonov v znení neskorších predpisov, do zákona č. 371/2014 Z. z. o riešení krízových situácií na finančnom trhu o zmene a doplnení niektorých zákonov v znení neskorších predpisov, do zákona Národnej rady Slovenskej republiky č. 566/1992 Zb. </w:t>
      </w:r>
      <w:r w:rsidRPr="00BD36DF">
        <w:rPr>
          <w:rFonts w:ascii="Times New Roman" w:hAnsi="Times New Roman" w:cs="Times New Roman"/>
          <w:bCs/>
          <w:sz w:val="24"/>
          <w:szCs w:val="24"/>
        </w:rPr>
        <w:lastRenderedPageBreak/>
        <w:t>o Národnej banke Slovenska v znení neskorších predpisov, do zákona č. 203/2011 Z. z. o kolektívnom investovaní v znení neskorších predpisov</w:t>
      </w:r>
      <w:r w:rsidR="00AF48BB" w:rsidRPr="00BD36DF">
        <w:rPr>
          <w:rFonts w:ascii="Times New Roman" w:hAnsi="Times New Roman" w:cs="Times New Roman"/>
          <w:bCs/>
          <w:sz w:val="24"/>
          <w:szCs w:val="24"/>
        </w:rPr>
        <w:t>,</w:t>
      </w:r>
      <w:r w:rsidRPr="00BD36DF">
        <w:rPr>
          <w:rFonts w:ascii="Times New Roman" w:hAnsi="Times New Roman" w:cs="Times New Roman"/>
          <w:bCs/>
          <w:sz w:val="24"/>
          <w:szCs w:val="24"/>
        </w:rPr>
        <w:t> do zákona č. 423/2015 Z. z. o</w:t>
      </w:r>
      <w:r w:rsidR="00B22913" w:rsidRPr="00BD36DF">
        <w:rPr>
          <w:rFonts w:ascii="Times New Roman" w:hAnsi="Times New Roman" w:cs="Times New Roman"/>
          <w:bCs/>
          <w:sz w:val="24"/>
          <w:szCs w:val="24"/>
        </w:rPr>
        <w:t> </w:t>
      </w:r>
      <w:r w:rsidRPr="00BD36DF">
        <w:rPr>
          <w:rFonts w:ascii="Times New Roman" w:hAnsi="Times New Roman" w:cs="Times New Roman"/>
          <w:bCs/>
          <w:sz w:val="24"/>
          <w:szCs w:val="24"/>
        </w:rPr>
        <w:t>štatutárnom</w:t>
      </w:r>
      <w:r w:rsidR="00B22913" w:rsidRPr="00BD36DF">
        <w:rPr>
          <w:rFonts w:ascii="Times New Roman" w:hAnsi="Times New Roman" w:cs="Times New Roman"/>
          <w:bCs/>
          <w:sz w:val="24"/>
          <w:szCs w:val="24"/>
        </w:rPr>
        <w:t xml:space="preserve"> </w:t>
      </w:r>
      <w:r w:rsidRPr="00BD36DF">
        <w:rPr>
          <w:rFonts w:ascii="Times New Roman" w:hAnsi="Times New Roman" w:cs="Times New Roman"/>
          <w:bCs/>
          <w:sz w:val="24"/>
          <w:szCs w:val="24"/>
        </w:rPr>
        <w:t xml:space="preserve">audite </w:t>
      </w:r>
      <w:r w:rsidR="00AF48BB" w:rsidRPr="00BD36DF">
        <w:rPr>
          <w:rFonts w:ascii="Times New Roman" w:hAnsi="Times New Roman" w:cs="Times New Roman"/>
          <w:bCs/>
          <w:sz w:val="24"/>
          <w:szCs w:val="24"/>
          <w:shd w:val="clear" w:color="auto" w:fill="FFFFFF"/>
        </w:rPr>
        <w:t>a o zmene a doplnení zákona č. </w:t>
      </w:r>
      <w:hyperlink r:id="rId8" w:tooltip="Odkaz na predpis alebo ustanovenie" w:history="1">
        <w:r w:rsidR="00AF48BB" w:rsidRPr="00BD36DF">
          <w:rPr>
            <w:rStyle w:val="Hypertextovprepojenie"/>
            <w:rFonts w:ascii="Times New Roman" w:hAnsi="Times New Roman" w:cs="Times New Roman"/>
            <w:bCs/>
            <w:color w:val="auto"/>
            <w:sz w:val="24"/>
            <w:szCs w:val="24"/>
            <w:u w:val="none"/>
            <w:shd w:val="clear" w:color="auto" w:fill="FFFFFF"/>
          </w:rPr>
          <w:t>431/2002 Z. z.</w:t>
        </w:r>
      </w:hyperlink>
      <w:r w:rsidR="00AF48BB" w:rsidRPr="00BD36DF">
        <w:rPr>
          <w:rFonts w:ascii="Times New Roman" w:hAnsi="Times New Roman" w:cs="Times New Roman"/>
          <w:bCs/>
          <w:sz w:val="24"/>
          <w:szCs w:val="24"/>
          <w:shd w:val="clear" w:color="auto" w:fill="FFFFFF"/>
        </w:rPr>
        <w:t> o účtovníctve v</w:t>
      </w:r>
      <w:r w:rsidR="00B22913" w:rsidRPr="00BD36DF">
        <w:rPr>
          <w:rFonts w:ascii="Times New Roman" w:hAnsi="Times New Roman" w:cs="Times New Roman"/>
          <w:bCs/>
          <w:sz w:val="24"/>
          <w:szCs w:val="24"/>
          <w:shd w:val="clear" w:color="auto" w:fill="FFFFFF"/>
        </w:rPr>
        <w:t> </w:t>
      </w:r>
      <w:r w:rsidR="00AF48BB" w:rsidRPr="00BD36DF">
        <w:rPr>
          <w:rFonts w:ascii="Times New Roman" w:hAnsi="Times New Roman" w:cs="Times New Roman"/>
          <w:bCs/>
          <w:sz w:val="24"/>
          <w:szCs w:val="24"/>
          <w:shd w:val="clear" w:color="auto" w:fill="FFFFFF"/>
        </w:rPr>
        <w:t>znení</w:t>
      </w:r>
      <w:r w:rsidR="00B22913" w:rsidRPr="00BD36DF">
        <w:rPr>
          <w:rFonts w:ascii="Times New Roman" w:hAnsi="Times New Roman" w:cs="Times New Roman"/>
          <w:bCs/>
          <w:sz w:val="24"/>
          <w:szCs w:val="24"/>
          <w:shd w:val="clear" w:color="auto" w:fill="FFFFFF"/>
        </w:rPr>
        <w:t xml:space="preserve"> </w:t>
      </w:r>
      <w:r w:rsidR="00AF48BB" w:rsidRPr="00BD36DF">
        <w:rPr>
          <w:rFonts w:ascii="Times New Roman" w:hAnsi="Times New Roman" w:cs="Times New Roman"/>
          <w:bCs/>
          <w:sz w:val="24"/>
          <w:szCs w:val="24"/>
          <w:shd w:val="clear" w:color="auto" w:fill="FFFFFF"/>
        </w:rPr>
        <w:t xml:space="preserve">neskorších predpisov </w:t>
      </w:r>
      <w:r w:rsidRPr="00BD36DF">
        <w:rPr>
          <w:rFonts w:ascii="Times New Roman" w:hAnsi="Times New Roman" w:cs="Times New Roman"/>
          <w:bCs/>
          <w:sz w:val="24"/>
          <w:szCs w:val="24"/>
        </w:rPr>
        <w:t>v znení neskorších predpisov</w:t>
      </w:r>
      <w:r w:rsidR="005251A9" w:rsidRPr="00BD36DF">
        <w:rPr>
          <w:rFonts w:ascii="Times New Roman" w:hAnsi="Times New Roman" w:cs="Times New Roman"/>
          <w:bCs/>
          <w:sz w:val="24"/>
          <w:szCs w:val="24"/>
        </w:rPr>
        <w:t xml:space="preserve">, </w:t>
      </w:r>
      <w:r w:rsidR="00AF48BB" w:rsidRPr="00BD36DF">
        <w:rPr>
          <w:rFonts w:ascii="Times New Roman" w:hAnsi="Times New Roman" w:cs="Times New Roman"/>
          <w:bCs/>
          <w:sz w:val="24"/>
          <w:szCs w:val="24"/>
        </w:rPr>
        <w:t>do zákona č. 429/2002 Z.</w:t>
      </w:r>
      <w:r w:rsidR="00B22913" w:rsidRPr="00BD36DF">
        <w:rPr>
          <w:rFonts w:ascii="Times New Roman" w:hAnsi="Times New Roman" w:cs="Times New Roman"/>
          <w:bCs/>
          <w:sz w:val="24"/>
          <w:szCs w:val="24"/>
        </w:rPr>
        <w:t> </w:t>
      </w:r>
      <w:r w:rsidR="00AF48BB" w:rsidRPr="00BD36DF">
        <w:rPr>
          <w:rFonts w:ascii="Times New Roman" w:hAnsi="Times New Roman" w:cs="Times New Roman"/>
          <w:bCs/>
          <w:sz w:val="24"/>
          <w:szCs w:val="24"/>
        </w:rPr>
        <w:t xml:space="preserve">z. </w:t>
      </w:r>
      <w:r w:rsidR="00AF48BB" w:rsidRPr="00BD36DF">
        <w:rPr>
          <w:rFonts w:ascii="Times New Roman" w:hAnsi="Times New Roman" w:cs="Times New Roman"/>
          <w:bCs/>
          <w:color w:val="000000"/>
          <w:sz w:val="24"/>
          <w:szCs w:val="24"/>
          <w:shd w:val="clear" w:color="auto" w:fill="FFFFFF"/>
        </w:rPr>
        <w:t xml:space="preserve">o burze cenných papierov </w:t>
      </w:r>
      <w:r w:rsidR="00AF48BB" w:rsidRPr="00BD36DF">
        <w:rPr>
          <w:rFonts w:ascii="Times New Roman" w:hAnsi="Times New Roman" w:cs="Times New Roman"/>
          <w:bCs/>
          <w:sz w:val="24"/>
          <w:szCs w:val="24"/>
          <w:shd w:val="clear" w:color="auto" w:fill="FFFFFF"/>
        </w:rPr>
        <w:t>v znení neskorších predpisov</w:t>
      </w:r>
      <w:r w:rsidR="005251A9" w:rsidRPr="00BD36DF">
        <w:rPr>
          <w:rFonts w:ascii="Times New Roman" w:hAnsi="Times New Roman" w:cs="Times New Roman"/>
          <w:bCs/>
          <w:sz w:val="24"/>
          <w:szCs w:val="24"/>
          <w:shd w:val="clear" w:color="auto" w:fill="FFFFFF"/>
        </w:rPr>
        <w:t>, do opatrenia Národnej banky Slovenska č.</w:t>
      </w:r>
      <w:r w:rsidR="005251A9" w:rsidRPr="00BD36DF">
        <w:rPr>
          <w:rStyle w:val="Vrazn"/>
          <w:rFonts w:ascii="Times New Roman" w:hAnsi="Times New Roman"/>
          <w:sz w:val="24"/>
          <w:szCs w:val="24"/>
        </w:rPr>
        <w:t> </w:t>
      </w:r>
      <w:r w:rsidR="005251A9" w:rsidRPr="00BD36DF">
        <w:rPr>
          <w:rFonts w:ascii="Times New Roman" w:hAnsi="Times New Roman" w:cs="Times New Roman"/>
          <w:bCs/>
          <w:sz w:val="24"/>
          <w:szCs w:val="24"/>
          <w:shd w:val="clear" w:color="auto" w:fill="FFFFFF"/>
        </w:rPr>
        <w:t xml:space="preserve">4/2015 </w:t>
      </w:r>
      <w:r w:rsidR="005251A9" w:rsidRPr="00BD36DF">
        <w:rPr>
          <w:rFonts w:ascii="Times New Roman" w:hAnsi="Times New Roman" w:cs="Times New Roman"/>
          <w:sz w:val="24"/>
          <w:szCs w:val="24"/>
          <w:shd w:val="clear" w:color="auto" w:fill="FFFFFF"/>
        </w:rPr>
        <w:t>z 31. marca 2015 o ďalších druhoch rizík, o podrobnostiach o</w:t>
      </w:r>
      <w:r w:rsidR="00B22913" w:rsidRPr="00BD36DF">
        <w:rPr>
          <w:rFonts w:ascii="Times New Roman" w:hAnsi="Times New Roman" w:cs="Times New Roman"/>
          <w:sz w:val="24"/>
          <w:szCs w:val="24"/>
          <w:shd w:val="clear" w:color="auto" w:fill="FFFFFF"/>
        </w:rPr>
        <w:t> </w:t>
      </w:r>
      <w:r w:rsidR="005251A9" w:rsidRPr="00BD36DF">
        <w:rPr>
          <w:rFonts w:ascii="Times New Roman" w:hAnsi="Times New Roman" w:cs="Times New Roman"/>
          <w:sz w:val="24"/>
          <w:szCs w:val="24"/>
          <w:shd w:val="clear" w:color="auto" w:fill="FFFFFF"/>
        </w:rPr>
        <w:t xml:space="preserve"> systéme riadenia rizík banky a pobočky zahraničnej banky a ktorým sa ustanovuje čo sa rozumie náhlou a neočakávanou zmenou úrokových mier na trhu v znení neskorších predpisov a do o</w:t>
      </w:r>
      <w:r w:rsidR="005251A9" w:rsidRPr="00BD36DF">
        <w:rPr>
          <w:rFonts w:ascii="Times New Roman" w:hAnsi="Times New Roman" w:cs="Times New Roman"/>
          <w:sz w:val="24"/>
          <w:szCs w:val="24"/>
        </w:rPr>
        <w:t>patrenia Národnej banky Slovenska č. 18/2008 z</w:t>
      </w:r>
      <w:r w:rsidR="00B22913" w:rsidRPr="00BD36DF">
        <w:rPr>
          <w:rFonts w:ascii="Times New Roman" w:hAnsi="Times New Roman" w:cs="Times New Roman"/>
          <w:sz w:val="24"/>
          <w:szCs w:val="24"/>
        </w:rPr>
        <w:t> </w:t>
      </w:r>
      <w:r w:rsidR="005251A9" w:rsidRPr="00BD36DF">
        <w:rPr>
          <w:rFonts w:ascii="Times New Roman" w:hAnsi="Times New Roman" w:cs="Times New Roman"/>
          <w:sz w:val="24"/>
          <w:szCs w:val="24"/>
        </w:rPr>
        <w:t xml:space="preserve"> 28.</w:t>
      </w:r>
      <w:r w:rsidR="00B22913" w:rsidRPr="00BD36DF">
        <w:rPr>
          <w:rFonts w:ascii="Times New Roman" w:hAnsi="Times New Roman" w:cs="Times New Roman"/>
          <w:sz w:val="24"/>
          <w:szCs w:val="24"/>
        </w:rPr>
        <w:t> </w:t>
      </w:r>
      <w:r w:rsidR="005251A9" w:rsidRPr="00BD36DF">
        <w:rPr>
          <w:rFonts w:ascii="Times New Roman" w:hAnsi="Times New Roman" w:cs="Times New Roman"/>
          <w:sz w:val="24"/>
          <w:szCs w:val="24"/>
        </w:rPr>
        <w:t xml:space="preserve"> októbra 2008 o likvidite bánk a pobočiek zahraničných bánk a o postupe riadenia rizika likvidity bánk a likvidity pobočiek zahraničných bánk a o zmene opatrenia Národnej banky Slovenska 11/2007 o predkladaní výkazov, hlásení a iných správ bankami, pobočkami zahraničných bánk, obchodníkmi s cennými papiermi a</w:t>
      </w:r>
      <w:r w:rsidR="00B22913" w:rsidRPr="00BD36DF">
        <w:rPr>
          <w:rFonts w:ascii="Times New Roman" w:hAnsi="Times New Roman" w:cs="Times New Roman"/>
          <w:sz w:val="24"/>
          <w:szCs w:val="24"/>
        </w:rPr>
        <w:t> </w:t>
      </w:r>
      <w:r w:rsidR="005251A9" w:rsidRPr="00BD36DF">
        <w:rPr>
          <w:rFonts w:ascii="Times New Roman" w:hAnsi="Times New Roman" w:cs="Times New Roman"/>
          <w:sz w:val="24"/>
          <w:szCs w:val="24"/>
        </w:rPr>
        <w:t xml:space="preserve"> pobočkami zahraničných obchodníkov s cennými papiermi na účely vykonávania dohľadu a na štatistické účely </w:t>
      </w:r>
      <w:r w:rsidR="005251A9" w:rsidRPr="00BD36DF">
        <w:rPr>
          <w:rFonts w:ascii="Times New Roman" w:hAnsi="Times New Roman" w:cs="Times New Roman"/>
          <w:bCs/>
          <w:sz w:val="24"/>
          <w:szCs w:val="24"/>
        </w:rPr>
        <w:t>v znení neskorších predpisov</w:t>
      </w:r>
      <w:r w:rsidR="00AF48BB" w:rsidRPr="00BD36DF">
        <w:rPr>
          <w:rFonts w:ascii="Times New Roman" w:hAnsi="Times New Roman" w:cs="Times New Roman"/>
          <w:bCs/>
          <w:sz w:val="24"/>
          <w:szCs w:val="24"/>
          <w:shd w:val="clear" w:color="auto" w:fill="FFFFFF"/>
        </w:rPr>
        <w:t>.</w:t>
      </w:r>
    </w:p>
    <w:p w14:paraId="55A20A04" w14:textId="77777777" w:rsidR="0086636E" w:rsidRPr="00BD36DF" w:rsidRDefault="0086636E" w:rsidP="0086636E">
      <w:pPr>
        <w:spacing w:after="0" w:line="240" w:lineRule="auto"/>
        <w:jc w:val="both"/>
        <w:rPr>
          <w:rFonts w:ascii="Times New Roman" w:hAnsi="Times New Roman" w:cs="Times New Roman"/>
          <w:bCs/>
          <w:sz w:val="24"/>
          <w:szCs w:val="24"/>
        </w:rPr>
      </w:pPr>
    </w:p>
    <w:p w14:paraId="6E56D747" w14:textId="77777777" w:rsidR="00404928" w:rsidRPr="00BD36DF" w:rsidRDefault="00404928" w:rsidP="004A2EED">
      <w:pPr>
        <w:pStyle w:val="Odsekzoznamu"/>
        <w:spacing w:after="0" w:line="240" w:lineRule="auto"/>
        <w:jc w:val="both"/>
        <w:rPr>
          <w:rFonts w:ascii="Times New Roman" w:hAnsi="Times New Roman" w:cs="Times New Roman"/>
          <w:bCs/>
          <w:sz w:val="24"/>
          <w:szCs w:val="24"/>
        </w:rPr>
      </w:pPr>
    </w:p>
    <w:p w14:paraId="771F4027" w14:textId="0D1FD73E" w:rsidR="00404928" w:rsidRPr="00BD36DF" w:rsidRDefault="00404928" w:rsidP="00404928">
      <w:pPr>
        <w:pStyle w:val="Odsekzoznamu"/>
        <w:spacing w:after="0" w:line="240" w:lineRule="auto"/>
        <w:jc w:val="both"/>
        <w:rPr>
          <w:rFonts w:ascii="Times New Roman" w:hAnsi="Times New Roman" w:cs="Times New Roman"/>
          <w:bCs/>
          <w:sz w:val="24"/>
          <w:szCs w:val="24"/>
        </w:rPr>
      </w:pPr>
      <w:r w:rsidRPr="00BD36DF">
        <w:rPr>
          <w:rFonts w:ascii="Times New Roman" w:hAnsi="Times New Roman" w:cs="Times New Roman"/>
          <w:sz w:val="24"/>
          <w:szCs w:val="24"/>
        </w:rPr>
        <w:t xml:space="preserve">Smernica (EÚ) </w:t>
      </w:r>
      <w:r w:rsidRPr="00BD36DF">
        <w:rPr>
          <w:rFonts w:ascii="Times New Roman" w:hAnsi="Times New Roman" w:cs="Times New Roman"/>
          <w:sz w:val="24"/>
          <w:szCs w:val="24"/>
          <w:u w:val="single"/>
        </w:rPr>
        <w:t>2024/1619</w:t>
      </w:r>
      <w:r w:rsidRPr="00BD36DF">
        <w:rPr>
          <w:rFonts w:ascii="Times New Roman" w:hAnsi="Times New Roman" w:cs="Times New Roman"/>
          <w:sz w:val="24"/>
          <w:szCs w:val="24"/>
        </w:rPr>
        <w:t xml:space="preserve"> bude prebratá </w:t>
      </w:r>
      <w:r w:rsidRPr="00BD36DF">
        <w:rPr>
          <w:rFonts w:ascii="Times New Roman" w:hAnsi="Times New Roman" w:cs="Times New Roman"/>
          <w:bCs/>
          <w:sz w:val="24"/>
          <w:szCs w:val="24"/>
        </w:rPr>
        <w:t>do zákona č. 483/2001 Z. z. o bankách a</w:t>
      </w:r>
      <w:r w:rsidR="00B63700" w:rsidRPr="00BD36DF">
        <w:rPr>
          <w:rFonts w:ascii="Times New Roman" w:hAnsi="Times New Roman" w:cs="Times New Roman"/>
          <w:bCs/>
          <w:sz w:val="24"/>
          <w:szCs w:val="24"/>
        </w:rPr>
        <w:t> </w:t>
      </w:r>
      <w:r w:rsidRPr="00BD36DF">
        <w:rPr>
          <w:rFonts w:ascii="Times New Roman" w:hAnsi="Times New Roman" w:cs="Times New Roman"/>
          <w:bCs/>
          <w:sz w:val="24"/>
          <w:szCs w:val="24"/>
        </w:rPr>
        <w:t>o</w:t>
      </w:r>
      <w:r w:rsidR="00B63700" w:rsidRPr="00BD36DF">
        <w:rPr>
          <w:rFonts w:ascii="Times New Roman" w:hAnsi="Times New Roman" w:cs="Times New Roman"/>
          <w:bCs/>
          <w:sz w:val="24"/>
          <w:szCs w:val="24"/>
        </w:rPr>
        <w:t> </w:t>
      </w:r>
      <w:r w:rsidRPr="00BD36DF">
        <w:rPr>
          <w:rFonts w:ascii="Times New Roman" w:hAnsi="Times New Roman" w:cs="Times New Roman"/>
          <w:bCs/>
          <w:sz w:val="24"/>
          <w:szCs w:val="24"/>
        </w:rPr>
        <w:t xml:space="preserve"> zmene a doplnení niektorých zákonov v znení neskorších predpisov, zákona</w:t>
      </w:r>
      <w:r w:rsidR="008E5A67" w:rsidRPr="00BD36DF">
        <w:rPr>
          <w:rFonts w:ascii="Times New Roman" w:hAnsi="Times New Roman" w:cs="Times New Roman"/>
          <w:bCs/>
          <w:sz w:val="24"/>
          <w:szCs w:val="24"/>
        </w:rPr>
        <w:t xml:space="preserve"> </w:t>
      </w:r>
      <w:r w:rsidRPr="00BD36DF">
        <w:rPr>
          <w:rFonts w:ascii="Times New Roman" w:hAnsi="Times New Roman" w:cs="Times New Roman"/>
          <w:sz w:val="24"/>
          <w:szCs w:val="24"/>
        </w:rPr>
        <w:t>Národnej rady Slovenskej republiky</w:t>
      </w:r>
      <w:r w:rsidRPr="00BD36DF">
        <w:rPr>
          <w:rFonts w:ascii="Times New Roman" w:hAnsi="Times New Roman" w:cs="Times New Roman"/>
          <w:bCs/>
          <w:sz w:val="24"/>
          <w:szCs w:val="24"/>
        </w:rPr>
        <w:t xml:space="preserve"> č. 566/1992 Zb. o Národnej banke Slovenska v</w:t>
      </w:r>
      <w:r w:rsidR="00B63700" w:rsidRPr="00BD36DF">
        <w:rPr>
          <w:rFonts w:ascii="Times New Roman" w:hAnsi="Times New Roman" w:cs="Times New Roman"/>
          <w:bCs/>
          <w:sz w:val="24"/>
          <w:szCs w:val="24"/>
        </w:rPr>
        <w:t> </w:t>
      </w:r>
      <w:r w:rsidRPr="00BD36DF">
        <w:rPr>
          <w:rFonts w:ascii="Times New Roman" w:hAnsi="Times New Roman" w:cs="Times New Roman"/>
          <w:bCs/>
          <w:sz w:val="24"/>
          <w:szCs w:val="24"/>
        </w:rPr>
        <w:t xml:space="preserve"> znení neskorších predpisov, zákona č. 747/2004 Z. z. o dohľade nad finančným trhom a o zmene a doplnení niektorých zákonov v znení neskorších predpisov, zákona č.</w:t>
      </w:r>
      <w:r w:rsidR="00B63700" w:rsidRPr="00BD36DF">
        <w:rPr>
          <w:rFonts w:ascii="Times New Roman" w:hAnsi="Times New Roman" w:cs="Times New Roman"/>
          <w:bCs/>
          <w:sz w:val="24"/>
          <w:szCs w:val="24"/>
        </w:rPr>
        <w:t> </w:t>
      </w:r>
      <w:r w:rsidRPr="00BD36DF">
        <w:rPr>
          <w:rFonts w:ascii="Times New Roman" w:hAnsi="Times New Roman" w:cs="Times New Roman"/>
          <w:bCs/>
          <w:sz w:val="24"/>
          <w:szCs w:val="24"/>
        </w:rPr>
        <w:t xml:space="preserve"> 513/1991 Zb. Obchodný zákonník v znení neskorších predpisov, opatrenia Národnej banky Slovenska č. 4/2015 z 31. marca 2015 o ďalších druhoch rizík, o podrobnostiach o systéme riadenia rizík banky a pobočky zahraničnej banky a ktorým sa ustanovuje čo sa rozumie náhlou a neočakávanou zmenou úrokových mier na trhu v znení neskorších predpisov, opatrenia Národnej banky Slovenska č. 6/2010 z 11. mája 2010, ktorým sa ustanovujú náležitosti žiadosti o predchádzajúci súhlas Národnej banky Slovenska podľa § 28 ods. 1 zákona o bankách v znení neskorších predpisov, opatrenia Národnej banky Slovenska z 2. septembra 2014 č. 16/2014 o uverejňovaní informácií bankami a</w:t>
      </w:r>
      <w:r w:rsidR="00B63700" w:rsidRPr="00BD36DF">
        <w:rPr>
          <w:rFonts w:ascii="Times New Roman" w:hAnsi="Times New Roman" w:cs="Times New Roman"/>
          <w:bCs/>
          <w:sz w:val="24"/>
          <w:szCs w:val="24"/>
        </w:rPr>
        <w:t> </w:t>
      </w:r>
      <w:r w:rsidRPr="00BD36DF">
        <w:rPr>
          <w:rFonts w:ascii="Times New Roman" w:hAnsi="Times New Roman" w:cs="Times New Roman"/>
          <w:bCs/>
          <w:sz w:val="24"/>
          <w:szCs w:val="24"/>
        </w:rPr>
        <w:t xml:space="preserve"> pobočkami zahraničných bánk v znení neskorších predpisov.</w:t>
      </w:r>
    </w:p>
    <w:p w14:paraId="13379549" w14:textId="5666DA33" w:rsidR="00404928" w:rsidRPr="00BD36DF" w:rsidRDefault="00404928" w:rsidP="00404928">
      <w:pPr>
        <w:pStyle w:val="Odsekzoznamu"/>
        <w:spacing w:after="0" w:line="240" w:lineRule="auto"/>
        <w:jc w:val="both"/>
        <w:rPr>
          <w:rFonts w:ascii="Times New Roman" w:hAnsi="Times New Roman" w:cs="Times New Roman"/>
          <w:bCs/>
          <w:sz w:val="24"/>
          <w:szCs w:val="24"/>
        </w:rPr>
      </w:pPr>
    </w:p>
    <w:p w14:paraId="479FF5F7" w14:textId="3D140DCC" w:rsidR="00404928" w:rsidRPr="00BD36DF" w:rsidRDefault="00404928" w:rsidP="00404928">
      <w:pPr>
        <w:pStyle w:val="Odsekzoznamu"/>
        <w:spacing w:after="0" w:line="240" w:lineRule="auto"/>
        <w:jc w:val="both"/>
        <w:rPr>
          <w:rFonts w:ascii="Times New Roman" w:hAnsi="Times New Roman" w:cs="Times New Roman"/>
          <w:bCs/>
          <w:sz w:val="24"/>
          <w:szCs w:val="24"/>
        </w:rPr>
      </w:pPr>
      <w:r w:rsidRPr="00BD36DF">
        <w:rPr>
          <w:rFonts w:ascii="Times New Roman" w:hAnsi="Times New Roman" w:cs="Times New Roman"/>
          <w:bCs/>
          <w:sz w:val="24"/>
          <w:szCs w:val="24"/>
        </w:rPr>
        <w:t xml:space="preserve">Smernica </w:t>
      </w:r>
      <w:r w:rsidRPr="00BD36DF">
        <w:rPr>
          <w:rFonts w:ascii="Times New Roman" w:hAnsi="Times New Roman" w:cs="Times New Roman"/>
          <w:sz w:val="24"/>
          <w:szCs w:val="24"/>
        </w:rPr>
        <w:t xml:space="preserve">(EÚ) </w:t>
      </w:r>
      <w:r w:rsidRPr="00BD36DF">
        <w:rPr>
          <w:rFonts w:ascii="Times New Roman" w:hAnsi="Times New Roman" w:cs="Times New Roman"/>
          <w:bCs/>
          <w:sz w:val="24"/>
          <w:szCs w:val="24"/>
          <w:u w:val="single"/>
        </w:rPr>
        <w:t>2024/2994</w:t>
      </w:r>
      <w:r w:rsidRPr="00BD36DF">
        <w:rPr>
          <w:rFonts w:ascii="Times New Roman" w:hAnsi="Times New Roman" w:cs="Times New Roman"/>
          <w:bCs/>
          <w:sz w:val="24"/>
          <w:szCs w:val="24"/>
        </w:rPr>
        <w:t xml:space="preserve"> bude prebratá do zákona č. 566/2001 Z. z. o cenných papieroch a investičných službách a o zmene a doplnení niektorých zákonov (zákon o</w:t>
      </w:r>
      <w:r w:rsidR="00B63700" w:rsidRPr="00BD36DF">
        <w:rPr>
          <w:rFonts w:ascii="Times New Roman" w:hAnsi="Times New Roman" w:cs="Times New Roman"/>
          <w:bCs/>
          <w:sz w:val="24"/>
          <w:szCs w:val="24"/>
        </w:rPr>
        <w:t> </w:t>
      </w:r>
      <w:r w:rsidRPr="00BD36DF">
        <w:rPr>
          <w:rFonts w:ascii="Times New Roman" w:hAnsi="Times New Roman" w:cs="Times New Roman"/>
          <w:bCs/>
          <w:sz w:val="24"/>
          <w:szCs w:val="24"/>
        </w:rPr>
        <w:t xml:space="preserve"> cenných papieroch) v znení neskorších predpisov, do zákona č. 483/2001 Z. z. o</w:t>
      </w:r>
      <w:r w:rsidR="00B63700" w:rsidRPr="00BD36DF">
        <w:rPr>
          <w:rFonts w:ascii="Times New Roman" w:hAnsi="Times New Roman" w:cs="Times New Roman"/>
          <w:bCs/>
          <w:sz w:val="24"/>
          <w:szCs w:val="24"/>
        </w:rPr>
        <w:t> </w:t>
      </w:r>
      <w:r w:rsidRPr="00BD36DF">
        <w:rPr>
          <w:rFonts w:ascii="Times New Roman" w:hAnsi="Times New Roman" w:cs="Times New Roman"/>
          <w:bCs/>
          <w:sz w:val="24"/>
          <w:szCs w:val="24"/>
        </w:rPr>
        <w:t xml:space="preserve"> bankách a o zmene a doplnení niektorých zákonov v znení neskorších predpisov, do zákona č. 203/2011 Z.</w:t>
      </w:r>
      <w:r w:rsidR="00B63700" w:rsidRPr="00BD36DF">
        <w:rPr>
          <w:rFonts w:ascii="Times New Roman" w:hAnsi="Times New Roman" w:cs="Times New Roman"/>
          <w:bCs/>
          <w:sz w:val="24"/>
          <w:szCs w:val="24"/>
        </w:rPr>
        <w:t xml:space="preserve"> </w:t>
      </w:r>
      <w:r w:rsidRPr="00BD36DF">
        <w:rPr>
          <w:rFonts w:ascii="Times New Roman" w:hAnsi="Times New Roman" w:cs="Times New Roman"/>
          <w:bCs/>
          <w:sz w:val="24"/>
          <w:szCs w:val="24"/>
        </w:rPr>
        <w:t>z. o kolektívnom investovaní v znení neskorších predpisov.</w:t>
      </w:r>
    </w:p>
    <w:p w14:paraId="45622CE4" w14:textId="6261023D" w:rsidR="00AF48BB" w:rsidRPr="00BD36DF" w:rsidRDefault="00AF48BB" w:rsidP="00404928">
      <w:pPr>
        <w:pStyle w:val="Odsekzoznamu"/>
        <w:spacing w:after="0" w:line="240" w:lineRule="auto"/>
        <w:jc w:val="both"/>
        <w:rPr>
          <w:rFonts w:ascii="Times New Roman" w:hAnsi="Times New Roman" w:cs="Times New Roman"/>
          <w:bCs/>
          <w:sz w:val="24"/>
          <w:szCs w:val="24"/>
        </w:rPr>
      </w:pPr>
    </w:p>
    <w:p w14:paraId="3E9FCF14" w14:textId="292D1C39" w:rsidR="00AF48BB" w:rsidRPr="00BD36DF" w:rsidRDefault="00AF48BB" w:rsidP="00404928">
      <w:pPr>
        <w:pStyle w:val="Odsekzoznamu"/>
        <w:spacing w:after="0" w:line="240" w:lineRule="auto"/>
        <w:jc w:val="both"/>
        <w:rPr>
          <w:rFonts w:ascii="Times New Roman" w:hAnsi="Times New Roman" w:cs="Times New Roman"/>
          <w:sz w:val="24"/>
          <w:szCs w:val="24"/>
          <w:u w:val="single"/>
        </w:rPr>
      </w:pPr>
      <w:r w:rsidRPr="00BD36DF">
        <w:rPr>
          <w:rFonts w:ascii="Times New Roman" w:hAnsi="Times New Roman" w:cs="Times New Roman"/>
          <w:sz w:val="24"/>
          <w:szCs w:val="24"/>
        </w:rPr>
        <w:t xml:space="preserve">Smernica (EÚ) </w:t>
      </w:r>
      <w:r w:rsidRPr="00BD36DF">
        <w:rPr>
          <w:rFonts w:ascii="Times New Roman" w:hAnsi="Times New Roman" w:cs="Times New Roman"/>
          <w:sz w:val="24"/>
          <w:szCs w:val="24"/>
          <w:u w:val="single"/>
        </w:rPr>
        <w:t xml:space="preserve">2024/1174 </w:t>
      </w:r>
      <w:r w:rsidR="00831525" w:rsidRPr="00BD36DF">
        <w:rPr>
          <w:rFonts w:ascii="Times New Roman" w:hAnsi="Times New Roman" w:cs="Times New Roman"/>
          <w:bCs/>
          <w:sz w:val="24"/>
          <w:szCs w:val="24"/>
        </w:rPr>
        <w:t>bola prebratá do zákona č. 371/2014 Z. z. o riešení krízových situácií na finančnom trhu o zmene a doplnení niektorých zákonov v znení neskorších predpisov.</w:t>
      </w:r>
    </w:p>
    <w:p w14:paraId="04B7C82B" w14:textId="77777777" w:rsidR="00AF48BB" w:rsidRPr="00BD36DF" w:rsidRDefault="00AF48BB" w:rsidP="00404928">
      <w:pPr>
        <w:pStyle w:val="Odsekzoznamu"/>
        <w:spacing w:after="0" w:line="240" w:lineRule="auto"/>
        <w:jc w:val="both"/>
        <w:rPr>
          <w:rFonts w:ascii="Times New Roman" w:hAnsi="Times New Roman" w:cs="Times New Roman"/>
          <w:sz w:val="24"/>
          <w:szCs w:val="24"/>
          <w:u w:val="single"/>
        </w:rPr>
      </w:pPr>
    </w:p>
    <w:p w14:paraId="6D27642A" w14:textId="62A2AB64" w:rsidR="00AF48BB" w:rsidRPr="00BD36DF" w:rsidRDefault="00AF48BB" w:rsidP="00AF48BB">
      <w:pPr>
        <w:pStyle w:val="Odsekzoznamu"/>
        <w:spacing w:after="0" w:line="240" w:lineRule="auto"/>
        <w:jc w:val="both"/>
        <w:rPr>
          <w:rFonts w:ascii="Times New Roman" w:hAnsi="Times New Roman" w:cs="Times New Roman"/>
          <w:bCs/>
          <w:sz w:val="24"/>
          <w:szCs w:val="24"/>
          <w:u w:val="single"/>
        </w:rPr>
      </w:pPr>
      <w:r w:rsidRPr="00BD36DF">
        <w:rPr>
          <w:rFonts w:ascii="Times New Roman" w:hAnsi="Times New Roman" w:cs="Times New Roman"/>
          <w:bCs/>
          <w:sz w:val="24"/>
          <w:szCs w:val="24"/>
        </w:rPr>
        <w:t xml:space="preserve">Smernica (EÚ) </w:t>
      </w:r>
      <w:r w:rsidRPr="00BD36DF">
        <w:rPr>
          <w:rFonts w:ascii="Times New Roman" w:hAnsi="Times New Roman" w:cs="Times New Roman"/>
          <w:bCs/>
          <w:sz w:val="24"/>
          <w:szCs w:val="24"/>
          <w:u w:val="single"/>
        </w:rPr>
        <w:t xml:space="preserve">2019/2162 </w:t>
      </w:r>
      <w:r w:rsidRPr="00BD36DF">
        <w:rPr>
          <w:rFonts w:ascii="Times New Roman" w:eastAsia="Times New Roman" w:hAnsi="Times New Roman" w:cs="Times New Roman"/>
          <w:sz w:val="24"/>
          <w:szCs w:val="24"/>
          <w:lang w:eastAsia="sk-SK"/>
        </w:rPr>
        <w:t>v platnom znení</w:t>
      </w:r>
      <w:r w:rsidR="00831525" w:rsidRPr="00BD36DF">
        <w:rPr>
          <w:rFonts w:ascii="Times New Roman" w:eastAsia="Times New Roman" w:hAnsi="Times New Roman" w:cs="Times New Roman"/>
          <w:sz w:val="24"/>
          <w:szCs w:val="24"/>
          <w:lang w:eastAsia="sk-SK"/>
        </w:rPr>
        <w:t xml:space="preserve"> </w:t>
      </w:r>
      <w:r w:rsidR="00831525" w:rsidRPr="00BD36DF">
        <w:rPr>
          <w:rFonts w:ascii="Times New Roman" w:hAnsi="Times New Roman" w:cs="Times New Roman"/>
          <w:bCs/>
          <w:sz w:val="24"/>
          <w:szCs w:val="24"/>
        </w:rPr>
        <w:t xml:space="preserve">bola prebratá do zákona č. 483/2001 Z. z. o bankách a o zmene a doplnení niektorých zákonov v znení neskorších predpisov, </w:t>
      </w:r>
      <w:r w:rsidR="00831525" w:rsidRPr="00BD36DF">
        <w:rPr>
          <w:rFonts w:ascii="Times New Roman" w:hAnsi="Times New Roman" w:cs="Times New Roman"/>
          <w:bCs/>
          <w:sz w:val="24"/>
          <w:szCs w:val="24"/>
          <w:shd w:val="clear" w:color="auto" w:fill="FFFFFF"/>
        </w:rPr>
        <w:t>do zákona č. 747/2004 Z. z. o dohľade nad finančným trhom a o zmene a doplnení niektorých zákonov v znení neskorších predpisov</w:t>
      </w:r>
      <w:r w:rsidR="00073D73" w:rsidRPr="00BD36DF">
        <w:rPr>
          <w:rFonts w:ascii="Times New Roman" w:hAnsi="Times New Roman" w:cs="Times New Roman"/>
          <w:bCs/>
          <w:sz w:val="24"/>
          <w:szCs w:val="24"/>
          <w:shd w:val="clear" w:color="auto" w:fill="FFFFFF"/>
        </w:rPr>
        <w:t>,</w:t>
      </w:r>
      <w:r w:rsidR="00831525" w:rsidRPr="00BD36DF">
        <w:rPr>
          <w:rFonts w:ascii="Times New Roman" w:hAnsi="Times New Roman" w:cs="Times New Roman"/>
          <w:bCs/>
          <w:sz w:val="24"/>
          <w:szCs w:val="24"/>
        </w:rPr>
        <w:t xml:space="preserve"> do </w:t>
      </w:r>
      <w:r w:rsidR="00831525" w:rsidRPr="00BD36DF">
        <w:rPr>
          <w:rFonts w:ascii="Times New Roman" w:hAnsi="Times New Roman" w:cs="Times New Roman"/>
          <w:sz w:val="24"/>
          <w:szCs w:val="24"/>
        </w:rPr>
        <w:t xml:space="preserve">zákona č. 7/2005 Z. z. o konkurze a reštrukturalizácii a o zmene a doplnení niektorých zákonov </w:t>
      </w:r>
      <w:r w:rsidR="00831525" w:rsidRPr="00BD36DF">
        <w:rPr>
          <w:rFonts w:ascii="Times New Roman" w:hAnsi="Times New Roman" w:cs="Times New Roman"/>
          <w:bCs/>
          <w:sz w:val="24"/>
          <w:szCs w:val="24"/>
        </w:rPr>
        <w:t xml:space="preserve">v znení neskorších predpisov, do zákona Národnej rady Slovenskej republiky č. 566/1992 Zb. o Národnej banke Slovenska v znení neskorších predpisov, do zákona č. </w:t>
      </w:r>
      <w:r w:rsidR="00831525" w:rsidRPr="00BD36DF">
        <w:rPr>
          <w:rFonts w:ascii="Times New Roman" w:hAnsi="Times New Roman" w:cs="Times New Roman"/>
          <w:sz w:val="24"/>
          <w:szCs w:val="24"/>
        </w:rPr>
        <w:t xml:space="preserve">530/1990 Zb. o dlhopisoch v znení neskorších predpisov, </w:t>
      </w:r>
      <w:r w:rsidR="00073D73" w:rsidRPr="00BD36DF">
        <w:rPr>
          <w:rFonts w:ascii="Times New Roman" w:hAnsi="Times New Roman" w:cs="Times New Roman"/>
          <w:bCs/>
          <w:sz w:val="24"/>
          <w:szCs w:val="24"/>
        </w:rPr>
        <w:t xml:space="preserve">do zákona č. 203/2011 Z. z. o kolektívnom investovaní </w:t>
      </w:r>
      <w:r w:rsidR="00073D73" w:rsidRPr="00BD36DF">
        <w:rPr>
          <w:rFonts w:ascii="Times New Roman" w:hAnsi="Times New Roman" w:cs="Times New Roman"/>
          <w:bCs/>
          <w:sz w:val="24"/>
          <w:szCs w:val="24"/>
        </w:rPr>
        <w:lastRenderedPageBreak/>
        <w:t>v znení neskorších predpisov, do zákona č. 371/2014 Z. z. o riešení krízových situácií na finančnom trhu o zmene a doplnení niektorých zákonov v znení neskorších predpisov, do zákona č</w:t>
      </w:r>
      <w:r w:rsidR="00073D73" w:rsidRPr="00BD36DF">
        <w:rPr>
          <w:rFonts w:ascii="Times New Roman" w:hAnsi="Times New Roman" w:cs="Times New Roman"/>
          <w:sz w:val="24"/>
          <w:szCs w:val="24"/>
        </w:rPr>
        <w:t xml:space="preserve">. 90/2016 Z. z. o úveroch na bývanie a o zmene a doplnení niektorých zákonov v znení neskorších predpisov, </w:t>
      </w:r>
      <w:r w:rsidR="00073D73" w:rsidRPr="00BD36DF">
        <w:rPr>
          <w:rFonts w:ascii="Times New Roman" w:hAnsi="Times New Roman" w:cs="Times New Roman"/>
          <w:bCs/>
          <w:sz w:val="24"/>
          <w:szCs w:val="24"/>
        </w:rPr>
        <w:t xml:space="preserve">do zákona </w:t>
      </w:r>
      <w:r w:rsidR="00073D73" w:rsidRPr="00BD36DF">
        <w:rPr>
          <w:rFonts w:ascii="Times New Roman" w:hAnsi="Times New Roman" w:cs="Times New Roman"/>
          <w:sz w:val="24"/>
          <w:szCs w:val="24"/>
        </w:rPr>
        <w:t>č. 757/2004 Z. z. o súdoch a o zmene a doplnení niektorých zákonov v znení neskorších predpisov, do zákona č.</w:t>
      </w:r>
      <w:r w:rsidR="00B22913" w:rsidRPr="00BD36DF">
        <w:rPr>
          <w:rFonts w:ascii="Times New Roman" w:hAnsi="Times New Roman" w:cs="Times New Roman"/>
          <w:sz w:val="24"/>
          <w:szCs w:val="24"/>
        </w:rPr>
        <w:t> </w:t>
      </w:r>
      <w:r w:rsidR="00073D73" w:rsidRPr="00BD36DF">
        <w:rPr>
          <w:rFonts w:ascii="Times New Roman" w:hAnsi="Times New Roman" w:cs="Times New Roman"/>
          <w:sz w:val="24"/>
          <w:szCs w:val="24"/>
        </w:rPr>
        <w:t xml:space="preserve">40/1964 Zb. Občiansky zákonník v znení neskorších predpisov, </w:t>
      </w:r>
      <w:r w:rsidR="00073D73" w:rsidRPr="00BD36DF">
        <w:rPr>
          <w:rFonts w:ascii="Times New Roman" w:hAnsi="Times New Roman" w:cs="Times New Roman"/>
          <w:bCs/>
          <w:sz w:val="24"/>
          <w:szCs w:val="24"/>
        </w:rPr>
        <w:t xml:space="preserve">do zákona </w:t>
      </w:r>
      <w:r w:rsidR="00073D73" w:rsidRPr="00BD36DF">
        <w:rPr>
          <w:rFonts w:ascii="Times New Roman" w:hAnsi="Times New Roman" w:cs="Times New Roman"/>
          <w:sz w:val="24"/>
          <w:szCs w:val="24"/>
        </w:rPr>
        <w:t>č.</w:t>
      </w:r>
      <w:r w:rsidR="00B22913" w:rsidRPr="00BD36DF">
        <w:rPr>
          <w:rFonts w:ascii="Times New Roman" w:hAnsi="Times New Roman" w:cs="Times New Roman"/>
          <w:sz w:val="24"/>
          <w:szCs w:val="24"/>
        </w:rPr>
        <w:t> </w:t>
      </w:r>
      <w:r w:rsidR="00073D73" w:rsidRPr="00BD36DF">
        <w:rPr>
          <w:rFonts w:ascii="Times New Roman" w:hAnsi="Times New Roman" w:cs="Times New Roman"/>
          <w:sz w:val="24"/>
          <w:szCs w:val="24"/>
        </w:rPr>
        <w:t>513/1991 Zb. Obchodný zákonník v znení neskorších predpisov</w:t>
      </w:r>
      <w:r w:rsidR="005251A9" w:rsidRPr="00BD36DF">
        <w:rPr>
          <w:rFonts w:ascii="Times New Roman" w:hAnsi="Times New Roman" w:cs="Times New Roman"/>
          <w:sz w:val="24"/>
          <w:szCs w:val="24"/>
        </w:rPr>
        <w:t xml:space="preserve"> a do </w:t>
      </w:r>
      <w:r w:rsidR="005251A9" w:rsidRPr="00BD36DF">
        <w:rPr>
          <w:rFonts w:ascii="Times New Roman" w:hAnsi="Times New Roman" w:cs="Times New Roman"/>
          <w:bCs/>
          <w:sz w:val="24"/>
          <w:szCs w:val="24"/>
        </w:rPr>
        <w:t>opatrenia Národnej banky Slovenska č. 16/2014 z 2. septembra 2014 o uverejňovaní informácií bankami a  pobočkami zahraničných bánk v znení neskorších predpisov.</w:t>
      </w:r>
      <w:r w:rsidR="005251A9" w:rsidRPr="00BD36DF">
        <w:rPr>
          <w:rFonts w:ascii="Times New Roman" w:hAnsi="Times New Roman" w:cs="Times New Roman"/>
          <w:sz w:val="24"/>
          <w:szCs w:val="24"/>
        </w:rPr>
        <w:t xml:space="preserve"> </w:t>
      </w:r>
    </w:p>
    <w:p w14:paraId="609BF300" w14:textId="59C64421" w:rsidR="00AF48BB" w:rsidRPr="00BD36DF" w:rsidRDefault="00AF48BB" w:rsidP="00404928">
      <w:pPr>
        <w:pStyle w:val="Odsekzoznamu"/>
        <w:spacing w:after="0" w:line="240" w:lineRule="auto"/>
        <w:jc w:val="both"/>
        <w:rPr>
          <w:rFonts w:ascii="Times New Roman" w:hAnsi="Times New Roman" w:cs="Times New Roman"/>
          <w:sz w:val="24"/>
          <w:szCs w:val="24"/>
          <w:u w:val="single"/>
        </w:rPr>
      </w:pPr>
    </w:p>
    <w:p w14:paraId="26308CDE" w14:textId="1A75AF63" w:rsidR="00AF48BB" w:rsidRPr="00BD36DF" w:rsidRDefault="00AF48BB" w:rsidP="00404928">
      <w:pPr>
        <w:pStyle w:val="Odsekzoznamu"/>
        <w:spacing w:after="0" w:line="240" w:lineRule="auto"/>
        <w:jc w:val="both"/>
        <w:rPr>
          <w:rFonts w:ascii="Times New Roman" w:hAnsi="Times New Roman" w:cs="Times New Roman"/>
          <w:bCs/>
          <w:sz w:val="24"/>
          <w:szCs w:val="24"/>
          <w:u w:val="single"/>
        </w:rPr>
      </w:pPr>
      <w:r w:rsidRPr="00BD36DF">
        <w:rPr>
          <w:rFonts w:ascii="Times New Roman" w:hAnsi="Times New Roman" w:cs="Times New Roman"/>
          <w:bCs/>
          <w:sz w:val="24"/>
          <w:szCs w:val="24"/>
        </w:rPr>
        <w:t xml:space="preserve">Smernica (EÚ) </w:t>
      </w:r>
      <w:r w:rsidRPr="00BD36DF">
        <w:rPr>
          <w:rFonts w:ascii="Times New Roman" w:hAnsi="Times New Roman" w:cs="Times New Roman"/>
          <w:bCs/>
          <w:sz w:val="24"/>
          <w:szCs w:val="24"/>
          <w:u w:val="single"/>
        </w:rPr>
        <w:t>2019/879</w:t>
      </w:r>
      <w:r w:rsidR="00B448E2" w:rsidRPr="00BD36DF">
        <w:rPr>
          <w:rFonts w:ascii="Times New Roman" w:hAnsi="Times New Roman" w:cs="Times New Roman"/>
          <w:bCs/>
          <w:sz w:val="24"/>
          <w:szCs w:val="24"/>
          <w:u w:val="single"/>
        </w:rPr>
        <w:t xml:space="preserve"> </w:t>
      </w:r>
      <w:r w:rsidR="00B448E2" w:rsidRPr="00BD36DF">
        <w:rPr>
          <w:rFonts w:ascii="Times New Roman" w:hAnsi="Times New Roman" w:cs="Times New Roman"/>
          <w:bCs/>
          <w:sz w:val="24"/>
          <w:szCs w:val="24"/>
        </w:rPr>
        <w:t>bola prebratá do zákona č. 371/2014 Z. z. o riešení krízových situácií na finančnom trhu o zmene a doplnení niektorých zákonov v znení neskorších predpisov, do zákona č. 566/2001 Z.</w:t>
      </w:r>
      <w:r w:rsidR="00B22913" w:rsidRPr="00BD36DF">
        <w:rPr>
          <w:rFonts w:ascii="Times New Roman" w:hAnsi="Times New Roman" w:cs="Times New Roman"/>
          <w:bCs/>
          <w:sz w:val="24"/>
          <w:szCs w:val="24"/>
        </w:rPr>
        <w:t xml:space="preserve"> </w:t>
      </w:r>
      <w:r w:rsidR="00B448E2" w:rsidRPr="00BD36DF">
        <w:rPr>
          <w:rFonts w:ascii="Times New Roman" w:hAnsi="Times New Roman" w:cs="Times New Roman"/>
          <w:bCs/>
          <w:sz w:val="24"/>
          <w:szCs w:val="24"/>
        </w:rPr>
        <w:t>z. o cenných papieroch a investičných službách a o zmene a doplnení niektorých zákonov (zákon o cenných papieroch) v znení neskorších predpisov, do zákona č. 483/2001 Z.</w:t>
      </w:r>
      <w:r w:rsidR="00B22913" w:rsidRPr="00BD36DF">
        <w:rPr>
          <w:rFonts w:ascii="Times New Roman" w:hAnsi="Times New Roman" w:cs="Times New Roman"/>
          <w:bCs/>
          <w:sz w:val="24"/>
          <w:szCs w:val="24"/>
        </w:rPr>
        <w:t xml:space="preserve"> </w:t>
      </w:r>
      <w:r w:rsidR="00B448E2" w:rsidRPr="00BD36DF">
        <w:rPr>
          <w:rFonts w:ascii="Times New Roman" w:hAnsi="Times New Roman" w:cs="Times New Roman"/>
          <w:bCs/>
          <w:sz w:val="24"/>
          <w:szCs w:val="24"/>
        </w:rPr>
        <w:t>z. o bankách a o zmene a doplnení niektorých zákonov v znení neskorších predpisov, do zákona č. 747/2004 Z.</w:t>
      </w:r>
      <w:r w:rsidR="00B22913" w:rsidRPr="00BD36DF">
        <w:rPr>
          <w:rFonts w:ascii="Times New Roman" w:hAnsi="Times New Roman" w:cs="Times New Roman"/>
          <w:bCs/>
          <w:sz w:val="24"/>
          <w:szCs w:val="24"/>
        </w:rPr>
        <w:t xml:space="preserve"> </w:t>
      </w:r>
      <w:r w:rsidR="00B448E2" w:rsidRPr="00BD36DF">
        <w:rPr>
          <w:rFonts w:ascii="Times New Roman" w:hAnsi="Times New Roman" w:cs="Times New Roman"/>
          <w:bCs/>
          <w:sz w:val="24"/>
          <w:szCs w:val="24"/>
        </w:rPr>
        <w:t>z. o</w:t>
      </w:r>
      <w:r w:rsidR="00B22913" w:rsidRPr="00BD36DF">
        <w:rPr>
          <w:rFonts w:ascii="Times New Roman" w:hAnsi="Times New Roman" w:cs="Times New Roman"/>
          <w:bCs/>
          <w:sz w:val="24"/>
          <w:szCs w:val="24"/>
        </w:rPr>
        <w:t> </w:t>
      </w:r>
      <w:r w:rsidR="00B448E2" w:rsidRPr="00BD36DF">
        <w:rPr>
          <w:rFonts w:ascii="Times New Roman" w:hAnsi="Times New Roman" w:cs="Times New Roman"/>
          <w:bCs/>
          <w:sz w:val="24"/>
          <w:szCs w:val="24"/>
        </w:rPr>
        <w:t xml:space="preserve"> dohľade nad finančným trhom a o zmene a doplnení niektorých zákonov v znení neskorších predpisov</w:t>
      </w:r>
      <w:r w:rsidR="0013762E" w:rsidRPr="00BD36DF">
        <w:rPr>
          <w:rFonts w:ascii="Times New Roman" w:hAnsi="Times New Roman" w:cs="Times New Roman"/>
          <w:bCs/>
          <w:sz w:val="24"/>
          <w:szCs w:val="24"/>
        </w:rPr>
        <w:t xml:space="preserve"> a</w:t>
      </w:r>
      <w:r w:rsidR="00B448E2" w:rsidRPr="00BD36DF">
        <w:rPr>
          <w:rFonts w:ascii="Times New Roman" w:hAnsi="Times New Roman" w:cs="Times New Roman"/>
          <w:bCs/>
          <w:sz w:val="24"/>
          <w:szCs w:val="24"/>
        </w:rPr>
        <w:t xml:space="preserve"> do </w:t>
      </w:r>
      <w:r w:rsidR="00B448E2" w:rsidRPr="00BD36DF">
        <w:rPr>
          <w:rFonts w:ascii="Times New Roman" w:hAnsi="Times New Roman" w:cs="Times New Roman"/>
          <w:sz w:val="24"/>
          <w:szCs w:val="24"/>
        </w:rPr>
        <w:t>zákona č. 7/2005 Z. z. o konkurze a reštrukturalizácii a</w:t>
      </w:r>
      <w:r w:rsidR="00B22913" w:rsidRPr="00BD36DF">
        <w:rPr>
          <w:rFonts w:ascii="Times New Roman" w:hAnsi="Times New Roman" w:cs="Times New Roman"/>
          <w:sz w:val="24"/>
          <w:szCs w:val="24"/>
        </w:rPr>
        <w:t> </w:t>
      </w:r>
      <w:r w:rsidR="00B448E2" w:rsidRPr="00BD36DF">
        <w:rPr>
          <w:rFonts w:ascii="Times New Roman" w:hAnsi="Times New Roman" w:cs="Times New Roman"/>
          <w:sz w:val="24"/>
          <w:szCs w:val="24"/>
        </w:rPr>
        <w:t>o</w:t>
      </w:r>
      <w:r w:rsidR="00B22913" w:rsidRPr="00BD36DF">
        <w:rPr>
          <w:rFonts w:ascii="Times New Roman" w:hAnsi="Times New Roman" w:cs="Times New Roman"/>
          <w:sz w:val="24"/>
          <w:szCs w:val="24"/>
        </w:rPr>
        <w:t> </w:t>
      </w:r>
      <w:r w:rsidR="00B448E2" w:rsidRPr="00BD36DF">
        <w:rPr>
          <w:rFonts w:ascii="Times New Roman" w:hAnsi="Times New Roman" w:cs="Times New Roman"/>
          <w:sz w:val="24"/>
          <w:szCs w:val="24"/>
        </w:rPr>
        <w:t xml:space="preserve"> zmene a doplnení niektorých zákonov </w:t>
      </w:r>
      <w:r w:rsidR="00B448E2" w:rsidRPr="00BD36DF">
        <w:rPr>
          <w:rFonts w:ascii="Times New Roman" w:hAnsi="Times New Roman" w:cs="Times New Roman"/>
          <w:bCs/>
          <w:sz w:val="24"/>
          <w:szCs w:val="24"/>
        </w:rPr>
        <w:t>v znení neskorších predpisov.</w:t>
      </w:r>
    </w:p>
    <w:p w14:paraId="481D4AE5" w14:textId="26CF1234" w:rsidR="00AF48BB" w:rsidRPr="00BD36DF" w:rsidRDefault="00AF48BB" w:rsidP="00404928">
      <w:pPr>
        <w:pStyle w:val="Odsekzoznamu"/>
        <w:spacing w:after="0" w:line="240" w:lineRule="auto"/>
        <w:jc w:val="both"/>
        <w:rPr>
          <w:rFonts w:ascii="Times New Roman" w:hAnsi="Times New Roman" w:cs="Times New Roman"/>
          <w:bCs/>
          <w:sz w:val="24"/>
          <w:szCs w:val="24"/>
          <w:u w:val="single"/>
        </w:rPr>
      </w:pPr>
    </w:p>
    <w:p w14:paraId="70FA14A7" w14:textId="49F7819F" w:rsidR="00AF48BB" w:rsidRPr="00BD36DF" w:rsidRDefault="00AF48BB" w:rsidP="00404928">
      <w:pPr>
        <w:pStyle w:val="Odsekzoznamu"/>
        <w:spacing w:after="0" w:line="240" w:lineRule="auto"/>
        <w:jc w:val="both"/>
        <w:rPr>
          <w:rFonts w:ascii="Times New Roman" w:hAnsi="Times New Roman" w:cs="Times New Roman"/>
          <w:bCs/>
          <w:sz w:val="24"/>
          <w:szCs w:val="24"/>
          <w:u w:val="single"/>
        </w:rPr>
      </w:pPr>
      <w:r w:rsidRPr="00BD36DF">
        <w:rPr>
          <w:rFonts w:ascii="Times New Roman" w:eastAsia="Times New Roman" w:hAnsi="Times New Roman" w:cs="Times New Roman"/>
          <w:color w:val="000000"/>
          <w:sz w:val="24"/>
          <w:szCs w:val="24"/>
          <w:lang w:eastAsia="sk-SK"/>
        </w:rPr>
        <w:t>Smernica</w:t>
      </w:r>
      <w:r w:rsidR="00652965" w:rsidRPr="00BD36DF">
        <w:rPr>
          <w:rFonts w:ascii="Times New Roman" w:eastAsia="Times New Roman" w:hAnsi="Times New Roman" w:cs="Times New Roman"/>
          <w:color w:val="000000"/>
          <w:sz w:val="24"/>
          <w:szCs w:val="24"/>
          <w:lang w:eastAsia="sk-SK"/>
        </w:rPr>
        <w:t xml:space="preserve"> </w:t>
      </w:r>
      <w:r w:rsidRPr="00BD36DF">
        <w:rPr>
          <w:rFonts w:ascii="Times New Roman" w:eastAsia="Times New Roman" w:hAnsi="Times New Roman" w:cs="Times New Roman"/>
          <w:color w:val="000000"/>
          <w:sz w:val="24"/>
          <w:szCs w:val="24"/>
          <w:u w:val="single"/>
          <w:lang w:eastAsia="sk-SK"/>
        </w:rPr>
        <w:t>2011/89/EÚ</w:t>
      </w:r>
      <w:r w:rsidR="00C46A3D" w:rsidRPr="00BD36DF">
        <w:rPr>
          <w:rFonts w:ascii="Times New Roman" w:eastAsia="Times New Roman" w:hAnsi="Times New Roman" w:cs="Times New Roman"/>
          <w:color w:val="000000"/>
          <w:sz w:val="24"/>
          <w:szCs w:val="24"/>
          <w:lang w:eastAsia="sk-SK"/>
        </w:rPr>
        <w:t xml:space="preserve"> </w:t>
      </w:r>
      <w:r w:rsidR="00C46A3D" w:rsidRPr="00BD36DF">
        <w:rPr>
          <w:rFonts w:ascii="Times New Roman" w:hAnsi="Times New Roman" w:cs="Times New Roman"/>
          <w:bCs/>
          <w:sz w:val="24"/>
          <w:szCs w:val="24"/>
        </w:rPr>
        <w:t xml:space="preserve">do zákona č. 483/2001 Z. z. o bankách a o zmene a doplnení niektorých zákonov v znení neskorších predpisov, </w:t>
      </w:r>
      <w:r w:rsidR="00C46A3D" w:rsidRPr="00BD36DF">
        <w:rPr>
          <w:rFonts w:ascii="Times New Roman" w:hAnsi="Times New Roman" w:cs="Times New Roman"/>
          <w:bCs/>
          <w:sz w:val="24"/>
          <w:szCs w:val="24"/>
          <w:shd w:val="clear" w:color="auto" w:fill="FFFFFF"/>
        </w:rPr>
        <w:t>do zákona č. 747/2004 Z. z. o</w:t>
      </w:r>
      <w:r w:rsidR="00B22913" w:rsidRPr="00BD36DF">
        <w:rPr>
          <w:rFonts w:ascii="Times New Roman" w:hAnsi="Times New Roman" w:cs="Times New Roman"/>
          <w:bCs/>
          <w:sz w:val="24"/>
          <w:szCs w:val="24"/>
          <w:shd w:val="clear" w:color="auto" w:fill="FFFFFF"/>
        </w:rPr>
        <w:t> </w:t>
      </w:r>
      <w:r w:rsidR="00C46A3D" w:rsidRPr="00BD36DF">
        <w:rPr>
          <w:rFonts w:ascii="Times New Roman" w:hAnsi="Times New Roman" w:cs="Times New Roman"/>
          <w:bCs/>
          <w:sz w:val="24"/>
          <w:szCs w:val="24"/>
          <w:shd w:val="clear" w:color="auto" w:fill="FFFFFF"/>
        </w:rPr>
        <w:t xml:space="preserve"> dohľade nad finančným trhom a o zmene a doplnení niektorých zákonov v znení neskorších predpisov</w:t>
      </w:r>
      <w:r w:rsidR="00C46A3D" w:rsidRPr="00BD36DF">
        <w:rPr>
          <w:rFonts w:ascii="Times New Roman" w:eastAsia="Times New Roman" w:hAnsi="Times New Roman" w:cs="Times New Roman"/>
          <w:color w:val="000000"/>
          <w:sz w:val="24"/>
          <w:szCs w:val="24"/>
          <w:lang w:eastAsia="sk-SK"/>
        </w:rPr>
        <w:t xml:space="preserve">, </w:t>
      </w:r>
      <w:r w:rsidR="00C46A3D" w:rsidRPr="00BD36DF">
        <w:rPr>
          <w:rFonts w:ascii="Times New Roman" w:hAnsi="Times New Roman" w:cs="Times New Roman"/>
          <w:bCs/>
          <w:sz w:val="24"/>
          <w:szCs w:val="24"/>
        </w:rPr>
        <w:t>do zákona č. 566/2001 Z.</w:t>
      </w:r>
      <w:r w:rsidR="00B22913" w:rsidRPr="00BD36DF">
        <w:rPr>
          <w:rFonts w:ascii="Times New Roman" w:hAnsi="Times New Roman" w:cs="Times New Roman"/>
          <w:bCs/>
          <w:sz w:val="24"/>
          <w:szCs w:val="24"/>
        </w:rPr>
        <w:t xml:space="preserve"> </w:t>
      </w:r>
      <w:r w:rsidR="00C46A3D" w:rsidRPr="00BD36DF">
        <w:rPr>
          <w:rFonts w:ascii="Times New Roman" w:hAnsi="Times New Roman" w:cs="Times New Roman"/>
          <w:bCs/>
          <w:sz w:val="24"/>
          <w:szCs w:val="24"/>
        </w:rPr>
        <w:t>z. o cenných papieroch a investičných službách a o zmene a doplnení niektorých zákonov (zákon o cenných papieroch) v znení neskorších predpisov, do zákona č. 39/2015 Z. z. o poisťovníctve a o zmene a doplnení niektorých zákonov v znení neskorších predpisov</w:t>
      </w:r>
      <w:r w:rsidR="0013762E" w:rsidRPr="00BD36DF">
        <w:rPr>
          <w:rFonts w:ascii="Times New Roman" w:hAnsi="Times New Roman" w:cs="Times New Roman"/>
          <w:bCs/>
          <w:sz w:val="24"/>
          <w:szCs w:val="24"/>
        </w:rPr>
        <w:t xml:space="preserve"> a</w:t>
      </w:r>
      <w:r w:rsidR="008E701A" w:rsidRPr="00BD36DF">
        <w:rPr>
          <w:rFonts w:ascii="Times New Roman" w:hAnsi="Times New Roman" w:cs="Times New Roman"/>
          <w:bCs/>
          <w:sz w:val="24"/>
          <w:szCs w:val="24"/>
        </w:rPr>
        <w:t xml:space="preserve"> do zákona č. 203/2011 Z. z. o</w:t>
      </w:r>
      <w:r w:rsidR="00B22913" w:rsidRPr="00BD36DF">
        <w:rPr>
          <w:rFonts w:ascii="Times New Roman" w:hAnsi="Times New Roman" w:cs="Times New Roman"/>
          <w:bCs/>
          <w:sz w:val="24"/>
          <w:szCs w:val="24"/>
        </w:rPr>
        <w:t> </w:t>
      </w:r>
      <w:r w:rsidR="008E701A" w:rsidRPr="00BD36DF">
        <w:rPr>
          <w:rFonts w:ascii="Times New Roman" w:hAnsi="Times New Roman" w:cs="Times New Roman"/>
          <w:bCs/>
          <w:sz w:val="24"/>
          <w:szCs w:val="24"/>
        </w:rPr>
        <w:t>kolektívnom investovaní v znení neskorších predpisov</w:t>
      </w:r>
      <w:r w:rsidR="0013762E" w:rsidRPr="00BD36DF">
        <w:rPr>
          <w:rFonts w:ascii="Times New Roman" w:hAnsi="Times New Roman" w:cs="Times New Roman"/>
          <w:bCs/>
          <w:sz w:val="24"/>
          <w:szCs w:val="24"/>
        </w:rPr>
        <w:t>.</w:t>
      </w:r>
    </w:p>
    <w:p w14:paraId="115CB95D" w14:textId="7D699FED" w:rsidR="00691CDF" w:rsidRPr="00BD36DF" w:rsidRDefault="00691CDF" w:rsidP="004A2EED">
      <w:pPr>
        <w:pStyle w:val="Odsekzoznamu"/>
        <w:spacing w:after="0" w:line="240" w:lineRule="auto"/>
        <w:jc w:val="both"/>
        <w:rPr>
          <w:rFonts w:ascii="Times New Roman" w:hAnsi="Times New Roman" w:cs="Times New Roman"/>
          <w:bCs/>
          <w:sz w:val="24"/>
          <w:szCs w:val="24"/>
        </w:rPr>
      </w:pPr>
    </w:p>
    <w:p w14:paraId="34FAD0D4" w14:textId="6DA1A971" w:rsidR="00703A5A" w:rsidRPr="00BD36DF" w:rsidRDefault="00703A5A" w:rsidP="004A2EED">
      <w:pPr>
        <w:spacing w:after="0" w:line="240" w:lineRule="auto"/>
        <w:jc w:val="both"/>
        <w:rPr>
          <w:rFonts w:ascii="Times New Roman" w:eastAsia="Times New Roman" w:hAnsi="Times New Roman" w:cs="Times New Roman"/>
          <w:sz w:val="24"/>
          <w:szCs w:val="24"/>
          <w:lang w:eastAsia="sk-SK"/>
        </w:rPr>
      </w:pPr>
    </w:p>
    <w:p w14:paraId="6AAD38BC" w14:textId="41117A06" w:rsidR="00B22913" w:rsidRPr="00BD36DF" w:rsidRDefault="00B22913" w:rsidP="00B22913">
      <w:pPr>
        <w:pStyle w:val="Odsekzoznamu"/>
        <w:numPr>
          <w:ilvl w:val="0"/>
          <w:numId w:val="1"/>
        </w:numPr>
        <w:spacing w:after="0" w:line="240" w:lineRule="auto"/>
        <w:ind w:left="426" w:hanging="426"/>
        <w:rPr>
          <w:rFonts w:ascii="Times New Roman" w:eastAsia="Times New Roman" w:hAnsi="Times New Roman" w:cs="Times New Roman"/>
          <w:sz w:val="24"/>
          <w:szCs w:val="24"/>
          <w:lang w:eastAsia="sk-SK"/>
        </w:rPr>
      </w:pPr>
      <w:r w:rsidRPr="00BD36DF">
        <w:rPr>
          <w:rFonts w:ascii="Times New Roman" w:eastAsia="Times New Roman" w:hAnsi="Times New Roman" w:cs="Times New Roman"/>
          <w:b/>
          <w:bCs/>
          <w:sz w:val="24"/>
          <w:szCs w:val="24"/>
          <w:lang w:eastAsia="sk-SK"/>
        </w:rPr>
        <w:t>Návrh zákona je zlučiteľný s právom Európskej únie:</w:t>
      </w:r>
    </w:p>
    <w:p w14:paraId="0D7FA2CE" w14:textId="518D05DA" w:rsidR="00FC287C" w:rsidRPr="00BD36DF" w:rsidRDefault="008E5A67" w:rsidP="007803A3">
      <w:pPr>
        <w:pStyle w:val="Odsekzoznamu"/>
        <w:keepNext/>
        <w:numPr>
          <w:ilvl w:val="0"/>
          <w:numId w:val="6"/>
        </w:numPr>
        <w:spacing w:after="0" w:line="240" w:lineRule="auto"/>
        <w:jc w:val="both"/>
        <w:rPr>
          <w:rFonts w:ascii="Times New Roman" w:eastAsia="Times New Roman" w:hAnsi="Times New Roman" w:cs="Times New Roman"/>
          <w:sz w:val="24"/>
          <w:szCs w:val="24"/>
          <w:lang w:eastAsia="sk-SK"/>
        </w:rPr>
      </w:pPr>
      <w:r w:rsidRPr="00BD36DF">
        <w:rPr>
          <w:rFonts w:ascii="Times New Roman" w:eastAsia="Times New Roman" w:hAnsi="Times New Roman" w:cs="Times New Roman"/>
          <w:sz w:val="24"/>
          <w:szCs w:val="24"/>
          <w:lang w:eastAsia="sk-SK"/>
        </w:rPr>
        <w:t>čiastočne</w:t>
      </w:r>
      <w:r w:rsidR="00FC287C" w:rsidRPr="00BD36DF">
        <w:rPr>
          <w:rFonts w:ascii="Times New Roman" w:eastAsia="Times New Roman" w:hAnsi="Times New Roman" w:cs="Times New Roman"/>
          <w:sz w:val="24"/>
          <w:szCs w:val="24"/>
          <w:lang w:eastAsia="sk-SK"/>
        </w:rPr>
        <w:t>.</w:t>
      </w:r>
    </w:p>
    <w:p w14:paraId="7072D74A" w14:textId="69E7ED39" w:rsidR="00CA1D86" w:rsidRDefault="00CA1D86" w:rsidP="00CA1D86">
      <w:pPr>
        <w:pStyle w:val="Odsekzoznamu"/>
        <w:keepNext/>
        <w:spacing w:after="0" w:line="240" w:lineRule="auto"/>
        <w:jc w:val="both"/>
        <w:rPr>
          <w:rFonts w:ascii="Times New Roman" w:hAnsi="Times New Roman" w:cs="Times New Roman"/>
          <w:sz w:val="24"/>
          <w:szCs w:val="24"/>
          <w:lang w:eastAsia="sk-SK"/>
        </w:rPr>
      </w:pPr>
      <w:r w:rsidRPr="00BD36DF">
        <w:rPr>
          <w:rFonts w:ascii="Times New Roman" w:hAnsi="Times New Roman" w:cs="Times New Roman"/>
          <w:sz w:val="24"/>
          <w:szCs w:val="24"/>
          <w:lang w:eastAsia="sk-SK"/>
        </w:rPr>
        <w:t xml:space="preserve">Smernica (EÚ) </w:t>
      </w:r>
      <w:r w:rsidRPr="00BD36DF">
        <w:rPr>
          <w:rFonts w:ascii="Times New Roman" w:hAnsi="Times New Roman" w:cs="Times New Roman"/>
          <w:sz w:val="24"/>
          <w:szCs w:val="24"/>
          <w:u w:val="single"/>
          <w:lang w:eastAsia="sk-SK"/>
        </w:rPr>
        <w:t>2024/1619</w:t>
      </w:r>
      <w:r w:rsidRPr="00BD36DF">
        <w:rPr>
          <w:rFonts w:ascii="Times New Roman" w:hAnsi="Times New Roman" w:cs="Times New Roman"/>
          <w:sz w:val="24"/>
          <w:szCs w:val="24"/>
          <w:lang w:eastAsia="sk-SK"/>
        </w:rPr>
        <w:t xml:space="preserve"> obsahuje nielen rámcové pravidlá, ale aj veľmi technické ustanovenia (napr. metodika identifikácie rizík), ktoré je vhodnejšie upraviť v</w:t>
      </w:r>
      <w:r w:rsidR="002D0E9E" w:rsidRPr="00BD36DF">
        <w:rPr>
          <w:rFonts w:ascii="Times New Roman" w:hAnsi="Times New Roman" w:cs="Times New Roman"/>
          <w:sz w:val="24"/>
          <w:szCs w:val="24"/>
          <w:lang w:eastAsia="sk-SK"/>
        </w:rPr>
        <w:t> sekundárnych právnych predpisoch</w:t>
      </w:r>
      <w:r w:rsidRPr="00BD36DF">
        <w:rPr>
          <w:rFonts w:ascii="Times New Roman" w:hAnsi="Times New Roman" w:cs="Times New Roman"/>
          <w:sz w:val="24"/>
          <w:szCs w:val="24"/>
          <w:lang w:eastAsia="sk-SK"/>
        </w:rPr>
        <w:t>. Z tohto dôvodu sa takéto ustanovenia transponujú do opatrení Národnej banky Slovenska, ktoré je možné jednoduchšie a rýchlejšie meniť ako zákon, najmä ak sa menia technické štandardy na úrovni EÚ alebo sa zavedú nové odporúčania Európskeho orgánu dohľadu (Európskeho orgánu pre bankovníctvo). Rovnako sa postupovalo aj pri transpozícii smernice 2013/36/EÚ, ktorú smernica (EÚ) 2024/1619 novelizuje. Národná banka Slovenska na týchto opatrenia</w:t>
      </w:r>
      <w:r w:rsidR="002D0E9E" w:rsidRPr="00BD36DF">
        <w:rPr>
          <w:rFonts w:ascii="Times New Roman" w:hAnsi="Times New Roman" w:cs="Times New Roman"/>
          <w:sz w:val="24"/>
          <w:szCs w:val="24"/>
          <w:lang w:eastAsia="sk-SK"/>
        </w:rPr>
        <w:t>ch</w:t>
      </w:r>
      <w:r w:rsidRPr="00BD36DF">
        <w:rPr>
          <w:rFonts w:ascii="Times New Roman" w:hAnsi="Times New Roman" w:cs="Times New Roman"/>
          <w:sz w:val="24"/>
          <w:szCs w:val="24"/>
          <w:lang w:eastAsia="sk-SK"/>
        </w:rPr>
        <w:t xml:space="preserve"> už v súčasnosti pracuje a termín účinnosti týchto opatrení je v súlade s transpozíciou smernice (EÚ) 2024/1619 navrhnutý na 11. januára 202</w:t>
      </w:r>
      <w:r w:rsidR="002D0E9E" w:rsidRPr="00BD36DF">
        <w:rPr>
          <w:rFonts w:ascii="Times New Roman" w:hAnsi="Times New Roman" w:cs="Times New Roman"/>
          <w:sz w:val="24"/>
          <w:szCs w:val="24"/>
          <w:lang w:eastAsia="sk-SK"/>
        </w:rPr>
        <w:t>6</w:t>
      </w:r>
      <w:r w:rsidRPr="00BD36DF">
        <w:rPr>
          <w:rFonts w:ascii="Times New Roman" w:hAnsi="Times New Roman" w:cs="Times New Roman"/>
          <w:sz w:val="24"/>
          <w:szCs w:val="24"/>
          <w:lang w:eastAsia="sk-SK"/>
        </w:rPr>
        <w:t>. Prijatím týchto opatrení Národnej banky Slovenska sa dosiahne úplná zhoda so smernicou (EÚ) 2024/1619, a bude tak možné vykonať notifikáciu predmetnej smernice a vykázať úplnú zlučiteľnosť.</w:t>
      </w:r>
      <w:r>
        <w:rPr>
          <w:rFonts w:ascii="Times New Roman" w:hAnsi="Times New Roman" w:cs="Times New Roman"/>
          <w:sz w:val="24"/>
          <w:szCs w:val="24"/>
          <w:lang w:eastAsia="sk-SK"/>
        </w:rPr>
        <w:t xml:space="preserve"> </w:t>
      </w:r>
    </w:p>
    <w:p w14:paraId="749569E9" w14:textId="49DF88D3" w:rsidR="00FE77D3" w:rsidRDefault="00FE77D3" w:rsidP="004A2EED">
      <w:pPr>
        <w:spacing w:line="240" w:lineRule="auto"/>
        <w:rPr>
          <w:rFonts w:ascii="Times New Roman" w:hAnsi="Times New Roman" w:cs="Times New Roman"/>
          <w:sz w:val="24"/>
          <w:szCs w:val="24"/>
        </w:rPr>
      </w:pPr>
    </w:p>
    <w:sectPr w:rsidR="00FE77D3">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2CF4" w14:textId="77777777" w:rsidR="00030295" w:rsidRDefault="00030295" w:rsidP="00C4408B">
      <w:pPr>
        <w:spacing w:after="0" w:line="240" w:lineRule="auto"/>
      </w:pPr>
      <w:r>
        <w:separator/>
      </w:r>
    </w:p>
  </w:endnote>
  <w:endnote w:type="continuationSeparator" w:id="0">
    <w:p w14:paraId="4B4F8224" w14:textId="77777777" w:rsidR="00030295" w:rsidRDefault="00030295" w:rsidP="00C4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E371" w14:textId="06740F5F" w:rsidR="00BD36DF" w:rsidRDefault="00BD36D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FF63" w14:textId="30A6B4D5" w:rsidR="00C4408B" w:rsidRPr="00C4408B" w:rsidRDefault="00000000">
    <w:pPr>
      <w:pStyle w:val="Pta"/>
      <w:jc w:val="right"/>
      <w:rPr>
        <w:rFonts w:ascii="Times New Roman" w:hAnsi="Times New Roman" w:cs="Times New Roman"/>
        <w:sz w:val="24"/>
        <w:szCs w:val="24"/>
      </w:rPr>
    </w:pPr>
    <w:sdt>
      <w:sdtPr>
        <w:id w:val="1532994682"/>
        <w:docPartObj>
          <w:docPartGallery w:val="Page Numbers (Bottom of Page)"/>
          <w:docPartUnique/>
        </w:docPartObj>
      </w:sdtPr>
      <w:sdtEndPr>
        <w:rPr>
          <w:rFonts w:ascii="Times New Roman" w:hAnsi="Times New Roman" w:cs="Times New Roman"/>
          <w:sz w:val="24"/>
          <w:szCs w:val="24"/>
        </w:rPr>
      </w:sdtEndPr>
      <w:sdtContent>
        <w:r w:rsidR="00C4408B" w:rsidRPr="00C4408B">
          <w:rPr>
            <w:rFonts w:ascii="Times New Roman" w:hAnsi="Times New Roman" w:cs="Times New Roman"/>
            <w:sz w:val="24"/>
            <w:szCs w:val="24"/>
          </w:rPr>
          <w:fldChar w:fldCharType="begin"/>
        </w:r>
        <w:r w:rsidR="00C4408B" w:rsidRPr="00C4408B">
          <w:rPr>
            <w:rFonts w:ascii="Times New Roman" w:hAnsi="Times New Roman" w:cs="Times New Roman"/>
            <w:sz w:val="24"/>
            <w:szCs w:val="24"/>
          </w:rPr>
          <w:instrText>PAGE   \* MERGEFORMAT</w:instrText>
        </w:r>
        <w:r w:rsidR="00C4408B" w:rsidRPr="00C4408B">
          <w:rPr>
            <w:rFonts w:ascii="Times New Roman" w:hAnsi="Times New Roman" w:cs="Times New Roman"/>
            <w:sz w:val="24"/>
            <w:szCs w:val="24"/>
          </w:rPr>
          <w:fldChar w:fldCharType="separate"/>
        </w:r>
        <w:r w:rsidR="00331902">
          <w:rPr>
            <w:rFonts w:ascii="Times New Roman" w:hAnsi="Times New Roman" w:cs="Times New Roman"/>
            <w:noProof/>
            <w:sz w:val="24"/>
            <w:szCs w:val="24"/>
          </w:rPr>
          <w:t>6</w:t>
        </w:r>
        <w:r w:rsidR="00C4408B" w:rsidRPr="00C4408B">
          <w:rPr>
            <w:rFonts w:ascii="Times New Roman" w:hAnsi="Times New Roman" w:cs="Times New Roman"/>
            <w:sz w:val="24"/>
            <w:szCs w:val="24"/>
          </w:rPr>
          <w:fldChar w:fldCharType="end"/>
        </w:r>
      </w:sdtContent>
    </w:sdt>
  </w:p>
  <w:p w14:paraId="5799057B" w14:textId="77777777" w:rsidR="00C4408B" w:rsidRDefault="00C4408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D860" w14:textId="66DFBEC7" w:rsidR="00BD36DF" w:rsidRDefault="00BD36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61EE" w14:textId="77777777" w:rsidR="00030295" w:rsidRDefault="00030295" w:rsidP="00C4408B">
      <w:pPr>
        <w:spacing w:after="0" w:line="240" w:lineRule="auto"/>
      </w:pPr>
      <w:r>
        <w:separator/>
      </w:r>
    </w:p>
  </w:footnote>
  <w:footnote w:type="continuationSeparator" w:id="0">
    <w:p w14:paraId="227A3461" w14:textId="77777777" w:rsidR="00030295" w:rsidRDefault="00030295" w:rsidP="00C44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43769F2"/>
    <w:multiLevelType w:val="hybridMultilevel"/>
    <w:tmpl w:val="68D89D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464723"/>
    <w:multiLevelType w:val="hybridMultilevel"/>
    <w:tmpl w:val="6E6E07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F7215EE"/>
    <w:multiLevelType w:val="hybridMultilevel"/>
    <w:tmpl w:val="2D4C2E7A"/>
    <w:lvl w:ilvl="0" w:tplc="291A588A">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301960212">
    <w:abstractNumId w:val="4"/>
  </w:num>
  <w:num w:numId="2" w16cid:durableId="1039016224">
    <w:abstractNumId w:val="3"/>
  </w:num>
  <w:num w:numId="3" w16cid:durableId="2022853614">
    <w:abstractNumId w:val="0"/>
  </w:num>
  <w:num w:numId="4" w16cid:durableId="1494250298">
    <w:abstractNumId w:val="5"/>
  </w:num>
  <w:num w:numId="5" w16cid:durableId="1374496729">
    <w:abstractNumId w:val="6"/>
  </w:num>
  <w:num w:numId="6" w16cid:durableId="1123115956">
    <w:abstractNumId w:val="2"/>
  </w:num>
  <w:num w:numId="7" w16cid:durableId="1345669227">
    <w:abstractNumId w:val="7"/>
  </w:num>
  <w:num w:numId="8" w16cid:durableId="152151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EA"/>
    <w:rsid w:val="00030295"/>
    <w:rsid w:val="0005256E"/>
    <w:rsid w:val="00052A35"/>
    <w:rsid w:val="00060915"/>
    <w:rsid w:val="00070450"/>
    <w:rsid w:val="00073D73"/>
    <w:rsid w:val="00081F53"/>
    <w:rsid w:val="0008583C"/>
    <w:rsid w:val="000966F7"/>
    <w:rsid w:val="00096AAA"/>
    <w:rsid w:val="000A25FD"/>
    <w:rsid w:val="000B55DC"/>
    <w:rsid w:val="000C6E3F"/>
    <w:rsid w:val="000D5A2E"/>
    <w:rsid w:val="000E0215"/>
    <w:rsid w:val="0013762E"/>
    <w:rsid w:val="00153A48"/>
    <w:rsid w:val="00157566"/>
    <w:rsid w:val="00161545"/>
    <w:rsid w:val="00162679"/>
    <w:rsid w:val="00177112"/>
    <w:rsid w:val="00190910"/>
    <w:rsid w:val="001A45EA"/>
    <w:rsid w:val="001C1B33"/>
    <w:rsid w:val="001C3D41"/>
    <w:rsid w:val="001C51C8"/>
    <w:rsid w:val="001F76F8"/>
    <w:rsid w:val="00206E90"/>
    <w:rsid w:val="002119D1"/>
    <w:rsid w:val="00227F46"/>
    <w:rsid w:val="002368B5"/>
    <w:rsid w:val="00263193"/>
    <w:rsid w:val="002756D7"/>
    <w:rsid w:val="00275773"/>
    <w:rsid w:val="0028065B"/>
    <w:rsid w:val="0029721F"/>
    <w:rsid w:val="002A1F18"/>
    <w:rsid w:val="002A6C7C"/>
    <w:rsid w:val="002B0D2F"/>
    <w:rsid w:val="002B50D4"/>
    <w:rsid w:val="002D0E9E"/>
    <w:rsid w:val="002D41CE"/>
    <w:rsid w:val="00310BD7"/>
    <w:rsid w:val="003236C4"/>
    <w:rsid w:val="00324745"/>
    <w:rsid w:val="003313D7"/>
    <w:rsid w:val="00331902"/>
    <w:rsid w:val="00355278"/>
    <w:rsid w:val="0037035C"/>
    <w:rsid w:val="0037545C"/>
    <w:rsid w:val="00383198"/>
    <w:rsid w:val="003852A4"/>
    <w:rsid w:val="003A68BE"/>
    <w:rsid w:val="003A7079"/>
    <w:rsid w:val="003B4875"/>
    <w:rsid w:val="003C3D7A"/>
    <w:rsid w:val="003D26AE"/>
    <w:rsid w:val="003F4A13"/>
    <w:rsid w:val="00404928"/>
    <w:rsid w:val="00420AAC"/>
    <w:rsid w:val="00420E4F"/>
    <w:rsid w:val="00421C1D"/>
    <w:rsid w:val="0044385D"/>
    <w:rsid w:val="00452619"/>
    <w:rsid w:val="00454131"/>
    <w:rsid w:val="0046235E"/>
    <w:rsid w:val="00465BA7"/>
    <w:rsid w:val="00491B03"/>
    <w:rsid w:val="00492483"/>
    <w:rsid w:val="004976EE"/>
    <w:rsid w:val="004A2EED"/>
    <w:rsid w:val="004C724E"/>
    <w:rsid w:val="004D1F27"/>
    <w:rsid w:val="004E0547"/>
    <w:rsid w:val="004E44C2"/>
    <w:rsid w:val="00500B5E"/>
    <w:rsid w:val="00514938"/>
    <w:rsid w:val="005251A9"/>
    <w:rsid w:val="00535494"/>
    <w:rsid w:val="00545C2B"/>
    <w:rsid w:val="00573428"/>
    <w:rsid w:val="005B6560"/>
    <w:rsid w:val="005C3DF0"/>
    <w:rsid w:val="005D058B"/>
    <w:rsid w:val="005F011A"/>
    <w:rsid w:val="005F2A3E"/>
    <w:rsid w:val="006334AC"/>
    <w:rsid w:val="006374BB"/>
    <w:rsid w:val="00637A26"/>
    <w:rsid w:val="00640551"/>
    <w:rsid w:val="006419F9"/>
    <w:rsid w:val="006457F5"/>
    <w:rsid w:val="00647DE8"/>
    <w:rsid w:val="00652965"/>
    <w:rsid w:val="0066046F"/>
    <w:rsid w:val="0066120D"/>
    <w:rsid w:val="00661EEE"/>
    <w:rsid w:val="00674762"/>
    <w:rsid w:val="00677E30"/>
    <w:rsid w:val="00690F37"/>
    <w:rsid w:val="00691CDF"/>
    <w:rsid w:val="00693C75"/>
    <w:rsid w:val="0069426A"/>
    <w:rsid w:val="006A0004"/>
    <w:rsid w:val="006B2F95"/>
    <w:rsid w:val="006C37E9"/>
    <w:rsid w:val="006D3ABD"/>
    <w:rsid w:val="006D7811"/>
    <w:rsid w:val="006E384A"/>
    <w:rsid w:val="006F2597"/>
    <w:rsid w:val="006F2598"/>
    <w:rsid w:val="00703A5A"/>
    <w:rsid w:val="00711F71"/>
    <w:rsid w:val="00713935"/>
    <w:rsid w:val="00717F51"/>
    <w:rsid w:val="0073192F"/>
    <w:rsid w:val="00747158"/>
    <w:rsid w:val="007653D3"/>
    <w:rsid w:val="00776A0B"/>
    <w:rsid w:val="007803A3"/>
    <w:rsid w:val="007828B6"/>
    <w:rsid w:val="00793391"/>
    <w:rsid w:val="007A5D57"/>
    <w:rsid w:val="007A5E5D"/>
    <w:rsid w:val="007A60B4"/>
    <w:rsid w:val="007B44D4"/>
    <w:rsid w:val="007C368C"/>
    <w:rsid w:val="007D05FA"/>
    <w:rsid w:val="007D096C"/>
    <w:rsid w:val="007D680D"/>
    <w:rsid w:val="007E4D20"/>
    <w:rsid w:val="007F1021"/>
    <w:rsid w:val="008077B4"/>
    <w:rsid w:val="00831525"/>
    <w:rsid w:val="0083577F"/>
    <w:rsid w:val="00835989"/>
    <w:rsid w:val="00851397"/>
    <w:rsid w:val="008545C6"/>
    <w:rsid w:val="0086636E"/>
    <w:rsid w:val="0088317A"/>
    <w:rsid w:val="008A17E1"/>
    <w:rsid w:val="008A22A7"/>
    <w:rsid w:val="008D01DE"/>
    <w:rsid w:val="008D0846"/>
    <w:rsid w:val="008E5A67"/>
    <w:rsid w:val="008E6BDC"/>
    <w:rsid w:val="008E701A"/>
    <w:rsid w:val="00902C5A"/>
    <w:rsid w:val="00953A3F"/>
    <w:rsid w:val="00957886"/>
    <w:rsid w:val="00963CA9"/>
    <w:rsid w:val="00964067"/>
    <w:rsid w:val="009666E9"/>
    <w:rsid w:val="00966B70"/>
    <w:rsid w:val="0099136C"/>
    <w:rsid w:val="009A06AE"/>
    <w:rsid w:val="009B0697"/>
    <w:rsid w:val="009B130A"/>
    <w:rsid w:val="009C04AA"/>
    <w:rsid w:val="009C6860"/>
    <w:rsid w:val="009D3CF5"/>
    <w:rsid w:val="009E472E"/>
    <w:rsid w:val="009E6F3D"/>
    <w:rsid w:val="00A142A1"/>
    <w:rsid w:val="00A23908"/>
    <w:rsid w:val="00A23E2F"/>
    <w:rsid w:val="00A356C3"/>
    <w:rsid w:val="00A36D07"/>
    <w:rsid w:val="00A523B6"/>
    <w:rsid w:val="00A5791A"/>
    <w:rsid w:val="00A64517"/>
    <w:rsid w:val="00A6678A"/>
    <w:rsid w:val="00A8450F"/>
    <w:rsid w:val="00A87CFA"/>
    <w:rsid w:val="00AC4665"/>
    <w:rsid w:val="00AD30B6"/>
    <w:rsid w:val="00AE762B"/>
    <w:rsid w:val="00AF118E"/>
    <w:rsid w:val="00AF20F9"/>
    <w:rsid w:val="00AF48BB"/>
    <w:rsid w:val="00AF4FE1"/>
    <w:rsid w:val="00B00EB7"/>
    <w:rsid w:val="00B11CB7"/>
    <w:rsid w:val="00B1399D"/>
    <w:rsid w:val="00B22913"/>
    <w:rsid w:val="00B32EC4"/>
    <w:rsid w:val="00B33547"/>
    <w:rsid w:val="00B375F3"/>
    <w:rsid w:val="00B42189"/>
    <w:rsid w:val="00B448E2"/>
    <w:rsid w:val="00B4704E"/>
    <w:rsid w:val="00B604FE"/>
    <w:rsid w:val="00B615EA"/>
    <w:rsid w:val="00B63700"/>
    <w:rsid w:val="00B64C78"/>
    <w:rsid w:val="00B8269F"/>
    <w:rsid w:val="00B852D3"/>
    <w:rsid w:val="00B93B56"/>
    <w:rsid w:val="00B95454"/>
    <w:rsid w:val="00BA6B55"/>
    <w:rsid w:val="00BB1703"/>
    <w:rsid w:val="00BB1DDF"/>
    <w:rsid w:val="00BB2BF0"/>
    <w:rsid w:val="00BD36DF"/>
    <w:rsid w:val="00BD50F9"/>
    <w:rsid w:val="00BD614F"/>
    <w:rsid w:val="00BE1EED"/>
    <w:rsid w:val="00BE2C02"/>
    <w:rsid w:val="00BE7CAB"/>
    <w:rsid w:val="00BF61D8"/>
    <w:rsid w:val="00C02C4C"/>
    <w:rsid w:val="00C0332F"/>
    <w:rsid w:val="00C14B99"/>
    <w:rsid w:val="00C4408B"/>
    <w:rsid w:val="00C46A3D"/>
    <w:rsid w:val="00C516E1"/>
    <w:rsid w:val="00C604D2"/>
    <w:rsid w:val="00C86C8A"/>
    <w:rsid w:val="00CA1D86"/>
    <w:rsid w:val="00CC4402"/>
    <w:rsid w:val="00D24B47"/>
    <w:rsid w:val="00D24FA9"/>
    <w:rsid w:val="00D2667D"/>
    <w:rsid w:val="00D63CCE"/>
    <w:rsid w:val="00D67546"/>
    <w:rsid w:val="00D927F4"/>
    <w:rsid w:val="00D9297E"/>
    <w:rsid w:val="00D972FC"/>
    <w:rsid w:val="00DA57D0"/>
    <w:rsid w:val="00DA5F66"/>
    <w:rsid w:val="00DC046F"/>
    <w:rsid w:val="00DC0F4E"/>
    <w:rsid w:val="00DC2689"/>
    <w:rsid w:val="00DC4F1E"/>
    <w:rsid w:val="00DD7D3D"/>
    <w:rsid w:val="00DE539C"/>
    <w:rsid w:val="00DF77BD"/>
    <w:rsid w:val="00E01941"/>
    <w:rsid w:val="00E3335B"/>
    <w:rsid w:val="00E33E9F"/>
    <w:rsid w:val="00E43F17"/>
    <w:rsid w:val="00E575E6"/>
    <w:rsid w:val="00E7659F"/>
    <w:rsid w:val="00EB09DC"/>
    <w:rsid w:val="00ED29B3"/>
    <w:rsid w:val="00EE1D04"/>
    <w:rsid w:val="00EE3B2A"/>
    <w:rsid w:val="00F15AB7"/>
    <w:rsid w:val="00F2168D"/>
    <w:rsid w:val="00F30AE6"/>
    <w:rsid w:val="00F314EF"/>
    <w:rsid w:val="00F43F25"/>
    <w:rsid w:val="00F45F0B"/>
    <w:rsid w:val="00F52EDE"/>
    <w:rsid w:val="00F53D97"/>
    <w:rsid w:val="00F765A4"/>
    <w:rsid w:val="00F84063"/>
    <w:rsid w:val="00F87E37"/>
    <w:rsid w:val="00F87FBA"/>
    <w:rsid w:val="00F9215F"/>
    <w:rsid w:val="00F928EA"/>
    <w:rsid w:val="00FB018C"/>
    <w:rsid w:val="00FB7EF9"/>
    <w:rsid w:val="00FC287C"/>
    <w:rsid w:val="00FE03BB"/>
    <w:rsid w:val="00FE2B7D"/>
    <w:rsid w:val="00FE6751"/>
    <w:rsid w:val="00FE77D3"/>
    <w:rsid w:val="00FF0C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4A9B"/>
  <w15:docId w15:val="{9908D2B7-CF96-40FC-807C-D78F3359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1A45EA"/>
  </w:style>
  <w:style w:type="character" w:styleId="Hypertextovprepojenie">
    <w:name w:val="Hyperlink"/>
    <w:basedOn w:val="Predvolenpsmoodseku"/>
    <w:uiPriority w:val="99"/>
    <w:semiHidden/>
    <w:unhideWhenUsed/>
    <w:rsid w:val="001A45EA"/>
    <w:rPr>
      <w:color w:val="0000FF"/>
      <w:u w:val="single"/>
    </w:rPr>
  </w:style>
  <w:style w:type="paragraph" w:styleId="Odsekzoznamu">
    <w:name w:val="List Paragraph"/>
    <w:aliases w:val="Odstavec cíl se seznamem,Odstavec se seznamem1,body,Odsek zoznamu2"/>
    <w:basedOn w:val="Normlny"/>
    <w:link w:val="OdsekzoznamuChar"/>
    <w:uiPriority w:val="34"/>
    <w:qFormat/>
    <w:rsid w:val="001A45EA"/>
    <w:pPr>
      <w:ind w:left="720"/>
      <w:contextualSpacing/>
    </w:pPr>
  </w:style>
  <w:style w:type="character" w:customStyle="1" w:styleId="awspan1">
    <w:name w:val="awspan1"/>
    <w:basedOn w:val="Predvolenpsmoodseku"/>
    <w:rsid w:val="00B11CB7"/>
    <w:rPr>
      <w:rFonts w:cs="Times New Roman"/>
      <w:color w:val="000000"/>
      <w:sz w:val="24"/>
      <w:szCs w:val="24"/>
    </w:rPr>
  </w:style>
  <w:style w:type="character" w:styleId="Zvraznenie">
    <w:name w:val="Emphasis"/>
    <w:basedOn w:val="Predvolenpsmoodseku"/>
    <w:uiPriority w:val="20"/>
    <w:qFormat/>
    <w:rsid w:val="00DC046F"/>
    <w:rPr>
      <w:i/>
      <w:iCs/>
    </w:rPr>
  </w:style>
  <w:style w:type="paragraph" w:styleId="Normlnywebov">
    <w:name w:val="Normal (Web)"/>
    <w:basedOn w:val="Normlny"/>
    <w:uiPriority w:val="99"/>
    <w:semiHidden/>
    <w:unhideWhenUsed/>
    <w:rsid w:val="00DC046F"/>
    <w:pPr>
      <w:spacing w:before="100" w:beforeAutospacing="1" w:after="100" w:afterAutospacing="1" w:line="240" w:lineRule="auto"/>
    </w:pPr>
    <w:rPr>
      <w:rFonts w:ascii="Times New Roman" w:hAnsi="Times New Roman" w:cs="Times New Roman"/>
      <w:sz w:val="24"/>
      <w:szCs w:val="24"/>
      <w:lang w:eastAsia="sk-SK"/>
    </w:rPr>
  </w:style>
  <w:style w:type="paragraph" w:customStyle="1" w:styleId="gmail-c02alineaalta">
    <w:name w:val="gmail-c02alineaalta"/>
    <w:basedOn w:val="Normlny"/>
    <w:rsid w:val="009B130A"/>
    <w:pPr>
      <w:spacing w:before="100" w:beforeAutospacing="1" w:after="100" w:afterAutospacing="1" w:line="240" w:lineRule="auto"/>
    </w:pPr>
    <w:rPr>
      <w:rFonts w:ascii="Times New Roman" w:hAnsi="Times New Roman" w:cs="Times New Roman"/>
      <w:sz w:val="24"/>
      <w:szCs w:val="24"/>
      <w:lang w:eastAsia="sk-SK"/>
    </w:rPr>
  </w:style>
  <w:style w:type="paragraph" w:customStyle="1" w:styleId="gmail-c08dispositif">
    <w:name w:val="gmail-c08dispositif"/>
    <w:basedOn w:val="Normlny"/>
    <w:rsid w:val="009B130A"/>
    <w:pPr>
      <w:spacing w:before="100" w:beforeAutospacing="1" w:after="100" w:afterAutospacing="1" w:line="240" w:lineRule="auto"/>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190910"/>
    <w:rPr>
      <w:sz w:val="16"/>
      <w:szCs w:val="16"/>
    </w:rPr>
  </w:style>
  <w:style w:type="paragraph" w:styleId="Textkomentra">
    <w:name w:val="annotation text"/>
    <w:basedOn w:val="Normlny"/>
    <w:link w:val="TextkomentraChar"/>
    <w:uiPriority w:val="99"/>
    <w:semiHidden/>
    <w:unhideWhenUsed/>
    <w:rsid w:val="00190910"/>
    <w:pPr>
      <w:spacing w:line="240" w:lineRule="auto"/>
    </w:pPr>
    <w:rPr>
      <w:sz w:val="20"/>
      <w:szCs w:val="20"/>
    </w:rPr>
  </w:style>
  <w:style w:type="character" w:customStyle="1" w:styleId="TextkomentraChar">
    <w:name w:val="Text komentára Char"/>
    <w:basedOn w:val="Predvolenpsmoodseku"/>
    <w:link w:val="Textkomentra"/>
    <w:uiPriority w:val="99"/>
    <w:semiHidden/>
    <w:rsid w:val="00190910"/>
    <w:rPr>
      <w:sz w:val="20"/>
      <w:szCs w:val="20"/>
    </w:rPr>
  </w:style>
  <w:style w:type="paragraph" w:styleId="Predmetkomentra">
    <w:name w:val="annotation subject"/>
    <w:basedOn w:val="Textkomentra"/>
    <w:next w:val="Textkomentra"/>
    <w:link w:val="PredmetkomentraChar"/>
    <w:uiPriority w:val="99"/>
    <w:semiHidden/>
    <w:unhideWhenUsed/>
    <w:rsid w:val="00190910"/>
    <w:rPr>
      <w:b/>
      <w:bCs/>
    </w:rPr>
  </w:style>
  <w:style w:type="character" w:customStyle="1" w:styleId="PredmetkomentraChar">
    <w:name w:val="Predmet komentára Char"/>
    <w:basedOn w:val="TextkomentraChar"/>
    <w:link w:val="Predmetkomentra"/>
    <w:uiPriority w:val="99"/>
    <w:semiHidden/>
    <w:rsid w:val="00190910"/>
    <w:rPr>
      <w:b/>
      <w:bCs/>
      <w:sz w:val="20"/>
      <w:szCs w:val="20"/>
    </w:rPr>
  </w:style>
  <w:style w:type="paragraph" w:styleId="Textbubliny">
    <w:name w:val="Balloon Text"/>
    <w:basedOn w:val="Normlny"/>
    <w:link w:val="TextbublinyChar"/>
    <w:uiPriority w:val="99"/>
    <w:semiHidden/>
    <w:unhideWhenUsed/>
    <w:rsid w:val="001909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0910"/>
    <w:rPr>
      <w:rFonts w:ascii="Segoe UI" w:hAnsi="Segoe UI" w:cs="Segoe UI"/>
      <w:sz w:val="18"/>
      <w:szCs w:val="18"/>
    </w:rPr>
  </w:style>
  <w:style w:type="paragraph" w:styleId="Hlavika">
    <w:name w:val="header"/>
    <w:basedOn w:val="Normlny"/>
    <w:link w:val="HlavikaChar"/>
    <w:uiPriority w:val="99"/>
    <w:unhideWhenUsed/>
    <w:rsid w:val="00C4408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408B"/>
  </w:style>
  <w:style w:type="paragraph" w:styleId="Pta">
    <w:name w:val="footer"/>
    <w:basedOn w:val="Normlny"/>
    <w:link w:val="PtaChar"/>
    <w:uiPriority w:val="99"/>
    <w:unhideWhenUsed/>
    <w:rsid w:val="00C4408B"/>
    <w:pPr>
      <w:tabs>
        <w:tab w:val="center" w:pos="4536"/>
        <w:tab w:val="right" w:pos="9072"/>
      </w:tabs>
      <w:spacing w:after="0" w:line="240" w:lineRule="auto"/>
    </w:pPr>
  </w:style>
  <w:style w:type="character" w:customStyle="1" w:styleId="PtaChar">
    <w:name w:val="Päta Char"/>
    <w:basedOn w:val="Predvolenpsmoodseku"/>
    <w:link w:val="Pta"/>
    <w:uiPriority w:val="99"/>
    <w:rsid w:val="00C4408B"/>
  </w:style>
  <w:style w:type="paragraph" w:styleId="Zkladntext">
    <w:name w:val="Body Text"/>
    <w:basedOn w:val="Normlny"/>
    <w:link w:val="ZkladntextChar"/>
    <w:uiPriority w:val="99"/>
    <w:semiHidden/>
    <w:unhideWhenUsed/>
    <w:rsid w:val="003D26AE"/>
    <w:pPr>
      <w:spacing w:after="120" w:line="240" w:lineRule="auto"/>
    </w:pPr>
    <w:rPr>
      <w:rFonts w:ascii="Times New Roman" w:hAnsi="Times New Roman" w:cs="Times New Roman"/>
      <w:sz w:val="24"/>
      <w:szCs w:val="24"/>
      <w:lang w:eastAsia="cs-CZ"/>
    </w:rPr>
  </w:style>
  <w:style w:type="character" w:customStyle="1" w:styleId="ZkladntextChar">
    <w:name w:val="Základný text Char"/>
    <w:basedOn w:val="Predvolenpsmoodseku"/>
    <w:link w:val="Zkladntext"/>
    <w:uiPriority w:val="99"/>
    <w:semiHidden/>
    <w:rsid w:val="003D26AE"/>
    <w:rPr>
      <w:rFonts w:ascii="Times New Roman" w:hAnsi="Times New Roman" w:cs="Times New Roman"/>
      <w:sz w:val="24"/>
      <w:szCs w:val="24"/>
      <w:lang w:eastAsia="cs-CZ"/>
    </w:rPr>
  </w:style>
  <w:style w:type="character" w:customStyle="1" w:styleId="OdsekzoznamuChar">
    <w:name w:val="Odsek zoznamu Char"/>
    <w:aliases w:val="Odstavec cíl se seznamem Char,Odstavec se seznamem1 Char,body Char,Odsek zoznamu2 Char"/>
    <w:basedOn w:val="Predvolenpsmoodseku"/>
    <w:link w:val="Odsekzoznamu"/>
    <w:uiPriority w:val="34"/>
    <w:locked/>
    <w:rsid w:val="00691CDF"/>
  </w:style>
  <w:style w:type="character" w:styleId="Vrazn">
    <w:name w:val="Strong"/>
    <w:basedOn w:val="Predvolenpsmoodseku"/>
    <w:uiPriority w:val="99"/>
    <w:qFormat/>
    <w:rsid w:val="00691CDF"/>
    <w:rPr>
      <w:rFonts w:cs="Times New Roman"/>
      <w:b/>
      <w:bCs/>
    </w:rPr>
  </w:style>
  <w:style w:type="character" w:customStyle="1" w:styleId="cf01">
    <w:name w:val="cf01"/>
    <w:basedOn w:val="Predvolenpsmoodseku"/>
    <w:rsid w:val="00963CA9"/>
    <w:rPr>
      <w:rFonts w:ascii="Segoe UI" w:hAnsi="Segoe UI" w:cs="Segoe UI" w:hint="default"/>
      <w:sz w:val="18"/>
      <w:szCs w:val="18"/>
    </w:rPr>
  </w:style>
  <w:style w:type="character" w:customStyle="1" w:styleId="cf11">
    <w:name w:val="cf11"/>
    <w:basedOn w:val="Predvolenpsmoodseku"/>
    <w:rsid w:val="00963CA9"/>
    <w:rPr>
      <w:rFonts w:ascii="Segoe UI" w:hAnsi="Segoe UI" w:cs="Segoe UI" w:hint="default"/>
      <w:i/>
      <w:iCs/>
      <w:color w:val="333333"/>
      <w:sz w:val="18"/>
      <w:szCs w:val="18"/>
    </w:rPr>
  </w:style>
  <w:style w:type="character" w:customStyle="1" w:styleId="cf21">
    <w:name w:val="cf21"/>
    <w:basedOn w:val="Predvolenpsmoodseku"/>
    <w:rsid w:val="00963CA9"/>
    <w:rPr>
      <w:rFonts w:ascii="Segoe UI" w:hAnsi="Segoe UI" w:cs="Segoe UI" w:hint="default"/>
      <w:color w:val="333333"/>
      <w:sz w:val="18"/>
      <w:szCs w:val="18"/>
    </w:rPr>
  </w:style>
  <w:style w:type="paragraph" w:customStyle="1" w:styleId="c08dispositif">
    <w:name w:val="c08dispositif"/>
    <w:basedOn w:val="Normlny"/>
    <w:rsid w:val="00A36D0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787">
      <w:bodyDiv w:val="1"/>
      <w:marLeft w:val="0"/>
      <w:marRight w:val="0"/>
      <w:marTop w:val="0"/>
      <w:marBottom w:val="0"/>
      <w:divBdr>
        <w:top w:val="none" w:sz="0" w:space="0" w:color="auto"/>
        <w:left w:val="none" w:sz="0" w:space="0" w:color="auto"/>
        <w:bottom w:val="none" w:sz="0" w:space="0" w:color="auto"/>
        <w:right w:val="none" w:sz="0" w:space="0" w:color="auto"/>
      </w:divBdr>
    </w:div>
    <w:div w:id="151721829">
      <w:bodyDiv w:val="1"/>
      <w:marLeft w:val="0"/>
      <w:marRight w:val="0"/>
      <w:marTop w:val="0"/>
      <w:marBottom w:val="0"/>
      <w:divBdr>
        <w:top w:val="none" w:sz="0" w:space="0" w:color="auto"/>
        <w:left w:val="none" w:sz="0" w:space="0" w:color="auto"/>
        <w:bottom w:val="none" w:sz="0" w:space="0" w:color="auto"/>
        <w:right w:val="none" w:sz="0" w:space="0" w:color="auto"/>
      </w:divBdr>
    </w:div>
    <w:div w:id="452945780">
      <w:bodyDiv w:val="1"/>
      <w:marLeft w:val="0"/>
      <w:marRight w:val="0"/>
      <w:marTop w:val="0"/>
      <w:marBottom w:val="0"/>
      <w:divBdr>
        <w:top w:val="none" w:sz="0" w:space="0" w:color="auto"/>
        <w:left w:val="none" w:sz="0" w:space="0" w:color="auto"/>
        <w:bottom w:val="none" w:sz="0" w:space="0" w:color="auto"/>
        <w:right w:val="none" w:sz="0" w:space="0" w:color="auto"/>
      </w:divBdr>
    </w:div>
    <w:div w:id="789325907">
      <w:bodyDiv w:val="1"/>
      <w:marLeft w:val="0"/>
      <w:marRight w:val="0"/>
      <w:marTop w:val="0"/>
      <w:marBottom w:val="0"/>
      <w:divBdr>
        <w:top w:val="none" w:sz="0" w:space="0" w:color="auto"/>
        <w:left w:val="none" w:sz="0" w:space="0" w:color="auto"/>
        <w:bottom w:val="none" w:sz="0" w:space="0" w:color="auto"/>
        <w:right w:val="none" w:sz="0" w:space="0" w:color="auto"/>
      </w:divBdr>
    </w:div>
    <w:div w:id="1137456382">
      <w:bodyDiv w:val="1"/>
      <w:marLeft w:val="0"/>
      <w:marRight w:val="0"/>
      <w:marTop w:val="0"/>
      <w:marBottom w:val="0"/>
      <w:divBdr>
        <w:top w:val="none" w:sz="0" w:space="0" w:color="auto"/>
        <w:left w:val="none" w:sz="0" w:space="0" w:color="auto"/>
        <w:bottom w:val="none" w:sz="0" w:space="0" w:color="auto"/>
        <w:right w:val="none" w:sz="0" w:space="0" w:color="auto"/>
      </w:divBdr>
    </w:div>
    <w:div w:id="1212420100">
      <w:bodyDiv w:val="1"/>
      <w:marLeft w:val="0"/>
      <w:marRight w:val="0"/>
      <w:marTop w:val="0"/>
      <w:marBottom w:val="0"/>
      <w:divBdr>
        <w:top w:val="none" w:sz="0" w:space="0" w:color="auto"/>
        <w:left w:val="none" w:sz="0" w:space="0" w:color="auto"/>
        <w:bottom w:val="none" w:sz="0" w:space="0" w:color="auto"/>
        <w:right w:val="none" w:sz="0" w:space="0" w:color="auto"/>
      </w:divBdr>
    </w:div>
    <w:div w:id="1237351565">
      <w:bodyDiv w:val="1"/>
      <w:marLeft w:val="0"/>
      <w:marRight w:val="0"/>
      <w:marTop w:val="0"/>
      <w:marBottom w:val="0"/>
      <w:divBdr>
        <w:top w:val="none" w:sz="0" w:space="0" w:color="auto"/>
        <w:left w:val="none" w:sz="0" w:space="0" w:color="auto"/>
        <w:bottom w:val="none" w:sz="0" w:space="0" w:color="auto"/>
        <w:right w:val="none" w:sz="0" w:space="0" w:color="auto"/>
      </w:divBdr>
    </w:div>
    <w:div w:id="1437359591">
      <w:bodyDiv w:val="1"/>
      <w:marLeft w:val="0"/>
      <w:marRight w:val="0"/>
      <w:marTop w:val="0"/>
      <w:marBottom w:val="0"/>
      <w:divBdr>
        <w:top w:val="none" w:sz="0" w:space="0" w:color="auto"/>
        <w:left w:val="none" w:sz="0" w:space="0" w:color="auto"/>
        <w:bottom w:val="none" w:sz="0" w:space="0" w:color="auto"/>
        <w:right w:val="none" w:sz="0" w:space="0" w:color="auto"/>
      </w:divBdr>
    </w:div>
    <w:div w:id="1575628961">
      <w:bodyDiv w:val="1"/>
      <w:marLeft w:val="0"/>
      <w:marRight w:val="0"/>
      <w:marTop w:val="0"/>
      <w:marBottom w:val="0"/>
      <w:divBdr>
        <w:top w:val="none" w:sz="0" w:space="0" w:color="auto"/>
        <w:left w:val="none" w:sz="0" w:space="0" w:color="auto"/>
        <w:bottom w:val="none" w:sz="0" w:space="0" w:color="auto"/>
        <w:right w:val="none" w:sz="0" w:space="0" w:color="auto"/>
      </w:divBdr>
      <w:divsChild>
        <w:div w:id="1246257514">
          <w:marLeft w:val="0"/>
          <w:marRight w:val="0"/>
          <w:marTop w:val="200"/>
          <w:marBottom w:val="200"/>
          <w:divBdr>
            <w:top w:val="single" w:sz="8" w:space="0" w:color="000000"/>
            <w:left w:val="single" w:sz="8" w:space="0" w:color="000000"/>
            <w:bottom w:val="single" w:sz="8" w:space="0" w:color="000000"/>
            <w:right w:val="single" w:sz="8" w:space="0" w:color="000000"/>
          </w:divBdr>
          <w:divsChild>
            <w:div w:id="2019771552">
              <w:marLeft w:val="0"/>
              <w:marRight w:val="0"/>
              <w:marTop w:val="0"/>
              <w:marBottom w:val="0"/>
              <w:divBdr>
                <w:top w:val="none" w:sz="0" w:space="0" w:color="auto"/>
                <w:left w:val="none" w:sz="0" w:space="0" w:color="auto"/>
                <w:bottom w:val="none" w:sz="0" w:space="0" w:color="auto"/>
                <w:right w:val="none" w:sz="0" w:space="0" w:color="auto"/>
              </w:divBdr>
            </w:div>
            <w:div w:id="1562908705">
              <w:marLeft w:val="0"/>
              <w:marRight w:val="0"/>
              <w:marTop w:val="0"/>
              <w:marBottom w:val="0"/>
              <w:divBdr>
                <w:top w:val="none" w:sz="0" w:space="0" w:color="auto"/>
                <w:left w:val="none" w:sz="0" w:space="0" w:color="auto"/>
                <w:bottom w:val="none" w:sz="0" w:space="0" w:color="auto"/>
                <w:right w:val="none" w:sz="0" w:space="0" w:color="auto"/>
              </w:divBdr>
              <w:divsChild>
                <w:div w:id="1439638040">
                  <w:marLeft w:val="0"/>
                  <w:marRight w:val="0"/>
                  <w:marTop w:val="0"/>
                  <w:marBottom w:val="0"/>
                  <w:divBdr>
                    <w:top w:val="none" w:sz="0" w:space="0" w:color="auto"/>
                    <w:left w:val="none" w:sz="0" w:space="0" w:color="auto"/>
                    <w:bottom w:val="none" w:sz="0" w:space="0" w:color="auto"/>
                    <w:right w:val="none" w:sz="0" w:space="0" w:color="auto"/>
                  </w:divBdr>
                </w:div>
                <w:div w:id="402411772">
                  <w:marLeft w:val="0"/>
                  <w:marRight w:val="0"/>
                  <w:marTop w:val="0"/>
                  <w:marBottom w:val="0"/>
                  <w:divBdr>
                    <w:top w:val="none" w:sz="0" w:space="0" w:color="auto"/>
                    <w:left w:val="none" w:sz="0" w:space="0" w:color="auto"/>
                    <w:bottom w:val="none" w:sz="0" w:space="0" w:color="auto"/>
                    <w:right w:val="none" w:sz="0" w:space="0" w:color="auto"/>
                  </w:divBdr>
                </w:div>
                <w:div w:id="1747923190">
                  <w:marLeft w:val="0"/>
                  <w:marRight w:val="0"/>
                  <w:marTop w:val="0"/>
                  <w:marBottom w:val="0"/>
                  <w:divBdr>
                    <w:top w:val="none" w:sz="0" w:space="0" w:color="auto"/>
                    <w:left w:val="none" w:sz="0" w:space="0" w:color="auto"/>
                    <w:bottom w:val="none" w:sz="0" w:space="0" w:color="auto"/>
                    <w:right w:val="none" w:sz="0" w:space="0" w:color="auto"/>
                  </w:divBdr>
                </w:div>
                <w:div w:id="1874152532">
                  <w:marLeft w:val="0"/>
                  <w:marRight w:val="0"/>
                  <w:marTop w:val="0"/>
                  <w:marBottom w:val="0"/>
                  <w:divBdr>
                    <w:top w:val="none" w:sz="0" w:space="0" w:color="auto"/>
                    <w:left w:val="none" w:sz="0" w:space="0" w:color="auto"/>
                    <w:bottom w:val="none" w:sz="0" w:space="0" w:color="auto"/>
                    <w:right w:val="none" w:sz="0" w:space="0" w:color="auto"/>
                  </w:divBdr>
                </w:div>
                <w:div w:id="1521747052">
                  <w:marLeft w:val="0"/>
                  <w:marRight w:val="0"/>
                  <w:marTop w:val="0"/>
                  <w:marBottom w:val="0"/>
                  <w:divBdr>
                    <w:top w:val="none" w:sz="0" w:space="0" w:color="auto"/>
                    <w:left w:val="none" w:sz="0" w:space="0" w:color="auto"/>
                    <w:bottom w:val="none" w:sz="0" w:space="0" w:color="auto"/>
                    <w:right w:val="none" w:sz="0" w:space="0" w:color="auto"/>
                  </w:divBdr>
                </w:div>
                <w:div w:id="595795166">
                  <w:marLeft w:val="0"/>
                  <w:marRight w:val="0"/>
                  <w:marTop w:val="0"/>
                  <w:marBottom w:val="0"/>
                  <w:divBdr>
                    <w:top w:val="none" w:sz="0" w:space="0" w:color="auto"/>
                    <w:left w:val="none" w:sz="0" w:space="0" w:color="auto"/>
                    <w:bottom w:val="none" w:sz="0" w:space="0" w:color="auto"/>
                    <w:right w:val="none" w:sz="0" w:space="0" w:color="auto"/>
                  </w:divBdr>
                </w:div>
                <w:div w:id="2009020374">
                  <w:marLeft w:val="0"/>
                  <w:marRight w:val="0"/>
                  <w:marTop w:val="0"/>
                  <w:marBottom w:val="0"/>
                  <w:divBdr>
                    <w:top w:val="none" w:sz="0" w:space="0" w:color="auto"/>
                    <w:left w:val="none" w:sz="0" w:space="0" w:color="auto"/>
                    <w:bottom w:val="none" w:sz="0" w:space="0" w:color="auto"/>
                    <w:right w:val="none" w:sz="0" w:space="0" w:color="auto"/>
                  </w:divBdr>
                </w:div>
                <w:div w:id="352003855">
                  <w:marLeft w:val="0"/>
                  <w:marRight w:val="0"/>
                  <w:marTop w:val="0"/>
                  <w:marBottom w:val="0"/>
                  <w:divBdr>
                    <w:top w:val="none" w:sz="0" w:space="0" w:color="auto"/>
                    <w:left w:val="none" w:sz="0" w:space="0" w:color="auto"/>
                    <w:bottom w:val="none" w:sz="0" w:space="0" w:color="auto"/>
                    <w:right w:val="none" w:sz="0" w:space="0" w:color="auto"/>
                  </w:divBdr>
                </w:div>
                <w:div w:id="143477547">
                  <w:marLeft w:val="0"/>
                  <w:marRight w:val="0"/>
                  <w:marTop w:val="0"/>
                  <w:marBottom w:val="0"/>
                  <w:divBdr>
                    <w:top w:val="none" w:sz="0" w:space="0" w:color="auto"/>
                    <w:left w:val="none" w:sz="0" w:space="0" w:color="auto"/>
                    <w:bottom w:val="none" w:sz="0" w:space="0" w:color="auto"/>
                    <w:right w:val="none" w:sz="0" w:space="0" w:color="auto"/>
                  </w:divBdr>
                </w:div>
                <w:div w:id="1018967760">
                  <w:marLeft w:val="0"/>
                  <w:marRight w:val="0"/>
                  <w:marTop w:val="0"/>
                  <w:marBottom w:val="0"/>
                  <w:divBdr>
                    <w:top w:val="none" w:sz="0" w:space="0" w:color="auto"/>
                    <w:left w:val="none" w:sz="0" w:space="0" w:color="auto"/>
                    <w:bottom w:val="none" w:sz="0" w:space="0" w:color="auto"/>
                    <w:right w:val="none" w:sz="0" w:space="0" w:color="auto"/>
                  </w:divBdr>
                </w:div>
                <w:div w:id="1509978040">
                  <w:marLeft w:val="0"/>
                  <w:marRight w:val="0"/>
                  <w:marTop w:val="0"/>
                  <w:marBottom w:val="0"/>
                  <w:divBdr>
                    <w:top w:val="none" w:sz="0" w:space="0" w:color="auto"/>
                    <w:left w:val="none" w:sz="0" w:space="0" w:color="auto"/>
                    <w:bottom w:val="none" w:sz="0" w:space="0" w:color="auto"/>
                    <w:right w:val="none" w:sz="0" w:space="0" w:color="auto"/>
                  </w:divBdr>
                </w:div>
                <w:div w:id="550654893">
                  <w:marLeft w:val="0"/>
                  <w:marRight w:val="0"/>
                  <w:marTop w:val="0"/>
                  <w:marBottom w:val="0"/>
                  <w:divBdr>
                    <w:top w:val="none" w:sz="0" w:space="0" w:color="auto"/>
                    <w:left w:val="none" w:sz="0" w:space="0" w:color="auto"/>
                    <w:bottom w:val="none" w:sz="0" w:space="0" w:color="auto"/>
                    <w:right w:val="none" w:sz="0" w:space="0" w:color="auto"/>
                  </w:divBdr>
                </w:div>
                <w:div w:id="1171992351">
                  <w:marLeft w:val="0"/>
                  <w:marRight w:val="0"/>
                  <w:marTop w:val="0"/>
                  <w:marBottom w:val="0"/>
                  <w:divBdr>
                    <w:top w:val="none" w:sz="0" w:space="0" w:color="auto"/>
                    <w:left w:val="none" w:sz="0" w:space="0" w:color="auto"/>
                    <w:bottom w:val="none" w:sz="0" w:space="0" w:color="auto"/>
                    <w:right w:val="none" w:sz="0" w:space="0" w:color="auto"/>
                  </w:divBdr>
                </w:div>
                <w:div w:id="1292055417">
                  <w:marLeft w:val="0"/>
                  <w:marRight w:val="0"/>
                  <w:marTop w:val="0"/>
                  <w:marBottom w:val="0"/>
                  <w:divBdr>
                    <w:top w:val="none" w:sz="0" w:space="0" w:color="auto"/>
                    <w:left w:val="none" w:sz="0" w:space="0" w:color="auto"/>
                    <w:bottom w:val="none" w:sz="0" w:space="0" w:color="auto"/>
                    <w:right w:val="none" w:sz="0" w:space="0" w:color="auto"/>
                  </w:divBdr>
                </w:div>
                <w:div w:id="834495857">
                  <w:marLeft w:val="0"/>
                  <w:marRight w:val="0"/>
                  <w:marTop w:val="0"/>
                  <w:marBottom w:val="0"/>
                  <w:divBdr>
                    <w:top w:val="none" w:sz="0" w:space="0" w:color="auto"/>
                    <w:left w:val="none" w:sz="0" w:space="0" w:color="auto"/>
                    <w:bottom w:val="none" w:sz="0" w:space="0" w:color="auto"/>
                    <w:right w:val="none" w:sz="0" w:space="0" w:color="auto"/>
                  </w:divBdr>
                </w:div>
                <w:div w:id="8598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6712">
          <w:marLeft w:val="0"/>
          <w:marRight w:val="0"/>
          <w:marTop w:val="200"/>
          <w:marBottom w:val="200"/>
          <w:divBdr>
            <w:top w:val="single" w:sz="8" w:space="0" w:color="000000"/>
            <w:left w:val="single" w:sz="8" w:space="0" w:color="000000"/>
            <w:bottom w:val="single" w:sz="8" w:space="0" w:color="000000"/>
            <w:right w:val="single" w:sz="8" w:space="0" w:color="000000"/>
          </w:divBdr>
          <w:divsChild>
            <w:div w:id="997268095">
              <w:marLeft w:val="0"/>
              <w:marRight w:val="0"/>
              <w:marTop w:val="0"/>
              <w:marBottom w:val="0"/>
              <w:divBdr>
                <w:top w:val="none" w:sz="0" w:space="0" w:color="auto"/>
                <w:left w:val="none" w:sz="0" w:space="0" w:color="auto"/>
                <w:bottom w:val="none" w:sz="0" w:space="0" w:color="auto"/>
                <w:right w:val="none" w:sz="0" w:space="0" w:color="auto"/>
              </w:divBdr>
            </w:div>
            <w:div w:id="2014448117">
              <w:marLeft w:val="0"/>
              <w:marRight w:val="0"/>
              <w:marTop w:val="0"/>
              <w:marBottom w:val="0"/>
              <w:divBdr>
                <w:top w:val="none" w:sz="0" w:space="0" w:color="auto"/>
                <w:left w:val="none" w:sz="0" w:space="0" w:color="auto"/>
                <w:bottom w:val="none" w:sz="0" w:space="0" w:color="auto"/>
                <w:right w:val="none" w:sz="0" w:space="0" w:color="auto"/>
              </w:divBdr>
              <w:divsChild>
                <w:div w:id="136994361">
                  <w:marLeft w:val="0"/>
                  <w:marRight w:val="0"/>
                  <w:marTop w:val="0"/>
                  <w:marBottom w:val="0"/>
                  <w:divBdr>
                    <w:top w:val="none" w:sz="0" w:space="0" w:color="auto"/>
                    <w:left w:val="none" w:sz="0" w:space="0" w:color="auto"/>
                    <w:bottom w:val="none" w:sz="0" w:space="0" w:color="auto"/>
                    <w:right w:val="none" w:sz="0" w:space="0" w:color="auto"/>
                  </w:divBdr>
                </w:div>
                <w:div w:id="1103840420">
                  <w:marLeft w:val="0"/>
                  <w:marRight w:val="0"/>
                  <w:marTop w:val="0"/>
                  <w:marBottom w:val="0"/>
                  <w:divBdr>
                    <w:top w:val="none" w:sz="0" w:space="0" w:color="auto"/>
                    <w:left w:val="none" w:sz="0" w:space="0" w:color="auto"/>
                    <w:bottom w:val="none" w:sz="0" w:space="0" w:color="auto"/>
                    <w:right w:val="none" w:sz="0" w:space="0" w:color="auto"/>
                  </w:divBdr>
                </w:div>
                <w:div w:id="1831169621">
                  <w:marLeft w:val="0"/>
                  <w:marRight w:val="0"/>
                  <w:marTop w:val="0"/>
                  <w:marBottom w:val="0"/>
                  <w:divBdr>
                    <w:top w:val="none" w:sz="0" w:space="0" w:color="auto"/>
                    <w:left w:val="none" w:sz="0" w:space="0" w:color="auto"/>
                    <w:bottom w:val="none" w:sz="0" w:space="0" w:color="auto"/>
                    <w:right w:val="none" w:sz="0" w:space="0" w:color="auto"/>
                  </w:divBdr>
                </w:div>
                <w:div w:id="1308126267">
                  <w:marLeft w:val="0"/>
                  <w:marRight w:val="0"/>
                  <w:marTop w:val="0"/>
                  <w:marBottom w:val="0"/>
                  <w:divBdr>
                    <w:top w:val="none" w:sz="0" w:space="0" w:color="auto"/>
                    <w:left w:val="none" w:sz="0" w:space="0" w:color="auto"/>
                    <w:bottom w:val="none" w:sz="0" w:space="0" w:color="auto"/>
                    <w:right w:val="none" w:sz="0" w:space="0" w:color="auto"/>
                  </w:divBdr>
                </w:div>
                <w:div w:id="1281644739">
                  <w:marLeft w:val="0"/>
                  <w:marRight w:val="0"/>
                  <w:marTop w:val="0"/>
                  <w:marBottom w:val="0"/>
                  <w:divBdr>
                    <w:top w:val="none" w:sz="0" w:space="0" w:color="auto"/>
                    <w:left w:val="none" w:sz="0" w:space="0" w:color="auto"/>
                    <w:bottom w:val="none" w:sz="0" w:space="0" w:color="auto"/>
                    <w:right w:val="none" w:sz="0" w:space="0" w:color="auto"/>
                  </w:divBdr>
                </w:div>
                <w:div w:id="1489705944">
                  <w:marLeft w:val="0"/>
                  <w:marRight w:val="0"/>
                  <w:marTop w:val="0"/>
                  <w:marBottom w:val="0"/>
                  <w:divBdr>
                    <w:top w:val="none" w:sz="0" w:space="0" w:color="auto"/>
                    <w:left w:val="none" w:sz="0" w:space="0" w:color="auto"/>
                    <w:bottom w:val="none" w:sz="0" w:space="0" w:color="auto"/>
                    <w:right w:val="none" w:sz="0" w:space="0" w:color="auto"/>
                  </w:divBdr>
                </w:div>
                <w:div w:id="874586650">
                  <w:marLeft w:val="0"/>
                  <w:marRight w:val="0"/>
                  <w:marTop w:val="0"/>
                  <w:marBottom w:val="0"/>
                  <w:divBdr>
                    <w:top w:val="none" w:sz="0" w:space="0" w:color="auto"/>
                    <w:left w:val="none" w:sz="0" w:space="0" w:color="auto"/>
                    <w:bottom w:val="none" w:sz="0" w:space="0" w:color="auto"/>
                    <w:right w:val="none" w:sz="0" w:space="0" w:color="auto"/>
                  </w:divBdr>
                </w:div>
                <w:div w:id="857233771">
                  <w:marLeft w:val="0"/>
                  <w:marRight w:val="0"/>
                  <w:marTop w:val="0"/>
                  <w:marBottom w:val="0"/>
                  <w:divBdr>
                    <w:top w:val="none" w:sz="0" w:space="0" w:color="auto"/>
                    <w:left w:val="none" w:sz="0" w:space="0" w:color="auto"/>
                    <w:bottom w:val="none" w:sz="0" w:space="0" w:color="auto"/>
                    <w:right w:val="none" w:sz="0" w:space="0" w:color="auto"/>
                  </w:divBdr>
                  <w:divsChild>
                    <w:div w:id="570044893">
                      <w:marLeft w:val="0"/>
                      <w:marRight w:val="0"/>
                      <w:marTop w:val="0"/>
                      <w:marBottom w:val="0"/>
                      <w:divBdr>
                        <w:top w:val="none" w:sz="0" w:space="0" w:color="auto"/>
                        <w:left w:val="none" w:sz="0" w:space="0" w:color="auto"/>
                        <w:bottom w:val="none" w:sz="0" w:space="0" w:color="auto"/>
                        <w:right w:val="none" w:sz="0" w:space="0" w:color="auto"/>
                      </w:divBdr>
                    </w:div>
                    <w:div w:id="801532607">
                      <w:marLeft w:val="0"/>
                      <w:marRight w:val="0"/>
                      <w:marTop w:val="0"/>
                      <w:marBottom w:val="0"/>
                      <w:divBdr>
                        <w:top w:val="none" w:sz="0" w:space="0" w:color="auto"/>
                        <w:left w:val="none" w:sz="0" w:space="0" w:color="auto"/>
                        <w:bottom w:val="none" w:sz="0" w:space="0" w:color="auto"/>
                        <w:right w:val="none" w:sz="0" w:space="0" w:color="auto"/>
                      </w:divBdr>
                    </w:div>
                    <w:div w:id="1823933786">
                      <w:marLeft w:val="0"/>
                      <w:marRight w:val="0"/>
                      <w:marTop w:val="0"/>
                      <w:marBottom w:val="0"/>
                      <w:divBdr>
                        <w:top w:val="none" w:sz="0" w:space="0" w:color="auto"/>
                        <w:left w:val="none" w:sz="0" w:space="0" w:color="auto"/>
                        <w:bottom w:val="none" w:sz="0" w:space="0" w:color="auto"/>
                        <w:right w:val="none" w:sz="0" w:space="0" w:color="auto"/>
                      </w:divBdr>
                    </w:div>
                    <w:div w:id="762994954">
                      <w:marLeft w:val="0"/>
                      <w:marRight w:val="0"/>
                      <w:marTop w:val="0"/>
                      <w:marBottom w:val="0"/>
                      <w:divBdr>
                        <w:top w:val="none" w:sz="0" w:space="0" w:color="auto"/>
                        <w:left w:val="none" w:sz="0" w:space="0" w:color="auto"/>
                        <w:bottom w:val="none" w:sz="0" w:space="0" w:color="auto"/>
                        <w:right w:val="none" w:sz="0" w:space="0" w:color="auto"/>
                      </w:divBdr>
                    </w:div>
                    <w:div w:id="1006901631">
                      <w:marLeft w:val="0"/>
                      <w:marRight w:val="0"/>
                      <w:marTop w:val="0"/>
                      <w:marBottom w:val="0"/>
                      <w:divBdr>
                        <w:top w:val="none" w:sz="0" w:space="0" w:color="auto"/>
                        <w:left w:val="none" w:sz="0" w:space="0" w:color="auto"/>
                        <w:bottom w:val="none" w:sz="0" w:space="0" w:color="auto"/>
                        <w:right w:val="none" w:sz="0" w:space="0" w:color="auto"/>
                      </w:divBdr>
                    </w:div>
                  </w:divsChild>
                </w:div>
                <w:div w:id="1984845639">
                  <w:marLeft w:val="0"/>
                  <w:marRight w:val="0"/>
                  <w:marTop w:val="0"/>
                  <w:marBottom w:val="0"/>
                  <w:divBdr>
                    <w:top w:val="none" w:sz="0" w:space="0" w:color="auto"/>
                    <w:left w:val="none" w:sz="0" w:space="0" w:color="auto"/>
                    <w:bottom w:val="none" w:sz="0" w:space="0" w:color="auto"/>
                    <w:right w:val="none" w:sz="0" w:space="0" w:color="auto"/>
                  </w:divBdr>
                </w:div>
                <w:div w:id="1323898042">
                  <w:marLeft w:val="0"/>
                  <w:marRight w:val="0"/>
                  <w:marTop w:val="0"/>
                  <w:marBottom w:val="0"/>
                  <w:divBdr>
                    <w:top w:val="none" w:sz="0" w:space="0" w:color="auto"/>
                    <w:left w:val="none" w:sz="0" w:space="0" w:color="auto"/>
                    <w:bottom w:val="none" w:sz="0" w:space="0" w:color="auto"/>
                    <w:right w:val="none" w:sz="0" w:space="0" w:color="auto"/>
                  </w:divBdr>
                </w:div>
                <w:div w:id="798260656">
                  <w:marLeft w:val="0"/>
                  <w:marRight w:val="0"/>
                  <w:marTop w:val="0"/>
                  <w:marBottom w:val="0"/>
                  <w:divBdr>
                    <w:top w:val="none" w:sz="0" w:space="0" w:color="auto"/>
                    <w:left w:val="none" w:sz="0" w:space="0" w:color="auto"/>
                    <w:bottom w:val="none" w:sz="0" w:space="0" w:color="auto"/>
                    <w:right w:val="none" w:sz="0" w:space="0" w:color="auto"/>
                  </w:divBdr>
                </w:div>
                <w:div w:id="1772044063">
                  <w:marLeft w:val="0"/>
                  <w:marRight w:val="0"/>
                  <w:marTop w:val="0"/>
                  <w:marBottom w:val="0"/>
                  <w:divBdr>
                    <w:top w:val="none" w:sz="0" w:space="0" w:color="auto"/>
                    <w:left w:val="none" w:sz="0" w:space="0" w:color="auto"/>
                    <w:bottom w:val="none" w:sz="0" w:space="0" w:color="auto"/>
                    <w:right w:val="none" w:sz="0" w:space="0" w:color="auto"/>
                  </w:divBdr>
                </w:div>
                <w:div w:id="450512629">
                  <w:marLeft w:val="0"/>
                  <w:marRight w:val="0"/>
                  <w:marTop w:val="0"/>
                  <w:marBottom w:val="0"/>
                  <w:divBdr>
                    <w:top w:val="none" w:sz="0" w:space="0" w:color="auto"/>
                    <w:left w:val="none" w:sz="0" w:space="0" w:color="auto"/>
                    <w:bottom w:val="none" w:sz="0" w:space="0" w:color="auto"/>
                    <w:right w:val="none" w:sz="0" w:space="0" w:color="auto"/>
                  </w:divBdr>
                </w:div>
                <w:div w:id="805582631">
                  <w:marLeft w:val="0"/>
                  <w:marRight w:val="0"/>
                  <w:marTop w:val="0"/>
                  <w:marBottom w:val="0"/>
                  <w:divBdr>
                    <w:top w:val="none" w:sz="0" w:space="0" w:color="auto"/>
                    <w:left w:val="none" w:sz="0" w:space="0" w:color="auto"/>
                    <w:bottom w:val="none" w:sz="0" w:space="0" w:color="auto"/>
                    <w:right w:val="none" w:sz="0" w:space="0" w:color="auto"/>
                  </w:divBdr>
                </w:div>
                <w:div w:id="1582449039">
                  <w:marLeft w:val="0"/>
                  <w:marRight w:val="0"/>
                  <w:marTop w:val="0"/>
                  <w:marBottom w:val="0"/>
                  <w:divBdr>
                    <w:top w:val="none" w:sz="0" w:space="0" w:color="auto"/>
                    <w:left w:val="none" w:sz="0" w:space="0" w:color="auto"/>
                    <w:bottom w:val="none" w:sz="0" w:space="0" w:color="auto"/>
                    <w:right w:val="none" w:sz="0" w:space="0" w:color="auto"/>
                  </w:divBdr>
                </w:div>
                <w:div w:id="365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3897">
          <w:marLeft w:val="0"/>
          <w:marRight w:val="0"/>
          <w:marTop w:val="200"/>
          <w:marBottom w:val="200"/>
          <w:divBdr>
            <w:top w:val="single" w:sz="8" w:space="0" w:color="000000"/>
            <w:left w:val="single" w:sz="8" w:space="0" w:color="000000"/>
            <w:bottom w:val="single" w:sz="8" w:space="0" w:color="000000"/>
            <w:right w:val="single" w:sz="8" w:space="0" w:color="000000"/>
          </w:divBdr>
          <w:divsChild>
            <w:div w:id="183446295">
              <w:marLeft w:val="0"/>
              <w:marRight w:val="0"/>
              <w:marTop w:val="0"/>
              <w:marBottom w:val="0"/>
              <w:divBdr>
                <w:top w:val="none" w:sz="0" w:space="0" w:color="auto"/>
                <w:left w:val="none" w:sz="0" w:space="0" w:color="auto"/>
                <w:bottom w:val="none" w:sz="0" w:space="0" w:color="auto"/>
                <w:right w:val="none" w:sz="0" w:space="0" w:color="auto"/>
              </w:divBdr>
            </w:div>
            <w:div w:id="1816215414">
              <w:marLeft w:val="0"/>
              <w:marRight w:val="0"/>
              <w:marTop w:val="0"/>
              <w:marBottom w:val="0"/>
              <w:divBdr>
                <w:top w:val="none" w:sz="0" w:space="0" w:color="auto"/>
                <w:left w:val="none" w:sz="0" w:space="0" w:color="auto"/>
                <w:bottom w:val="none" w:sz="0" w:space="0" w:color="auto"/>
                <w:right w:val="none" w:sz="0" w:space="0" w:color="auto"/>
              </w:divBdr>
              <w:divsChild>
                <w:div w:id="730422277">
                  <w:marLeft w:val="0"/>
                  <w:marRight w:val="0"/>
                  <w:marTop w:val="0"/>
                  <w:marBottom w:val="0"/>
                  <w:divBdr>
                    <w:top w:val="none" w:sz="0" w:space="0" w:color="auto"/>
                    <w:left w:val="none" w:sz="0" w:space="0" w:color="auto"/>
                    <w:bottom w:val="none" w:sz="0" w:space="0" w:color="auto"/>
                    <w:right w:val="none" w:sz="0" w:space="0" w:color="auto"/>
                  </w:divBdr>
                </w:div>
                <w:div w:id="1643272966">
                  <w:marLeft w:val="0"/>
                  <w:marRight w:val="0"/>
                  <w:marTop w:val="0"/>
                  <w:marBottom w:val="0"/>
                  <w:divBdr>
                    <w:top w:val="none" w:sz="0" w:space="0" w:color="auto"/>
                    <w:left w:val="none" w:sz="0" w:space="0" w:color="auto"/>
                    <w:bottom w:val="none" w:sz="0" w:space="0" w:color="auto"/>
                    <w:right w:val="none" w:sz="0" w:space="0" w:color="auto"/>
                  </w:divBdr>
                </w:div>
                <w:div w:id="466165788">
                  <w:marLeft w:val="0"/>
                  <w:marRight w:val="0"/>
                  <w:marTop w:val="0"/>
                  <w:marBottom w:val="0"/>
                  <w:divBdr>
                    <w:top w:val="none" w:sz="0" w:space="0" w:color="auto"/>
                    <w:left w:val="none" w:sz="0" w:space="0" w:color="auto"/>
                    <w:bottom w:val="none" w:sz="0" w:space="0" w:color="auto"/>
                    <w:right w:val="none" w:sz="0" w:space="0" w:color="auto"/>
                  </w:divBdr>
                </w:div>
                <w:div w:id="1804813624">
                  <w:marLeft w:val="0"/>
                  <w:marRight w:val="0"/>
                  <w:marTop w:val="0"/>
                  <w:marBottom w:val="0"/>
                  <w:divBdr>
                    <w:top w:val="none" w:sz="0" w:space="0" w:color="auto"/>
                    <w:left w:val="none" w:sz="0" w:space="0" w:color="auto"/>
                    <w:bottom w:val="none" w:sz="0" w:space="0" w:color="auto"/>
                    <w:right w:val="none" w:sz="0" w:space="0" w:color="auto"/>
                  </w:divBdr>
                </w:div>
                <w:div w:id="2138718749">
                  <w:marLeft w:val="0"/>
                  <w:marRight w:val="0"/>
                  <w:marTop w:val="0"/>
                  <w:marBottom w:val="0"/>
                  <w:divBdr>
                    <w:top w:val="none" w:sz="0" w:space="0" w:color="auto"/>
                    <w:left w:val="none" w:sz="0" w:space="0" w:color="auto"/>
                    <w:bottom w:val="none" w:sz="0" w:space="0" w:color="auto"/>
                    <w:right w:val="none" w:sz="0" w:space="0" w:color="auto"/>
                  </w:divBdr>
                </w:div>
                <w:div w:id="2134978130">
                  <w:marLeft w:val="0"/>
                  <w:marRight w:val="0"/>
                  <w:marTop w:val="0"/>
                  <w:marBottom w:val="0"/>
                  <w:divBdr>
                    <w:top w:val="none" w:sz="0" w:space="0" w:color="auto"/>
                    <w:left w:val="none" w:sz="0" w:space="0" w:color="auto"/>
                    <w:bottom w:val="none" w:sz="0" w:space="0" w:color="auto"/>
                    <w:right w:val="none" w:sz="0" w:space="0" w:color="auto"/>
                  </w:divBdr>
                </w:div>
                <w:div w:id="229577305">
                  <w:marLeft w:val="0"/>
                  <w:marRight w:val="0"/>
                  <w:marTop w:val="0"/>
                  <w:marBottom w:val="0"/>
                  <w:divBdr>
                    <w:top w:val="none" w:sz="0" w:space="0" w:color="auto"/>
                    <w:left w:val="none" w:sz="0" w:space="0" w:color="auto"/>
                    <w:bottom w:val="none" w:sz="0" w:space="0" w:color="auto"/>
                    <w:right w:val="none" w:sz="0" w:space="0" w:color="auto"/>
                  </w:divBdr>
                </w:div>
                <w:div w:id="2103799897">
                  <w:marLeft w:val="0"/>
                  <w:marRight w:val="0"/>
                  <w:marTop w:val="0"/>
                  <w:marBottom w:val="0"/>
                  <w:divBdr>
                    <w:top w:val="none" w:sz="0" w:space="0" w:color="auto"/>
                    <w:left w:val="none" w:sz="0" w:space="0" w:color="auto"/>
                    <w:bottom w:val="none" w:sz="0" w:space="0" w:color="auto"/>
                    <w:right w:val="none" w:sz="0" w:space="0" w:color="auto"/>
                  </w:divBdr>
                </w:div>
                <w:div w:id="987133181">
                  <w:marLeft w:val="0"/>
                  <w:marRight w:val="0"/>
                  <w:marTop w:val="0"/>
                  <w:marBottom w:val="0"/>
                  <w:divBdr>
                    <w:top w:val="none" w:sz="0" w:space="0" w:color="auto"/>
                    <w:left w:val="none" w:sz="0" w:space="0" w:color="auto"/>
                    <w:bottom w:val="none" w:sz="0" w:space="0" w:color="auto"/>
                    <w:right w:val="none" w:sz="0" w:space="0" w:color="auto"/>
                  </w:divBdr>
                </w:div>
                <w:div w:id="1066488103">
                  <w:marLeft w:val="0"/>
                  <w:marRight w:val="0"/>
                  <w:marTop w:val="0"/>
                  <w:marBottom w:val="0"/>
                  <w:divBdr>
                    <w:top w:val="none" w:sz="0" w:space="0" w:color="auto"/>
                    <w:left w:val="none" w:sz="0" w:space="0" w:color="auto"/>
                    <w:bottom w:val="none" w:sz="0" w:space="0" w:color="auto"/>
                    <w:right w:val="none" w:sz="0" w:space="0" w:color="auto"/>
                  </w:divBdr>
                </w:div>
                <w:div w:id="1810245834">
                  <w:marLeft w:val="0"/>
                  <w:marRight w:val="0"/>
                  <w:marTop w:val="0"/>
                  <w:marBottom w:val="0"/>
                  <w:divBdr>
                    <w:top w:val="none" w:sz="0" w:space="0" w:color="auto"/>
                    <w:left w:val="none" w:sz="0" w:space="0" w:color="auto"/>
                    <w:bottom w:val="none" w:sz="0" w:space="0" w:color="auto"/>
                    <w:right w:val="none" w:sz="0" w:space="0" w:color="auto"/>
                  </w:divBdr>
                </w:div>
                <w:div w:id="17708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2/4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DD59E-E8C1-420C-A824-C75852A4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5259</Words>
  <Characters>29978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worknbde</dc:creator>
  <cp:lastModifiedBy>Bartikova Anna</cp:lastModifiedBy>
  <cp:revision>11</cp:revision>
  <cp:lastPrinted>2025-09-08T06:50:00Z</cp:lastPrinted>
  <dcterms:created xsi:type="dcterms:W3CDTF">2025-09-04T15:13:00Z</dcterms:created>
  <dcterms:modified xsi:type="dcterms:W3CDTF">2025-09-08T06:50:00Z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2025-09-08T06:50:20Z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a521098a-ce64-46cc-9ceb-245d4172a1b6</vt:lpwstr>
  </property>
  <property fmtid="{D5CDD505-2E9C-101B-9397-08002B2CF9AE}" pid="8" name="MSIP_Label_d8d4986f-dcbf-4623-ae9a-8251714e0a88_ContentBits">
    <vt:lpwstr>0</vt:lpwstr>
  </property>
</Properties>
</file>