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F802" w14:textId="77777777" w:rsidR="00113AE4" w:rsidRPr="00185D8A" w:rsidRDefault="00A340BB" w:rsidP="0018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185D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185D8A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4E5C6FCB" w14:textId="77777777" w:rsidR="001B23B7" w:rsidRPr="00185D8A" w:rsidRDefault="001B23B7" w:rsidP="00185D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185D8A" w14:paraId="433891A6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C577BE2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Základné údaje</w:t>
            </w:r>
          </w:p>
        </w:tc>
      </w:tr>
      <w:tr w:rsidR="00612E08" w:rsidRPr="00185D8A" w14:paraId="4CB6F2A5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6C387394" w14:textId="77777777" w:rsidR="001B23B7" w:rsidRPr="00185D8A" w:rsidRDefault="001B23B7" w:rsidP="00185D8A">
            <w:pPr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Názov materiálu</w:t>
            </w:r>
          </w:p>
        </w:tc>
      </w:tr>
      <w:tr w:rsidR="00612E08" w:rsidRPr="00185D8A" w14:paraId="674C0E28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24FF748" w14:textId="53DAB33E" w:rsidR="001B23B7" w:rsidRPr="00185D8A" w:rsidRDefault="00927A03" w:rsidP="00185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Návrh zákona, ktorým sa mení a dopĺňa zákon č. 483/2001 Z. z. o bankách a o zmene a doplnení niektorých zákonov v znení neskorších predpisov a ktorým sa menia a dopĺňajú niektoré zákony</w:t>
            </w: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FD0FD3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(ďalej len „návrh zákona“)</w:t>
            </w:r>
          </w:p>
          <w:p w14:paraId="66D728FB" w14:textId="71458017" w:rsidR="00927A03" w:rsidRPr="00185D8A" w:rsidRDefault="00927A03" w:rsidP="00185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12E08" w:rsidRPr="00185D8A" w14:paraId="72D0C47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6BC800BA" w14:textId="77777777" w:rsidR="001B23B7" w:rsidRPr="00185D8A" w:rsidRDefault="001B23B7" w:rsidP="00185D8A">
            <w:pPr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Predkladateľ (a spolupredkladateľ)</w:t>
            </w:r>
          </w:p>
        </w:tc>
      </w:tr>
      <w:tr w:rsidR="00612E08" w:rsidRPr="00185D8A" w14:paraId="390D8A6C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B8AD1" w14:textId="77777777" w:rsidR="00927A03" w:rsidRPr="00185D8A" w:rsidRDefault="00927A03" w:rsidP="0018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Predkladateľ: Ministerstvo financií Slovenskej republiky</w:t>
            </w:r>
          </w:p>
          <w:p w14:paraId="6856D9B9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7A7BD14" w14:textId="00A5811D" w:rsidR="00F45992" w:rsidRPr="00185D8A" w:rsidRDefault="00F45992" w:rsidP="00185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612E08" w:rsidRPr="00185D8A" w14:paraId="5C51C5B3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57842920" w14:textId="77777777" w:rsidR="001B23B7" w:rsidRPr="00185D8A" w:rsidRDefault="001B23B7" w:rsidP="00185D8A">
            <w:pPr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42A8CF1" w14:textId="77777777" w:rsidR="001B23B7" w:rsidRPr="00185D8A" w:rsidRDefault="000013C3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185D8A">
                  <w:rPr>
                    <w:rFonts w:ascii="Segoe UI Symbol" w:eastAsia="MS Gothic" w:hAnsi="Segoe UI Symbol" w:cs="Segoe UI Symbol"/>
                    <w:sz w:val="24"/>
                    <w:szCs w:val="24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DA4A2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 nelegislatívnej povahy</w:t>
            </w:r>
          </w:p>
        </w:tc>
      </w:tr>
      <w:tr w:rsidR="00612E08" w:rsidRPr="00185D8A" w14:paraId="4C93A35E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81A3EC4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1E6BDC5" w14:textId="77777777" w:rsidR="001B23B7" w:rsidRPr="00185D8A" w:rsidRDefault="007C6E0E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185D8A">
                  <w:rPr>
                    <w:rFonts w:ascii="Segoe UI Symbol" w:eastAsia="MS Gothic" w:hAnsi="Segoe UI Symbol" w:cs="Segoe UI Symbol"/>
                    <w:sz w:val="24"/>
                    <w:szCs w:val="24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7C0AFCDD" w14:textId="77777777" w:rsidR="001B23B7" w:rsidRPr="00185D8A" w:rsidRDefault="001B23B7" w:rsidP="00185D8A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Materiál legislatívnej povahy</w:t>
            </w:r>
          </w:p>
        </w:tc>
      </w:tr>
      <w:tr w:rsidR="00612E08" w:rsidRPr="00185D8A" w14:paraId="5EEADDB1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56EF3B5E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2C56668" w14:textId="77777777" w:rsidR="001B23B7" w:rsidRPr="00185D8A" w:rsidRDefault="007C6E0E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sk-SK"/>
                  </w:rPr>
                </w:pPr>
                <w:r w:rsidRPr="00185D8A">
                  <w:rPr>
                    <w:rFonts w:ascii="Segoe UI Symbol" w:eastAsia="MS Gothic" w:hAnsi="Segoe UI Symbol" w:cs="Segoe UI Symbol"/>
                    <w:sz w:val="24"/>
                    <w:szCs w:val="24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9F674C7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Transpozícia</w:t>
            </w:r>
            <w:r w:rsidR="00ED165A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/ implementácia</w:t>
            </w: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práva EÚ</w:t>
            </w:r>
          </w:p>
        </w:tc>
      </w:tr>
      <w:tr w:rsidR="00612E08" w:rsidRPr="00185D8A" w14:paraId="50566A2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7347C29D" w14:textId="5CF6D08A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577E8C64" w14:textId="77777777" w:rsidR="00115F1E" w:rsidRPr="00185D8A" w:rsidRDefault="00115F1E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C58911E" w14:textId="5C00BED2" w:rsidR="007C6E0E" w:rsidRPr="00185D8A" w:rsidRDefault="00927A03" w:rsidP="00185D8A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Transpozícia smernice Európskeho parlamentu a Rady (EÚ) 2024/1619 z 31. mája 2024, ktorou sa mení smernica 2013/36/EÚ, pokiaľ ide o právomoci v oblasti dohľadu, sankcie, pobočky z tretích krajín a environmentálne a sociálne riziká a riziká v oblasti správy a</w:t>
            </w:r>
            <w:r w:rsidR="00DA4121" w:rsidRPr="00185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riadenia</w:t>
            </w:r>
            <w:r w:rsidR="00DA4121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34E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(Ú. v. EÚ L, 2024/1619, 19.6.2024) </w:t>
            </w:r>
            <w:r w:rsidR="00DA4121" w:rsidRPr="00185D8A">
              <w:rPr>
                <w:rFonts w:ascii="Times New Roman" w:hAnsi="Times New Roman" w:cs="Times New Roman"/>
                <w:sz w:val="24"/>
                <w:szCs w:val="24"/>
              </w:rPr>
              <w:t>(ďalej len „</w:t>
            </w:r>
            <w:r w:rsidR="00A74D77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smernica </w:t>
            </w:r>
            <w:r w:rsidR="00DA4121" w:rsidRPr="00185D8A">
              <w:rPr>
                <w:rFonts w:ascii="Times New Roman" w:hAnsi="Times New Roman" w:cs="Times New Roman"/>
                <w:sz w:val="24"/>
                <w:szCs w:val="24"/>
              </w:rPr>
              <w:t>CRD VI“)</w:t>
            </w:r>
            <w:r w:rsidR="007C6E0E" w:rsidRPr="00185D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F28CA2" w14:textId="75A21A8E" w:rsidR="00927A03" w:rsidRPr="00185D8A" w:rsidRDefault="00FD0FD3" w:rsidP="00185D8A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27A03" w:rsidRPr="00185D8A">
              <w:rPr>
                <w:rFonts w:ascii="Times New Roman" w:hAnsi="Times New Roman" w:cs="Times New Roman"/>
                <w:sz w:val="24"/>
                <w:szCs w:val="24"/>
              </w:rPr>
              <w:t>ranspozícia čl. 2 smernice Európskeho parlamentu a Rady (EÚ) 2024/2994 z</w:t>
            </w:r>
            <w:r w:rsidR="003D2F7D" w:rsidRPr="00185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27A03" w:rsidRPr="00185D8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  <w:r w:rsidR="003D2F7D" w:rsidRPr="00185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27A03" w:rsidRPr="00185D8A">
              <w:rPr>
                <w:rFonts w:ascii="Times New Roman" w:hAnsi="Times New Roman" w:cs="Times New Roman"/>
                <w:sz w:val="24"/>
                <w:szCs w:val="24"/>
              </w:rPr>
              <w:t>novembra 2024, ktorou sa menia smernice 2009/65/ES, 2013/36/EÚ a (EÚ) 2019/2034, pokiaľ ide o zaobchádzanie s rizikom koncentrácie vyplývajúcim z expozícií voči centrálnym protistranám a s rizikom protistrany pri centrálne zúčtovávaných transakciách s</w:t>
            </w:r>
            <w:r w:rsidR="001D6504" w:rsidRPr="00185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27A03" w:rsidRPr="00185D8A">
              <w:rPr>
                <w:rFonts w:ascii="Times New Roman" w:hAnsi="Times New Roman" w:cs="Times New Roman"/>
                <w:sz w:val="24"/>
                <w:szCs w:val="24"/>
              </w:rPr>
              <w:t>derivátmi</w:t>
            </w:r>
            <w:r w:rsidR="001D6504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504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(Ú. v. EÚ L, 2024/2994, 4.12.2024)</w:t>
            </w:r>
            <w:r w:rsidR="00DA4121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(ďalej len „smernica 2024/2994“),</w:t>
            </w:r>
          </w:p>
          <w:p w14:paraId="09C84007" w14:textId="08216E39" w:rsidR="00927A03" w:rsidRPr="00185D8A" w:rsidRDefault="00927A03" w:rsidP="00185D8A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spresnenie transpozície smernice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Európskeho parlamentu a Rady (EÚ) 2019/878 z 20.</w:t>
            </w:r>
            <w:r w:rsidR="00C423CA" w:rsidRPr="00185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mája 2019, ktorou sa mení smernica 2013/36/EÚ, pokiaľ ide o oslobodené subjekty, finančné holdingové spoločnosti, zmiešané finančné holdingové spoločnosti, odmeňovanie, opatrenia a právomoci v oblasti dohľadu a opatrenia na zachovanie kapitálu</w:t>
            </w:r>
            <w:r w:rsidR="00DA4121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Hlk199860605"/>
            <w:r w:rsidR="00AE31DE" w:rsidRPr="00185D8A">
              <w:rPr>
                <w:rFonts w:ascii="Times New Roman" w:hAnsi="Times New Roman" w:cs="Times New Roman"/>
                <w:sz w:val="24"/>
                <w:szCs w:val="24"/>
              </w:rPr>
              <w:t>(Ú. v. EÚ L 150, 7. 6. 2019)</w:t>
            </w:r>
            <w:bookmarkEnd w:id="0"/>
            <w:r w:rsidR="00AE31DE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4121" w:rsidRPr="00185D8A">
              <w:rPr>
                <w:rFonts w:ascii="Times New Roman" w:hAnsi="Times New Roman" w:cs="Times New Roman"/>
                <w:sz w:val="24"/>
                <w:szCs w:val="24"/>
              </w:rPr>
              <w:t>(ďalej len „CRD V“)</w:t>
            </w:r>
            <w:r w:rsidRPr="00185D8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,</w:t>
            </w:r>
          </w:p>
          <w:p w14:paraId="65CD909E" w14:textId="5C06D3FC" w:rsidR="00C423CA" w:rsidRPr="00185D8A" w:rsidRDefault="00C423CA" w:rsidP="00185D8A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spresnenie transpozície smernice </w:t>
            </w:r>
            <w:r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Európskeho parlamentu a Rady (EÚ) 2024/1174 z  11. apríla 2024, ktorou sa mení smernica 2014/59/EÚ a nariadenie (EÚ) č. 806/2014, pokiaľ ide o určité aspekty minimálnej požiadavky na vlastné zdroje a oprávnené záväzky </w:t>
            </w:r>
            <w:r w:rsidRPr="00185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(Ú. v. EÚ L,</w:t>
            </w:r>
            <w:r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2024/1174, </w:t>
            </w:r>
            <w:r w:rsidRPr="00185D8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22. 4. 2024)</w:t>
            </w:r>
            <w:r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</w:t>
            </w:r>
          </w:p>
          <w:p w14:paraId="0CFF3EEB" w14:textId="38D0081A" w:rsidR="00C423CA" w:rsidRPr="00185D8A" w:rsidRDefault="00C423CA" w:rsidP="00185D8A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spresnenie transpozície smernice</w:t>
            </w:r>
            <w:r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Európskeho parlamentu a Rady (EÚ) 2019/2034 z  27. novembra 2019 o </w:t>
            </w:r>
            <w:proofErr w:type="spellStart"/>
            <w:r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prudenciálnom</w:t>
            </w:r>
            <w:proofErr w:type="spellEnd"/>
            <w:r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dohľade nad investičnými spoločnosťami a o zmene smerníc 2002/87/ES, 2009/65/ES, 2011/61/ES, 2013/36/EÚ, 2014/59/EÚ a  2014/65/EÚ (Ú. v. EÚ L 314, 5. 12. 2019),</w:t>
            </w:r>
          </w:p>
          <w:p w14:paraId="3C7D34D9" w14:textId="680EF157" w:rsidR="00C423CA" w:rsidRPr="00185D8A" w:rsidRDefault="00C423CA" w:rsidP="00185D8A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spresnenie transpozície smernice</w:t>
            </w:r>
            <w:r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Európskeho parlamentu a Rady </w:t>
            </w:r>
            <w:r w:rsidRPr="00185D8A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(EÚ) 2019/879 </w:t>
            </w:r>
            <w:r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z 20.  mája 2019, ktorou sa mení smernica 2014/59/EÚ, pokiaľ ide o kapacitu úverových inštitúcií a investičných spoločností na absorpciu strát a </w:t>
            </w:r>
            <w:proofErr w:type="spellStart"/>
            <w:r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rekapitalizáciu</w:t>
            </w:r>
            <w:proofErr w:type="spellEnd"/>
            <w:r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, a</w:t>
            </w:r>
            <w:r w:rsidR="00824E21"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Pr="00185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smernica 98/26/ES (Ú. v. EÚ L 150, 7.6.2019),</w:t>
            </w:r>
          </w:p>
          <w:p w14:paraId="182D287E" w14:textId="678D69C7" w:rsidR="007C6E0E" w:rsidRPr="00185D8A" w:rsidRDefault="00927A03" w:rsidP="00185D8A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Style w:val="Vrazn"/>
                <w:rFonts w:ascii="Times New Roman" w:eastAsia="Times New Roman" w:hAnsi="Times New Roman"/>
                <w:b w:val="0"/>
                <w:bCs w:val="0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 xml:space="preserve">implementácia </w:t>
            </w:r>
            <w:r w:rsidR="007C6E0E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čl.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81 ods. 7 a 15</w:t>
            </w:r>
            <w:r w:rsidR="007C6E0E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nariadenia </w:t>
            </w:r>
            <w:r w:rsidR="00A74D77" w:rsidRPr="00185D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Európskeho parlamentu a Rady (EÚ) 2023/1114 z 31. mája 2023 o trhoch s kryptoaktívami a o zmene nariadení (EÚ) č.</w:t>
            </w:r>
            <w:r w:rsidR="007508A3" w:rsidRPr="00185D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A74D77" w:rsidRPr="00185D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>1093/2010 a (EÚ) č.</w:t>
            </w:r>
            <w:r w:rsidR="00A74D77" w:rsidRPr="00185D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A74D77" w:rsidRPr="00185D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1095/2010 a smerníc 2013/36/EÚ a (EÚ) 2019/1937 </w:t>
            </w:r>
            <w:r w:rsidR="00AE31DE" w:rsidRPr="00185D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(Ú. v. EÚ L 150, 9.6.2023) </w:t>
            </w:r>
            <w:r w:rsidR="00A74D77" w:rsidRPr="00185D8A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 platnom znení </w:t>
            </w:r>
            <w:r w:rsidR="00A74D77" w:rsidRPr="00185D8A">
              <w:rPr>
                <w:rFonts w:ascii="Times New Roman" w:hAnsi="Times New Roman" w:cs="Times New Roman"/>
                <w:sz w:val="24"/>
                <w:szCs w:val="24"/>
              </w:rPr>
              <w:t>(ďalej len „</w:t>
            </w:r>
            <w:r w:rsidR="0005135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nariadenie </w:t>
            </w:r>
            <w:r w:rsidR="00A74D77" w:rsidRPr="00185D8A">
              <w:rPr>
                <w:rFonts w:ascii="Times New Roman" w:hAnsi="Times New Roman" w:cs="Times New Roman"/>
                <w:sz w:val="24"/>
                <w:szCs w:val="24"/>
              </w:rPr>
              <w:t>MiCA“)</w:t>
            </w:r>
            <w:r w:rsidRPr="00185D8A">
              <w:rPr>
                <w:rStyle w:val="Vrazn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177721BF" w14:textId="77777777" w:rsidR="00D80CEF" w:rsidRPr="00185D8A" w:rsidRDefault="00D80CEF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185D8A" w14:paraId="0B0A6A17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E339591" w14:textId="77777777" w:rsidR="001B23B7" w:rsidRPr="00185D8A" w:rsidRDefault="001B23B7" w:rsidP="00185D8A">
            <w:pPr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A04" w14:textId="3EC2940F" w:rsidR="001B23B7" w:rsidRPr="00185D8A" w:rsidRDefault="00C73ED3" w:rsidP="00185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3. až 14. </w:t>
            </w:r>
            <w:r w:rsidR="00927A03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jú</w:t>
            </w:r>
            <w:r w:rsidR="004F3A99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</w:t>
            </w: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  <w:r w:rsidR="00F0720B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202</w:t>
            </w:r>
            <w:r w:rsidR="00927A03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  <w:r w:rsidR="00F0720B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612E08" w:rsidRPr="00185D8A" w14:paraId="0068DB0C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994B7A5" w14:textId="77777777" w:rsidR="001B23B7" w:rsidRPr="00185D8A" w:rsidRDefault="001B23B7" w:rsidP="00185D8A">
            <w:pPr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Predpokladaný termín predloženia na </w:t>
            </w:r>
            <w:r w:rsidR="00A340BB"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CC3" w14:textId="19AFB984" w:rsidR="001B23B7" w:rsidRPr="00185D8A" w:rsidRDefault="00C73ED3" w:rsidP="00185D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927A03" w:rsidRPr="00185D8A">
              <w:rPr>
                <w:rFonts w:ascii="Times New Roman" w:hAnsi="Times New Roman" w:cs="Times New Roman"/>
                <w:sz w:val="24"/>
                <w:szCs w:val="24"/>
              </w:rPr>
              <w:t>úl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/august</w:t>
            </w:r>
            <w:r w:rsidR="00927A03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612E08" w:rsidRPr="00185D8A" w14:paraId="5B4AF4D7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1A8058B" w14:textId="77777777" w:rsidR="001B23B7" w:rsidRPr="00185D8A" w:rsidRDefault="001B23B7" w:rsidP="00185D8A">
            <w:pPr>
              <w:ind w:left="142"/>
              <w:contextualSpacing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Predpokladaný termín začiatku a ukončenia ZP**</w:t>
            </w:r>
            <w:r w:rsidRPr="00185D8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8974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12E08" w:rsidRPr="00185D8A" w14:paraId="33FE97A8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59FC3CE" w14:textId="77777777" w:rsidR="001B23B7" w:rsidRPr="00185D8A" w:rsidRDefault="001B23B7" w:rsidP="00185D8A">
            <w:pPr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9EA9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</w:tc>
      </w:tr>
      <w:tr w:rsidR="00612E08" w:rsidRPr="00185D8A" w14:paraId="0B67DA8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0CCED7" w14:textId="03042154" w:rsidR="00B33C4C" w:rsidRPr="00185D8A" w:rsidRDefault="00B33C4C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185D8A" w14:paraId="2CF9497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A3777BD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Definovanie problému</w:t>
            </w:r>
          </w:p>
        </w:tc>
      </w:tr>
      <w:tr w:rsidR="00612E08" w:rsidRPr="00185D8A" w14:paraId="2E4525E2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3BF07" w14:textId="77777777" w:rsidR="001B23B7" w:rsidRPr="00185D8A" w:rsidRDefault="001B23B7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685AAC5B" w14:textId="3BA96C93" w:rsidR="0011398A" w:rsidRPr="00185D8A" w:rsidRDefault="0011398A" w:rsidP="00185D8A">
            <w:pPr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  <w:p w14:paraId="1BBF8FA4" w14:textId="77777777" w:rsidR="00115F1E" w:rsidRPr="00185D8A" w:rsidRDefault="00115F1E" w:rsidP="00185D8A">
            <w:pPr>
              <w:spacing w:after="12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Dôvodom na vypracovanie návrhu zákona je najmä riešenie týchto hlavných problémov: </w:t>
            </w:r>
          </w:p>
          <w:p w14:paraId="17AD6530" w14:textId="60FB1773" w:rsidR="001F266E" w:rsidRPr="00185D8A" w:rsidRDefault="001F266E" w:rsidP="00185D8A">
            <w:pPr>
              <w:pStyle w:val="Odsekzoznamu"/>
              <w:numPr>
                <w:ilvl w:val="0"/>
                <w:numId w:val="14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nejednotné požiadavky k regulácii a dohľadu nad pobočkami z tretích krajín, čo spôsobuje nerovnaké podmienky na trhu a komplikuje fungovanie cezhraničných služieb,</w:t>
            </w:r>
          </w:p>
          <w:p w14:paraId="5207E5AE" w14:textId="258CB3A5" w:rsidR="001F266E" w:rsidRPr="00185D8A" w:rsidRDefault="001F266E" w:rsidP="00185D8A">
            <w:pPr>
              <w:pStyle w:val="Odsekzoznamu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nedostatočná motivácia bánk na dodržiavanie kapitálových požiadaviek a regulačných pravidiel, ako aj slabá </w:t>
            </w:r>
            <w:proofErr w:type="spellStart"/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presadzovacia</w:t>
            </w:r>
            <w:proofErr w:type="spellEnd"/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sila orgánov dohľadu,</w:t>
            </w:r>
          </w:p>
          <w:p w14:paraId="21D498AF" w14:textId="7316C88E" w:rsidR="001F266E" w:rsidRPr="00185D8A" w:rsidRDefault="001F266E" w:rsidP="00185D8A">
            <w:pPr>
              <w:pStyle w:val="Odsekzoznamu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riziká ohrozenia stability bankového sektora cez neprimerané prevody aktív, ako aj potreba predchádza</w:t>
            </w:r>
            <w:r w:rsidR="0047207F"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ť</w:t>
            </w:r>
            <w:r w:rsidR="00AA0C26"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nekvalitným vlastníckym zásahom do bánk, </w:t>
            </w:r>
          </w:p>
          <w:p w14:paraId="3F9C5DA5" w14:textId="16B084F2" w:rsidR="00AA0C26" w:rsidRPr="00185D8A" w:rsidRDefault="00AA0C26" w:rsidP="00185D8A">
            <w:pPr>
              <w:pStyle w:val="Odsekzoznamu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potreba lepšej regulácie rizík a integrácia </w:t>
            </w:r>
            <w:r w:rsidR="00E12389"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environmentálnych</w:t>
            </w:r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a sociálnych faktorov a faktorov správy a riadenia do bankových modelov vrátane podpora udržateľného financovania,</w:t>
            </w:r>
          </w:p>
          <w:p w14:paraId="3C3698F7" w14:textId="25D32BA9" w:rsidR="00AA0C26" w:rsidRPr="00185D8A" w:rsidRDefault="00AA0C26" w:rsidP="00185D8A">
            <w:pPr>
              <w:pStyle w:val="Odsekzoznamu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predchádzanie situáciám, kedy osoby na riadiacich pozíciách alebo v kľúčových funkciách v bankách nemali dostatočné odborné znalosti, skúsenosti a dôveryhodnosť na efektívne riadenie banky, čo môže viesť k finančným a </w:t>
            </w:r>
            <w:proofErr w:type="spellStart"/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reputačným</w:t>
            </w:r>
            <w:proofErr w:type="spellEnd"/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stratám,</w:t>
            </w:r>
          </w:p>
          <w:p w14:paraId="313EBC6D" w14:textId="43474B4F" w:rsidR="00AA0C26" w:rsidRPr="00185D8A" w:rsidRDefault="00115F1E" w:rsidP="00185D8A">
            <w:pPr>
              <w:pStyle w:val="Odsekzoznamu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snaha </w:t>
            </w:r>
            <w:r w:rsidR="0047207F" w:rsidRPr="00185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zabezpečiť nezávislosť orgánov dohľadu a predchádzať konfliktom záujmov zamestnancov, ktorí vykonávajú dohľad nad bankami.</w:t>
            </w:r>
          </w:p>
          <w:p w14:paraId="1913F906" w14:textId="62024B4D" w:rsidR="001F6F6A" w:rsidRPr="00185D8A" w:rsidRDefault="001F6F6A" w:rsidP="00185D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185D8A" w14:paraId="667B50E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DCB2C9D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Ciele a výsledný stav</w:t>
            </w:r>
          </w:p>
        </w:tc>
      </w:tr>
      <w:tr w:rsidR="00612E08" w:rsidRPr="00185D8A" w14:paraId="161B9F5A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AE3BE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1F5FAA3F" w14:textId="77777777" w:rsidR="001B23B7" w:rsidRPr="00185D8A" w:rsidRDefault="001B23B7" w:rsidP="00185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3AA187D" w14:textId="4716DBA7" w:rsidR="00DA0F6E" w:rsidRPr="00185D8A" w:rsidRDefault="004C49CC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Hlavným cieľom návrhu</w:t>
            </w:r>
            <w:r w:rsidR="00FD0FD3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zákona </w:t>
            </w:r>
            <w:r w:rsidR="00DA0F6E" w:rsidRPr="00185D8A">
              <w:rPr>
                <w:rFonts w:ascii="Times New Roman" w:hAnsi="Times New Roman" w:cs="Times New Roman"/>
                <w:sz w:val="24"/>
                <w:szCs w:val="24"/>
              </w:rPr>
              <w:t>je v súlade s cieľmi smernice CRD VI posilniť odolnosť  bankového sektora v</w:t>
            </w:r>
            <w:r w:rsidR="00464739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 SR, </w:t>
            </w:r>
            <w:r w:rsidR="00DA0F6E" w:rsidRPr="00185D8A">
              <w:rPr>
                <w:rFonts w:ascii="Times New Roman" w:hAnsi="Times New Roman" w:cs="Times New Roman"/>
                <w:sz w:val="24"/>
                <w:szCs w:val="24"/>
              </w:rPr>
              <w:t>zaistiť lepšiu ochranu finančnej stability</w:t>
            </w:r>
            <w:r w:rsidR="00464739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a ustanoviť nové zákonné požiadavky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, ktorých cieľom je riešiť vyššie spomenuté problémy</w:t>
            </w:r>
            <w:r w:rsidR="00D52114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nasledovne:</w:t>
            </w:r>
          </w:p>
          <w:p w14:paraId="52F56C6F" w14:textId="77777777" w:rsidR="003B046B" w:rsidRPr="00185D8A" w:rsidRDefault="003B046B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AD3E5" w14:textId="549B68EF" w:rsidR="0047207F" w:rsidRPr="00185D8A" w:rsidRDefault="00161766" w:rsidP="00185D8A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140298"/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Harmonizovaným prístupom 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k pobočkám z tretích krajín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sa zabezpečí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právna istota a rovnaké podmienky pre všetky banky pôsobiace v EÚ bez ohľadu na ich pôvod.</w:t>
            </w:r>
          </w:p>
          <w:p w14:paraId="3D2FD3FB" w14:textId="1720B9AC" w:rsidR="0047207F" w:rsidRPr="00185D8A" w:rsidRDefault="00161766" w:rsidP="00185D8A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Úpravy 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režim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správnych sankcií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, najmä zavedenie finančných sankcií, ktoré sa uplatňujú opakovane 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(pravidelné penále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), kým banka nepreukáže nápravu, posilní efektivitu dohľadu a zvyšuje tlak na rýchle a trvalé dodržiavanie pravidiel dohliadanými subjektmi v oblasti bankovníctva.</w:t>
            </w:r>
          </w:p>
          <w:p w14:paraId="6EE40B37" w14:textId="5556FC47" w:rsidR="0047207F" w:rsidRPr="00185D8A" w:rsidRDefault="00161766" w:rsidP="00185D8A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Zavádzajú sa jednotné pravidlá a procesy pre 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Národn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bank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Slovenska (ďalej len „NBS“)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ako orgán dohľadu 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pri prevodoch aktív alebo záväzkov, pri nadobúdaní a scudzovaní významných účastí bankami, pri zlúčení, splynutí a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rozdelení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. Zabezpečí sa tým, že vlastníci a investori spĺňajú vysoké požiadavky na spoľahlivosť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čím sa chráni zároveň aj stabilita finančného systému a záujmy klientov bánk.</w:t>
            </w:r>
          </w:p>
          <w:p w14:paraId="3D8F1E50" w14:textId="2D0320D4" w:rsidR="0047207F" w:rsidRPr="00185D8A" w:rsidRDefault="00037DA2" w:rsidP="00185D8A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Zohľadňujú sa 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environmentálne a sociálne riziká a riziká v oblasti správy a riadenia,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čo podporí </w:t>
            </w:r>
            <w:r w:rsidR="003B046B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aj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udržateľné financovanie.</w:t>
            </w:r>
          </w:p>
          <w:p w14:paraId="368ABB1B" w14:textId="313395C3" w:rsidR="0047207F" w:rsidRPr="00185D8A" w:rsidRDefault="00037DA2" w:rsidP="00185D8A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Stanovujú sa jasné pravidlá a kritériá pre hodnotenie vhodnosti členov štatutárneho orgánu, dozornej rady a osôb zastávajúcich k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ľúčové funkcie v banke,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čím sa podporí lepšie riadenie bánk, zvýši sa dôvera klientov v bankový sektor a zabráni sa konfliktom záujmov a neetickému správaniu.</w:t>
            </w:r>
          </w:p>
          <w:p w14:paraId="0338BEB3" w14:textId="23E2ED10" w:rsidR="0047207F" w:rsidRPr="00185D8A" w:rsidRDefault="00037DA2" w:rsidP="00185D8A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Upravujú sa 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>právomoci dohľadu a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 jasné pravidlá zabezpečujúce</w:t>
            </w:r>
            <w:r w:rsidR="0047207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nezávislosti dohľadu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. NBS ako orgán dohľadu môže efektívnejšie kontrolovať, vyžadovať nápravu, ukladať sankcie a sledovať riziká. Taktiež sa stanovujú pravidlá, ktoré chránia dohľad pred </w:t>
            </w:r>
            <w:r w:rsidR="003B046B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vonkajšími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vplyvmi</w:t>
            </w:r>
            <w:r w:rsidR="00115F1E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a pravidlá predchádzaniu konfliktom záujmov.</w:t>
            </w:r>
          </w:p>
          <w:p w14:paraId="34E3891B" w14:textId="77777777" w:rsidR="00D52114" w:rsidRPr="00185D8A" w:rsidRDefault="00D52114" w:rsidP="00185D8A">
            <w:pPr>
              <w:pStyle w:val="Odsekzoznamu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bookmarkEnd w:id="1"/>
          <w:p w14:paraId="54E2A688" w14:textId="0917F644" w:rsidR="00DA0F6E" w:rsidRPr="00185D8A" w:rsidRDefault="00DA0F6E" w:rsidP="00185D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185D8A" w14:paraId="39EBD81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BD0168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Dotknuté subjekty</w:t>
            </w:r>
          </w:p>
        </w:tc>
      </w:tr>
      <w:tr w:rsidR="00612E08" w:rsidRPr="00185D8A" w14:paraId="5F1D24E3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D8DA6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13BFE1FD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74EDB984" w14:textId="6D0B32FD" w:rsidR="001F6F6A" w:rsidRPr="00185D8A" w:rsidRDefault="001F6F6A" w:rsidP="00185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</w:t>
            </w:r>
            <w:r w:rsidR="00B75218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anky</w:t>
            </w: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(10),</w:t>
            </w:r>
          </w:p>
          <w:p w14:paraId="414DC5AD" w14:textId="6C700D82" w:rsidR="00432C6E" w:rsidRPr="00185D8A" w:rsidRDefault="00B75218" w:rsidP="00185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pobočky zahraničných bánk</w:t>
            </w:r>
            <w:r w:rsidR="001F6F6A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(12)</w:t>
            </w:r>
            <w:r w:rsidR="006C5483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</w:p>
          <w:p w14:paraId="0EEEFD35" w14:textId="5793FCD1" w:rsidR="001F6F6A" w:rsidRPr="00185D8A" w:rsidRDefault="00A74D77" w:rsidP="00185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finančné holdingové spoločnosti</w:t>
            </w:r>
            <w:r w:rsidR="00432C6E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</w:t>
            </w: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zmiešané finančné holdingové spoločnosti</w:t>
            </w:r>
            <w:r w:rsidR="001F6F6A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(0),</w:t>
            </w:r>
          </w:p>
          <w:p w14:paraId="434D61BB" w14:textId="78060D20" w:rsidR="00B75218" w:rsidRPr="00185D8A" w:rsidRDefault="001F6F6A" w:rsidP="00185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obchodníci s cennými papiermi spĺňajúci podmienky podľa § 7b ods. 1 zákona o bankách (0)</w:t>
            </w:r>
            <w:r w:rsidR="00432C6E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14:paraId="1B32898D" w14:textId="77777777" w:rsidR="00B33C4C" w:rsidRPr="00185D8A" w:rsidRDefault="00B33C4C" w:rsidP="00185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0AAB0CF7" w14:textId="77777777" w:rsidR="00B75218" w:rsidRPr="00185D8A" w:rsidRDefault="00B75218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185D8A" w14:paraId="014B60B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1D0B67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Alternatívne riešenia</w:t>
            </w:r>
          </w:p>
        </w:tc>
      </w:tr>
      <w:tr w:rsidR="00612E08" w:rsidRPr="00185D8A" w14:paraId="7A1381D5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8F390" w14:textId="77777777" w:rsidR="001B23B7" w:rsidRPr="00185D8A" w:rsidRDefault="001B23B7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0F34BAED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4F3CC58" w14:textId="77777777" w:rsidR="001B23B7" w:rsidRPr="00185D8A" w:rsidRDefault="001B23B7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47F3394A" w14:textId="77777777" w:rsidR="007C6E0E" w:rsidRPr="00185D8A" w:rsidRDefault="007C6E0E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8E9A652" w14:textId="1854F5D6" w:rsidR="00E01F91" w:rsidRPr="00185D8A" w:rsidRDefault="007C6E0E" w:rsidP="00185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Nulovým variantom je </w:t>
            </w:r>
            <w:r w:rsidR="00905799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netransponovanie </w:t>
            </w:r>
            <w:r w:rsidR="00A74D77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smernice CRD VI a smernice 2024/2994</w:t>
            </w: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čím by Slovenská republika nesplnila </w:t>
            </w:r>
            <w:r w:rsidR="00905799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svoje </w:t>
            </w: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povinnosti </w:t>
            </w:r>
            <w:r w:rsidR="00905799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 vystavila sa tak nebezpečenstvu začatia konania podľa článku 258 Zmluvy o fungovaní EÚ pre nesplnenie zmluvných povinností (</w:t>
            </w:r>
            <w:proofErr w:type="spellStart"/>
            <w:r w:rsidR="00905799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infringement</w:t>
            </w:r>
            <w:proofErr w:type="spellEnd"/>
            <w:r w:rsidR="00905799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905799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proceedings</w:t>
            </w:r>
            <w:proofErr w:type="spellEnd"/>
            <w:r w:rsidR="00905799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). </w:t>
            </w:r>
          </w:p>
          <w:p w14:paraId="169E7AD9" w14:textId="6DD0400B" w:rsidR="00905799" w:rsidRPr="00185D8A" w:rsidRDefault="00E01F91" w:rsidP="00185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Vzhľadom na vyššie uvedené a</w:t>
            </w:r>
            <w:r w:rsidR="00905799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lternatívne riešenia neboli zvažované.</w:t>
            </w:r>
          </w:p>
          <w:p w14:paraId="6935D7E3" w14:textId="77777777" w:rsidR="00115F1E" w:rsidRPr="00185D8A" w:rsidRDefault="00115F1E" w:rsidP="00185D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8DB8F40" w14:textId="56C576AD" w:rsidR="00905799" w:rsidRPr="00185D8A" w:rsidRDefault="00905799" w:rsidP="00185D8A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612E08" w:rsidRPr="00185D8A" w14:paraId="234E549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968C4AF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Vykonávacie predpisy</w:t>
            </w:r>
          </w:p>
        </w:tc>
      </w:tr>
      <w:tr w:rsidR="00612E08" w:rsidRPr="00185D8A" w14:paraId="12CC532F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F10686C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0382ADDC" w14:textId="77777777" w:rsidR="001B23B7" w:rsidRPr="00185D8A" w:rsidRDefault="00000000" w:rsidP="00185D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C6E0E"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754945B" w14:textId="77777777" w:rsidR="001B23B7" w:rsidRPr="00185D8A" w:rsidRDefault="00000000" w:rsidP="00185D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EE3"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185D8A" w14:paraId="45C56465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FE9AC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8D43CC8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F265890" w14:textId="4BAF94A1" w:rsidR="00051358" w:rsidRPr="00185D8A" w:rsidRDefault="00EB0625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Podľa návrhu zákona</w:t>
            </w:r>
            <w:r w:rsidR="00432C6E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051358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NBS</w:t>
            </w: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432C6E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vydá</w:t>
            </w:r>
            <w:r w:rsidR="00E82597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alebo v prípade potreby môže vydať tieto nové opatrenia</w:t>
            </w:r>
            <w:r w:rsidR="00051358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312CA192" w14:textId="5501D5F5" w:rsidR="00B75218" w:rsidRPr="00185D8A" w:rsidRDefault="00EB0625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opatrenie, ktorým sa ustanov</w:t>
            </w:r>
            <w:r w:rsidR="00432C6E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ia </w:t>
            </w:r>
            <w:r w:rsidR="00432C6E" w:rsidRPr="00185D8A">
              <w:rPr>
                <w:rFonts w:ascii="Times New Roman" w:hAnsi="Times New Roman" w:cs="Times New Roman"/>
                <w:sz w:val="24"/>
                <w:szCs w:val="24"/>
              </w:rPr>
              <w:t>náležitosti žiadosti o udelenie bankového povolenia</w:t>
            </w:r>
            <w:r w:rsidR="0005135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pre zahraničnú banku so sídlom mimo územia členského štátu na výkon bankových činností v SR prostredníctvom jej pobočky a</w:t>
            </w:r>
            <w:r w:rsidR="00432C6E" w:rsidRPr="00185D8A">
              <w:rPr>
                <w:rFonts w:ascii="Times New Roman" w:hAnsi="Times New Roman" w:cs="Times New Roman"/>
                <w:sz w:val="24"/>
                <w:szCs w:val="24"/>
              </w:rPr>
              <w:t> doklady prikladané k žiadosti, podrobnosti o podmienkach a spôsob preukazovania splnenia týchto podmienok</w:t>
            </w:r>
            <w:r w:rsidR="0005135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čl. I – </w:t>
            </w:r>
            <w:r w:rsidR="00051358" w:rsidRPr="00185D8A">
              <w:rPr>
                <w:rFonts w:ascii="Times New Roman" w:hAnsi="Times New Roman" w:cs="Times New Roman"/>
                <w:sz w:val="24"/>
                <w:szCs w:val="24"/>
              </w:rPr>
              <w:t>§ 8 ods. 14)</w:t>
            </w:r>
            <w:r w:rsidR="00E82597" w:rsidRPr="00185D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7ADCDC" w14:textId="497F505A" w:rsidR="00E82597" w:rsidRPr="00185D8A" w:rsidRDefault="00E82597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opatrenie, ktoré v prípade potreby upraví náležitosti žiadosti o vyňatí z rozsahu konsolidácie, prikladané doklady k žiadosti a podrobnosti o podmienkach (čl. I - § 20ad ods. 3),</w:t>
            </w:r>
          </w:p>
          <w:p w14:paraId="183F1A82" w14:textId="5D9CEBF8" w:rsidR="00905799" w:rsidRPr="00185D8A" w:rsidRDefault="00EB0625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opatrenie, ktoré upresní </w:t>
            </w:r>
            <w:r w:rsidR="00BC4216" w:rsidRPr="00185D8A">
              <w:rPr>
                <w:rFonts w:ascii="Times New Roman" w:hAnsi="Times New Roman" w:cs="Times New Roman"/>
                <w:sz w:val="24"/>
                <w:szCs w:val="24"/>
              </w:rPr>
              <w:t>náležitosti oznámenia podľa § 28a ods. 12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čl. I –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C4216" w:rsidRPr="00185D8A">
              <w:rPr>
                <w:rFonts w:ascii="Times New Roman" w:hAnsi="Times New Roman" w:cs="Times New Roman"/>
                <w:sz w:val="24"/>
                <w:szCs w:val="24"/>
              </w:rPr>
              <w:t>28a ods. 14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návrhu zákona)</w:t>
            </w:r>
            <w:r w:rsidR="00E82597" w:rsidRPr="00185D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5E7129" w14:textId="1B529087" w:rsidR="00BC4216" w:rsidRPr="00185D8A" w:rsidRDefault="00BC4216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opatrenie, ktorým sa ustanovia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náležitosti žiadosti o predchádzajúci súhlas </w:t>
            </w:r>
            <w:r w:rsidR="00051358" w:rsidRPr="00185D8A">
              <w:rPr>
                <w:rFonts w:ascii="Times New Roman" w:hAnsi="Times New Roman" w:cs="Times New Roman"/>
                <w:sz w:val="24"/>
                <w:szCs w:val="24"/>
              </w:rPr>
              <w:t>na nadobudnutie významného podielu bankou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vrátane dokladov prikladaných k žiadosti, podrobnosti o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podmienkach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51358" w:rsidRPr="00185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r w:rsidR="0005135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preukazovania splnenia týchto podmienok</w:t>
            </w:r>
            <w:r w:rsidR="0005135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358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čl. I – </w:t>
            </w:r>
            <w:r w:rsidR="00051358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§ 28b ods. 3)</w:t>
            </w:r>
            <w:r w:rsidR="00E82597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</w:t>
            </w:r>
          </w:p>
          <w:p w14:paraId="4D3F61F6" w14:textId="7FF0E775" w:rsidR="00BC4216" w:rsidRPr="00185D8A" w:rsidRDefault="00BC4216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4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opatrenie, ktorým sa ustanovia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náležitosti žiadosti o predchádzajúci súhlas </w:t>
            </w:r>
            <w:r w:rsidR="00051358" w:rsidRPr="00185D8A">
              <w:rPr>
                <w:rFonts w:ascii="Times New Roman" w:hAnsi="Times New Roman" w:cs="Times New Roman"/>
                <w:sz w:val="24"/>
                <w:szCs w:val="24"/>
              </w:rPr>
              <w:t>na zlúčenie, splynutie alebo rozdelenie banky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vrátane dokladov prikladaných k žiadosti, podrobnosti o podmienkach a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spôsob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preukazovania splnenia týchto podmienok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358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čl. I – </w:t>
            </w:r>
            <w:r w:rsidR="00051358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§ 28h ods. 3)</w:t>
            </w:r>
            <w:r w:rsidR="00643808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14:paraId="284C6D69" w14:textId="77777777" w:rsidR="00B33C4C" w:rsidRPr="00185D8A" w:rsidRDefault="00B33C4C" w:rsidP="00185D8A">
            <w:pPr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57EC6492" w14:textId="6D000472" w:rsidR="00DD2D85" w:rsidRPr="00185D8A" w:rsidRDefault="00DD2D85" w:rsidP="00185D8A">
            <w:pPr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 úplnosť uvádzame, že z dôvodu presunutia niektorých ustanovení z § 25 a 27 do nového § 25a došlo k prečíslovaniu odsekov v § 27 a splnomocňovacie ustanovenie v § 27 ods. 14 je presným znením súčasného znenia zákona, tzn. nejde o novú povinnosť NBS vydať nové opatrenie. Zostáva v platnosti súčasné Opatrenie č. 4/2015. </w:t>
            </w:r>
          </w:p>
          <w:p w14:paraId="34B76C2C" w14:textId="2A2BBBDF" w:rsidR="00B33C4C" w:rsidRPr="00185D8A" w:rsidRDefault="00B33C4C" w:rsidP="00185D8A">
            <w:pPr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AD313DB" w14:textId="77777777" w:rsidR="00115F1E" w:rsidRPr="00185D8A" w:rsidRDefault="00115F1E" w:rsidP="00185D8A">
            <w:pPr>
              <w:ind w:left="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47E8B71B" w14:textId="77777777" w:rsidR="00905799" w:rsidRPr="00185D8A" w:rsidRDefault="00905799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185D8A" w14:paraId="39C2ABB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0A94B83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Transpozícia</w:t>
            </w:r>
            <w:r w:rsidR="007C5312"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C94E4E"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implementácia </w:t>
            </w: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práva EÚ </w:t>
            </w:r>
          </w:p>
        </w:tc>
      </w:tr>
      <w:tr w:rsidR="00612E08" w:rsidRPr="00185D8A" w14:paraId="06205415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185D8A" w14:paraId="438510AC" w14:textId="77777777">
              <w:trPr>
                <w:trHeight w:val="90"/>
              </w:trPr>
              <w:tc>
                <w:tcPr>
                  <w:tcW w:w="8643" w:type="dxa"/>
                </w:tcPr>
                <w:p w14:paraId="7C4378FA" w14:textId="77777777" w:rsidR="00A7788F" w:rsidRPr="00185D8A" w:rsidRDefault="00A7788F" w:rsidP="00185D8A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85D8A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185D8A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185D8A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185D8A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185D8A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185D8A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185D8A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185D8A" w14:paraId="51DFCEEB" w14:textId="77777777">
              <w:trPr>
                <w:trHeight w:val="296"/>
              </w:trPr>
              <w:tc>
                <w:tcPr>
                  <w:tcW w:w="8643" w:type="dxa"/>
                </w:tcPr>
                <w:p w14:paraId="62DD6814" w14:textId="386B3F36" w:rsidR="00A7788F" w:rsidRPr="00185D8A" w:rsidRDefault="00A7788F" w:rsidP="00185D8A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185D8A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34213" w:rsidRPr="00185D8A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185D8A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bookmarkStart w:id="2" w:name="_Hlk201140239"/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A0000" w:rsidRPr="00185D8A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bookmarkEnd w:id="2"/>
                  <w:r w:rsidRPr="00185D8A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62EEC00C" w14:textId="77777777" w:rsidR="00A7788F" w:rsidRPr="00185D8A" w:rsidRDefault="00A7788F" w:rsidP="00185D8A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7C4A8511" w14:textId="77777777" w:rsidR="00A7788F" w:rsidRPr="00185D8A" w:rsidRDefault="00A7788F" w:rsidP="00185D8A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185D8A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12E08" w:rsidRPr="00185D8A" w14:paraId="5258E5E0" w14:textId="77777777">
              <w:trPr>
                <w:trHeight w:val="296"/>
              </w:trPr>
              <w:tc>
                <w:tcPr>
                  <w:tcW w:w="8643" w:type="dxa"/>
                </w:tcPr>
                <w:p w14:paraId="08A55A8A" w14:textId="77777777" w:rsidR="00A7788F" w:rsidRPr="00185D8A" w:rsidRDefault="00A7788F" w:rsidP="00185D8A">
                  <w:pPr>
                    <w:pStyle w:val="Default"/>
                    <w:jc w:val="both"/>
                    <w:rPr>
                      <w:rFonts w:ascii="Segoe UI Symbol" w:hAnsi="Segoe UI Symbol" w:cs="Segoe UI Symbol"/>
                      <w:color w:val="auto"/>
                    </w:rPr>
                  </w:pPr>
                </w:p>
                <w:p w14:paraId="409A3DD1" w14:textId="149044E0" w:rsidR="00B33C4C" w:rsidRPr="00185D8A" w:rsidRDefault="00E82597" w:rsidP="00185D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bookmarkStart w:id="3" w:name="_Hlk202354648"/>
                  <w:r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Návrh zákona obsahuje</w:t>
                  </w:r>
                  <w:r w:rsidR="00BF430E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o goldplating s vplyvom na podnikateľské prostredie</w:t>
                  </w:r>
                  <w:r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, konkrétn</w:t>
                  </w:r>
                  <w:r w:rsidR="00B33C4C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</w:t>
                  </w:r>
                  <w:r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ide o n</w:t>
                  </w:r>
                  <w:r w:rsidR="00BF430E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avýšenie požiadaviek</w:t>
                  </w:r>
                  <w:r w:rsidR="007731B4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pre pobočku zahraničnej banky so sídlom mimo územia členského štátu</w:t>
                  </w:r>
                  <w:r w:rsidR="00BF430E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oproti minimálnym požiadavkám stanoveným v smernici CRD VI</w:t>
                  </w:r>
                  <w:r w:rsidR="007731B4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. </w:t>
                  </w:r>
                  <w:r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Návrhom zákona sa</w:t>
                  </w:r>
                  <w:r w:rsidR="00B33C4C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jednak</w:t>
                  </w:r>
                  <w:r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z</w:t>
                  </w:r>
                  <w:r w:rsidR="007731B4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nižuj</w:t>
                  </w:r>
                  <w:r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ú</w:t>
                  </w:r>
                  <w:r w:rsidR="007731B4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sa prah</w:t>
                  </w:r>
                  <w:r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ové hodnoty ustanovené v smernici CRD VI</w:t>
                  </w:r>
                  <w:r w:rsidR="007731B4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, pri dosiahnutí ktor</w:t>
                  </w:r>
                  <w:r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ých</w:t>
                  </w:r>
                  <w:r w:rsidR="007731B4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sa pobočka zahraničnej banky klasifikuje do triedy 1, a teda platia pre ňu prísnejšie podmienky. </w:t>
                  </w:r>
                  <w:r w:rsidR="00B33C4C" w:rsidRPr="00185D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Návrh obsahuje aj povinnosť zriadiť výbor pre odmeňovanie.</w:t>
                  </w:r>
                </w:p>
                <w:p w14:paraId="37E3C4DF" w14:textId="77777777" w:rsidR="00B33C4C" w:rsidRPr="00185D8A" w:rsidRDefault="007731B4" w:rsidP="00185D8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Dôvodom</w:t>
                  </w:r>
                  <w:r w:rsidR="00C351C2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zníženia prahových hodnôt</w:t>
                  </w:r>
                  <w:r w:rsidR="00B33C4C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 zriadenia výboru pre odmeňovanie</w:t>
                  </w:r>
                  <w:r w:rsidR="00C351C2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je</w:t>
                  </w:r>
                  <w:r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najmä zohľadnenie</w:t>
                  </w:r>
                  <w:r w:rsidR="00DA0F6E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reálií slovenského bankového trhu (napr. veľkosť bánk</w:t>
                  </w:r>
                  <w:r w:rsidR="00C351C2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pôsobiacich v SR</w:t>
                  </w:r>
                  <w:r w:rsidR="00DA0F6E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="00C351C2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ako aj</w:t>
                  </w:r>
                  <w:r w:rsidR="00E82597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zohľadnenie</w:t>
                  </w:r>
                  <w:r w:rsidR="00C351C2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prípadných rizík a </w:t>
                  </w:r>
                  <w:r w:rsidR="00DA0F6E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ochran</w:t>
                  </w:r>
                  <w:r w:rsidR="00C351C2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  <w:r w:rsidR="00DA0F6E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klientov (najmä vkladateľov) takejto pobočky z tretej krajiny</w:t>
                  </w:r>
                  <w:r w:rsidR="00C351C2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mimo EÚ</w:t>
                  </w:r>
                  <w:r w:rsidR="00DA0F6E"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  <w:p w14:paraId="6EEA2E17" w14:textId="7F5340A4" w:rsidR="00BF430E" w:rsidRPr="00185D8A" w:rsidRDefault="003865A2" w:rsidP="00185D8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D8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Keďže v</w:t>
                  </w:r>
                  <w:r w:rsidRPr="00185D8A">
                    <w:rPr>
                      <w:rStyle w:val="cf01"/>
                      <w:rFonts w:ascii="Times New Roman" w:hAnsi="Times New Roman" w:cs="Times New Roman"/>
                      <w:sz w:val="24"/>
                      <w:szCs w:val="24"/>
                    </w:rPr>
                    <w:t xml:space="preserve"> súčasnosti v SR nemáme žiadnu pobočku zahraničnej banky z tretej krajiny a v dohľadnej dobe takú v SR ani neočakávame, vplyvy </w:t>
                  </w:r>
                  <w:proofErr w:type="spellStart"/>
                  <w:r w:rsidRPr="00185D8A">
                    <w:rPr>
                      <w:rStyle w:val="cf01"/>
                      <w:rFonts w:ascii="Times New Roman" w:hAnsi="Times New Roman" w:cs="Times New Roman"/>
                      <w:sz w:val="24"/>
                      <w:szCs w:val="24"/>
                    </w:rPr>
                    <w:t>goldplatingu</w:t>
                  </w:r>
                  <w:proofErr w:type="spellEnd"/>
                  <w:r w:rsidRPr="00185D8A">
                    <w:rPr>
                      <w:rStyle w:val="cf01"/>
                      <w:rFonts w:ascii="Times New Roman" w:hAnsi="Times New Roman" w:cs="Times New Roman"/>
                      <w:sz w:val="24"/>
                      <w:szCs w:val="24"/>
                    </w:rPr>
                    <w:t xml:space="preserve"> sú preto nulové.</w:t>
                  </w:r>
                  <w:bookmarkEnd w:id="3"/>
                </w:p>
                <w:p w14:paraId="1211DD06" w14:textId="7BBD970B" w:rsidR="00B33C4C" w:rsidRPr="00185D8A" w:rsidRDefault="00B33C4C" w:rsidP="00185D8A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777B325" w14:textId="77777777" w:rsidR="001B23B7" w:rsidRPr="00185D8A" w:rsidRDefault="001B23B7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185D8A" w14:paraId="241B1EB9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6619A" w14:textId="77777777" w:rsidR="001B23B7" w:rsidRPr="00185D8A" w:rsidRDefault="001B23B7" w:rsidP="0018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185D8A" w14:paraId="3C6DF14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F766783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Preskúmanie účelnosti</w:t>
            </w:r>
          </w:p>
        </w:tc>
      </w:tr>
      <w:tr w:rsidR="00612E08" w:rsidRPr="00185D8A" w14:paraId="780D6466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EA8E1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7331A962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263184D0" w14:textId="77777777" w:rsidR="00BC4216" w:rsidRPr="00185D8A" w:rsidRDefault="00BC4216" w:rsidP="00185D8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sk-SK"/>
              </w:rPr>
            </w:pPr>
          </w:p>
          <w:p w14:paraId="42697674" w14:textId="2FDE3702" w:rsidR="005947F0" w:rsidRPr="00185D8A" w:rsidRDefault="005947F0" w:rsidP="00185D8A">
            <w:pPr>
              <w:pStyle w:val="Default"/>
              <w:jc w:val="both"/>
              <w:rPr>
                <w:iCs/>
                <w:color w:val="000000" w:themeColor="text1"/>
              </w:rPr>
            </w:pPr>
            <w:r w:rsidRPr="00185D8A">
              <w:rPr>
                <w:iCs/>
                <w:color w:val="000000" w:themeColor="text1"/>
              </w:rPr>
              <w:t>Podľa čl. 161 smernice 2013/36/EÚ (t. j. smernice, ktorú novelizuje smernica CRD VI) Komisia vykonáva pravidelné preskúmanie vykonávania tejto smernice v intervale 5 až 6 rokov. Preskúmanie účelnosti návrhu zákona bude prebiehať paralelne s týmto preskúmaním účelnosti Komisiou, pričom zatiaľ nie je stanovený presný dátum, do kedy sa má toto preskúmanie smernice uskutočniť. Predpokladaný termín: rok 2030.</w:t>
            </w:r>
          </w:p>
          <w:p w14:paraId="467D664F" w14:textId="77777777" w:rsidR="004B597B" w:rsidRPr="00185D8A" w:rsidRDefault="004B597B" w:rsidP="00185D8A">
            <w:pPr>
              <w:pStyle w:val="Default"/>
              <w:jc w:val="both"/>
              <w:rPr>
                <w:iCs/>
                <w:color w:val="000000" w:themeColor="text1"/>
              </w:rPr>
            </w:pPr>
          </w:p>
          <w:p w14:paraId="6C85077E" w14:textId="53CAB027" w:rsidR="004B597B" w:rsidRPr="00185D8A" w:rsidRDefault="004B597B" w:rsidP="00185D8A">
            <w:pPr>
              <w:pStyle w:val="Default"/>
              <w:jc w:val="both"/>
              <w:rPr>
                <w:iCs/>
                <w:color w:val="000000" w:themeColor="text1"/>
              </w:rPr>
            </w:pPr>
            <w:r w:rsidRPr="00185D8A">
              <w:rPr>
                <w:iCs/>
                <w:color w:val="000000" w:themeColor="text1"/>
              </w:rPr>
              <w:t>Pri preskúmaní účelnosti návrhu zákona sa zhodnotí najmä, či návrh prispel k posilneniu odolnosti bankového sektora v Slovenskej republike a či došlo k zaisteniu lepšej ochrany finančnej stability.</w:t>
            </w:r>
          </w:p>
          <w:p w14:paraId="29D5543D" w14:textId="54C0D4E9" w:rsidR="005947F0" w:rsidRPr="00185D8A" w:rsidRDefault="005947F0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185D8A" w14:paraId="556049AF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D19EC2" w14:textId="77777777" w:rsidR="001B23B7" w:rsidRPr="00185D8A" w:rsidRDefault="001B23B7" w:rsidP="00185D8A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</w:p>
          <w:p w14:paraId="68C43C22" w14:textId="77777777" w:rsidR="001B23B7" w:rsidRPr="00185D8A" w:rsidRDefault="001B23B7" w:rsidP="00185D8A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4B43E561" w14:textId="77777777" w:rsidR="00A340BB" w:rsidRPr="00185D8A" w:rsidRDefault="001B23B7" w:rsidP="00185D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06C38BD7" w14:textId="77777777" w:rsidR="00A7788F" w:rsidRPr="00185D8A" w:rsidRDefault="00A7788F" w:rsidP="00185D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*** posudzovanie sa týka len zmien v I. a II. pilieri univerzálneho systému dôchodkového zabezpečenia s identifikovaným dopadom od 0,1 % HDP (vrátane) na dlhodobom horizonte.</w:t>
            </w:r>
          </w:p>
          <w:p w14:paraId="1FD67E26" w14:textId="77777777" w:rsidR="004E176E" w:rsidRPr="00185D8A" w:rsidRDefault="004E176E" w:rsidP="00185D8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661149C" w14:textId="77777777" w:rsidR="001B23B7" w:rsidRPr="00185D8A" w:rsidRDefault="001B23B7" w:rsidP="00185D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185D8A" w14:paraId="5ED1FBCF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69F7B46F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85D8A">
              <w:rPr>
                <w:rFonts w:ascii="Times New Roman" w:eastAsia="Calibri" w:hAnsi="Times New Roman" w:cs="Times New Roman"/>
                <w:b/>
              </w:rPr>
              <w:lastRenderedPageBreak/>
              <w:t>Vybrané vplyvy  materiálu</w:t>
            </w:r>
          </w:p>
        </w:tc>
      </w:tr>
      <w:tr w:rsidR="00612E08" w:rsidRPr="00185D8A" w14:paraId="47AD6A3D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8B62D36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FF13181" w14:textId="7EBD4C1B" w:rsidR="001B23B7" w:rsidRPr="00185D8A" w:rsidRDefault="007D77CF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305073E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2F3A626" w14:textId="6EF45625" w:rsidR="001B23B7" w:rsidRPr="00185D8A" w:rsidRDefault="007D77CF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839C45E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B2F0557" w14:textId="7FF5215C" w:rsidR="001B23B7" w:rsidRPr="00185D8A" w:rsidRDefault="007D77CF" w:rsidP="00185D8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5ECC779" w14:textId="77777777" w:rsidR="001B23B7" w:rsidRPr="00185D8A" w:rsidRDefault="001B23B7" w:rsidP="00185D8A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185D8A" w14:paraId="0E8C23BB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D1749C" w14:textId="77777777" w:rsidR="00B84F87" w:rsidRPr="00185D8A" w:rsidRDefault="00B84F87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8736555" w14:textId="77777777" w:rsidR="00B84F87" w:rsidRPr="00185D8A" w:rsidRDefault="00B84F87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1E032D7F" w14:textId="77777777" w:rsidR="003145AE" w:rsidRPr="00185D8A" w:rsidRDefault="00B84F87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AF51CC7" w14:textId="432F5A97" w:rsidR="001B23B7" w:rsidRPr="00185D8A" w:rsidRDefault="00927A03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5DEE9D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697BB4D" w14:textId="77777777" w:rsidR="001B23B7" w:rsidRPr="00185D8A" w:rsidRDefault="008D3AF6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5F950A3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8976AFB" w14:textId="77777777" w:rsidR="001B23B7" w:rsidRPr="00185D8A" w:rsidRDefault="00203EE3" w:rsidP="00185D8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F0236E" w14:textId="77777777" w:rsidR="001B23B7" w:rsidRPr="00185D8A" w:rsidRDefault="001B23B7" w:rsidP="00185D8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185D8A" w14:paraId="243E575C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437E92" w14:textId="77777777" w:rsidR="003145AE" w:rsidRPr="00185D8A" w:rsidRDefault="003145AE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55B8561" w14:textId="77777777" w:rsidR="003145AE" w:rsidRPr="00185D8A" w:rsidRDefault="003145AE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1881A7" w14:textId="77777777" w:rsidR="003145AE" w:rsidRPr="00185D8A" w:rsidRDefault="003145AE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E32ABF8" w14:textId="77777777" w:rsidR="003145AE" w:rsidRPr="00185D8A" w:rsidRDefault="007C6E0E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FC5428" w14:textId="77777777" w:rsidR="003145AE" w:rsidRPr="00185D8A" w:rsidRDefault="003145AE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3358788" w14:textId="77777777" w:rsidR="003145AE" w:rsidRPr="00185D8A" w:rsidRDefault="003145AE" w:rsidP="00185D8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79D2FC5" w14:textId="77777777" w:rsidR="003145AE" w:rsidRPr="00185D8A" w:rsidRDefault="003145AE" w:rsidP="00185D8A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185D8A" w14:paraId="7B762DC4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6AA3726" w14:textId="77777777" w:rsidR="003145AE" w:rsidRPr="00185D8A" w:rsidRDefault="003145AE" w:rsidP="00185D8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4B124E4C" w14:textId="77777777" w:rsidR="003145AE" w:rsidRPr="00185D8A" w:rsidRDefault="003145AE" w:rsidP="00185D8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8529ADE" w14:textId="77777777" w:rsidR="003145AE" w:rsidRPr="00185D8A" w:rsidRDefault="003145AE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C07A6" w14:textId="77777777" w:rsidR="003145AE" w:rsidRPr="00185D8A" w:rsidRDefault="003145AE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8E2C58" w14:textId="77777777" w:rsidR="003145AE" w:rsidRPr="00185D8A" w:rsidRDefault="003145AE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47F8ED" w14:textId="77777777" w:rsidR="003145AE" w:rsidRPr="00185D8A" w:rsidRDefault="003145AE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253E1E" w14:textId="77777777" w:rsidR="003145AE" w:rsidRPr="00185D8A" w:rsidRDefault="003145AE" w:rsidP="00185D8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CCA34" w14:textId="77777777" w:rsidR="003145AE" w:rsidRPr="00185D8A" w:rsidRDefault="003145AE" w:rsidP="00185D8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185D8A" w14:paraId="7550F635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FC6A239" w14:textId="77777777" w:rsidR="00A7788F" w:rsidRPr="00185D8A" w:rsidRDefault="00A7788F" w:rsidP="00185D8A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24A65D0" w14:textId="77777777" w:rsidR="00A7788F" w:rsidRPr="00185D8A" w:rsidRDefault="00CD6E04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08ED6" w14:textId="77777777" w:rsidR="00A7788F" w:rsidRPr="00185D8A" w:rsidRDefault="00A7788F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4A361" w14:textId="77777777" w:rsidR="00A7788F" w:rsidRPr="00185D8A" w:rsidRDefault="00A7788F" w:rsidP="00185D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C7F8E" w14:textId="77777777" w:rsidR="00A7788F" w:rsidRPr="00185D8A" w:rsidRDefault="00A7788F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D9630B8" w14:textId="77777777" w:rsidR="00A7788F" w:rsidRPr="00185D8A" w:rsidRDefault="00187182" w:rsidP="00185D8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7DD47" w14:textId="77777777" w:rsidR="00A7788F" w:rsidRPr="00185D8A" w:rsidRDefault="00A7788F" w:rsidP="00185D8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185D8A" w14:paraId="16A62AAB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E02548D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A728474" w14:textId="77777777" w:rsidR="007F587A" w:rsidRPr="00185D8A" w:rsidRDefault="007F587A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0512D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246E8B7" w14:textId="77777777" w:rsidR="007F587A" w:rsidRPr="00185D8A" w:rsidRDefault="007C6E0E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A8542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B6E11C" w14:textId="77777777" w:rsidR="007F587A" w:rsidRPr="00185D8A" w:rsidRDefault="007F587A" w:rsidP="00185D8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6C87D" w14:textId="77777777" w:rsidR="007F587A" w:rsidRPr="00185D8A" w:rsidRDefault="007F587A" w:rsidP="00185D8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185D8A" w14:paraId="33DA165E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FBFB1FE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81C4F3C" w14:textId="418F84F3" w:rsidR="007F587A" w:rsidRPr="00185D8A" w:rsidRDefault="001245D4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118BBA3" w14:textId="77777777" w:rsidR="007F587A" w:rsidRPr="00185D8A" w:rsidRDefault="007F587A" w:rsidP="00185D8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CE34C62" w14:textId="77777777" w:rsidR="007F587A" w:rsidRPr="00185D8A" w:rsidRDefault="00162AB7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6F6224C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B8E7727" w14:textId="281B2212" w:rsidR="007F587A" w:rsidRPr="00185D8A" w:rsidRDefault="00B33C75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7E0031" w14:textId="77777777" w:rsidR="007F587A" w:rsidRPr="00185D8A" w:rsidRDefault="007F587A" w:rsidP="00185D8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185D8A" w14:paraId="71A734B4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098E153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14090A71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39E249FF" w14:textId="553415F3" w:rsidR="007F587A" w:rsidRPr="00185D8A" w:rsidRDefault="00927A03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3D9746" w14:textId="77777777" w:rsidR="007F587A" w:rsidRPr="00185D8A" w:rsidRDefault="007F587A" w:rsidP="00185D8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AE137E4" w14:textId="7B3D043A" w:rsidR="007F587A" w:rsidRPr="00185D8A" w:rsidRDefault="00AD7286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29E909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BDDFBD9" w14:textId="5468540C" w:rsidR="007F587A" w:rsidRPr="00185D8A" w:rsidRDefault="00927A03" w:rsidP="00185D8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139E28" w14:textId="77777777" w:rsidR="007F587A" w:rsidRPr="00185D8A" w:rsidRDefault="007F587A" w:rsidP="00185D8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185D8A" w14:paraId="3DB93E8C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69DC4DE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5D964CA4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A07212B" w14:textId="3B2418D9" w:rsidR="007F587A" w:rsidRPr="00185D8A" w:rsidRDefault="00927A03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90568C" w14:textId="77777777" w:rsidR="007F587A" w:rsidRPr="00185D8A" w:rsidRDefault="007F587A" w:rsidP="00185D8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51039" w14:textId="77777777" w:rsidR="007F587A" w:rsidRPr="00185D8A" w:rsidRDefault="007F587A" w:rsidP="00185D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C52F8" w14:textId="77777777" w:rsidR="007F587A" w:rsidRPr="00185D8A" w:rsidRDefault="007F587A" w:rsidP="00185D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E7BC1A" w14:textId="14FB6C90" w:rsidR="007F587A" w:rsidRPr="00185D8A" w:rsidRDefault="00927A03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FA46" w14:textId="77777777" w:rsidR="007F587A" w:rsidRPr="00185D8A" w:rsidRDefault="007F587A" w:rsidP="00185D8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185D8A" w14:paraId="355BDF67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6A16903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9465DFF" w14:textId="77777777" w:rsidR="007F587A" w:rsidRPr="00185D8A" w:rsidRDefault="007F587A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0EB89" w14:textId="77777777" w:rsidR="007F587A" w:rsidRPr="00185D8A" w:rsidRDefault="007F587A" w:rsidP="00185D8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A8AFD4" w14:textId="77777777" w:rsidR="007F587A" w:rsidRPr="00185D8A" w:rsidRDefault="007C6E0E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E0F50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4E4BDA" w14:textId="77777777" w:rsidR="007F587A" w:rsidRPr="00185D8A" w:rsidRDefault="007F587A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0B13B" w14:textId="77777777" w:rsidR="007F587A" w:rsidRPr="00185D8A" w:rsidRDefault="007F587A" w:rsidP="00185D8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185D8A" w14:paraId="60275929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0964A63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0B08BE3" w14:textId="38DECBBD" w:rsidR="007F587A" w:rsidRPr="00185D8A" w:rsidRDefault="001245D4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347B9" w14:textId="77777777" w:rsidR="007F587A" w:rsidRPr="00185D8A" w:rsidRDefault="007F587A" w:rsidP="00185D8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3137041" w14:textId="29D4686E" w:rsidR="007F587A" w:rsidRPr="00185D8A" w:rsidRDefault="001245D4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6449B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042C3BA" w14:textId="77777777" w:rsidR="007F587A" w:rsidRPr="00185D8A" w:rsidRDefault="007F587A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5B931A" w14:textId="77777777" w:rsidR="007F587A" w:rsidRPr="00185D8A" w:rsidRDefault="007F587A" w:rsidP="00185D8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185D8A" w14:paraId="49926097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6151CB1" w14:textId="77777777" w:rsidR="007F587A" w:rsidRPr="00185D8A" w:rsidRDefault="007F587A" w:rsidP="00185D8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2FA907C" w14:textId="77777777" w:rsidR="007F587A" w:rsidRPr="00185D8A" w:rsidRDefault="007F587A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5CB40" w14:textId="77777777" w:rsidR="007F587A" w:rsidRPr="00185D8A" w:rsidRDefault="007F587A" w:rsidP="00185D8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D326CC" w14:textId="77777777" w:rsidR="007F587A" w:rsidRPr="00185D8A" w:rsidRDefault="007F587A" w:rsidP="00185D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844410" w14:textId="77777777" w:rsidR="007F587A" w:rsidRPr="00185D8A" w:rsidRDefault="007F587A" w:rsidP="00185D8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433FF7E" w14:textId="77777777" w:rsidR="007F587A" w:rsidRPr="00185D8A" w:rsidRDefault="007C6E0E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4AFB" w14:textId="77777777" w:rsidR="007F587A" w:rsidRPr="00185D8A" w:rsidRDefault="007F587A" w:rsidP="00185D8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185D8A" w14:paraId="77EE7AC6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F905FCB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0B7A78B" w14:textId="0FED2BAC" w:rsidR="007F587A" w:rsidRPr="00185D8A" w:rsidRDefault="00927A03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A34D33" w14:textId="77777777" w:rsidR="007F587A" w:rsidRPr="00185D8A" w:rsidRDefault="007F587A" w:rsidP="00185D8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3D55EDD" w14:textId="3006FFCD" w:rsidR="007F587A" w:rsidRPr="00185D8A" w:rsidRDefault="00927A03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52D1D" w14:textId="77777777" w:rsidR="007F587A" w:rsidRPr="00185D8A" w:rsidRDefault="007F587A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AC0696E" w14:textId="77777777" w:rsidR="007F587A" w:rsidRPr="00185D8A" w:rsidRDefault="007F587A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98E22" w14:textId="77777777" w:rsidR="007F587A" w:rsidRPr="00185D8A" w:rsidRDefault="007F587A" w:rsidP="00185D8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185D8A" w14:paraId="5823B587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2E908A0" w14:textId="77777777" w:rsidR="000F2BE9" w:rsidRPr="00185D8A" w:rsidRDefault="000F2BE9" w:rsidP="00185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185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185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FC9DFF" w14:textId="77777777" w:rsidR="000F2BE9" w:rsidRPr="00185D8A" w:rsidRDefault="000F2BE9" w:rsidP="00185D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45F822" w14:textId="77777777" w:rsidR="000F2BE9" w:rsidRPr="00185D8A" w:rsidRDefault="000F2BE9" w:rsidP="00185D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4D088C" w14:textId="77777777" w:rsidR="000F2BE9" w:rsidRPr="00185D8A" w:rsidRDefault="000F2BE9" w:rsidP="00185D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4D8E51" w14:textId="77777777" w:rsidR="000F2BE9" w:rsidRPr="00185D8A" w:rsidRDefault="000F2BE9" w:rsidP="00185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59A0C0" w14:textId="77777777" w:rsidR="000F2BE9" w:rsidRPr="00185D8A" w:rsidRDefault="000F2BE9" w:rsidP="00185D8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78D22D" w14:textId="77777777" w:rsidR="000F2BE9" w:rsidRPr="00185D8A" w:rsidRDefault="000F2BE9" w:rsidP="00185D8A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185D8A" w14:paraId="2CE49F62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CF7EA2F" w14:textId="77777777" w:rsidR="000F2BE9" w:rsidRPr="00185D8A" w:rsidRDefault="000F2BE9" w:rsidP="00185D8A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DE00DB9" w14:textId="77777777" w:rsidR="000F2BE9" w:rsidRPr="00185D8A" w:rsidRDefault="00B75218" w:rsidP="00185D8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77B6DC4" w14:textId="77777777" w:rsidR="000F2BE9" w:rsidRPr="00185D8A" w:rsidRDefault="000F2BE9" w:rsidP="00185D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52EBFE8" w14:textId="77777777" w:rsidR="000F2BE9" w:rsidRPr="00185D8A" w:rsidRDefault="00B75218" w:rsidP="00185D8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8520F8" w14:textId="77777777" w:rsidR="000F2BE9" w:rsidRPr="00185D8A" w:rsidRDefault="000F2BE9" w:rsidP="00185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74E7CF9" w14:textId="77777777" w:rsidR="000F2BE9" w:rsidRPr="00185D8A" w:rsidRDefault="0023360B" w:rsidP="00185D8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1D1CBF" w14:textId="77777777" w:rsidR="000F2BE9" w:rsidRPr="00185D8A" w:rsidRDefault="000F2BE9" w:rsidP="00185D8A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185D8A" w14:paraId="201B99AC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9C33DD4" w14:textId="77777777" w:rsidR="000F2BE9" w:rsidRPr="00185D8A" w:rsidRDefault="000F2BE9" w:rsidP="00185D8A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3227D5F1" w14:textId="77777777" w:rsidR="000F2BE9" w:rsidRPr="00185D8A" w:rsidRDefault="00B75218" w:rsidP="00185D8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4755EB" w14:textId="77777777" w:rsidR="000F2BE9" w:rsidRPr="00185D8A" w:rsidRDefault="000F2BE9" w:rsidP="00185D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4B7EA44" w14:textId="77777777" w:rsidR="000F2BE9" w:rsidRPr="00185D8A" w:rsidRDefault="00B75218" w:rsidP="00185D8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EA320FF" w14:textId="77777777" w:rsidR="000F2BE9" w:rsidRPr="00185D8A" w:rsidRDefault="000F2BE9" w:rsidP="00185D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335BEDC" w14:textId="77777777" w:rsidR="000F2BE9" w:rsidRPr="00185D8A" w:rsidRDefault="0023360B" w:rsidP="00185D8A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7F12A" w14:textId="77777777" w:rsidR="000F2BE9" w:rsidRPr="00185D8A" w:rsidRDefault="000F2BE9" w:rsidP="00185D8A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185D8A" w14:paraId="7660EACA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E324EA" w14:textId="77777777" w:rsidR="00A340BB" w:rsidRPr="00185D8A" w:rsidRDefault="00A340BB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E0BFF25" w14:textId="77777777" w:rsidR="00A340BB" w:rsidRPr="00185D8A" w:rsidRDefault="0023360B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81BFC" w14:textId="77777777" w:rsidR="00A340BB" w:rsidRPr="00185D8A" w:rsidRDefault="00A340BB" w:rsidP="00185D8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681F7" w14:textId="77777777" w:rsidR="00A340BB" w:rsidRPr="00185D8A" w:rsidRDefault="007C6E0E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4BE65" w14:textId="77777777" w:rsidR="00A340BB" w:rsidRPr="00185D8A" w:rsidRDefault="00A340BB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58DE1D" w14:textId="77777777" w:rsidR="00A340BB" w:rsidRPr="00185D8A" w:rsidRDefault="0023360B" w:rsidP="00185D8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185D8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DEBEF" w14:textId="77777777" w:rsidR="00A340BB" w:rsidRPr="00185D8A" w:rsidRDefault="00A340BB" w:rsidP="00185D8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7F1C45B5" w14:textId="5B7B622C" w:rsidR="001B23B7" w:rsidRPr="00185D8A" w:rsidRDefault="001B23B7" w:rsidP="00185D8A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185D8A" w14:paraId="15F1E833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AB3A8B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Poznámky</w:t>
            </w:r>
          </w:p>
        </w:tc>
      </w:tr>
      <w:tr w:rsidR="00612E08" w:rsidRPr="00185D8A" w14:paraId="30C46097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7C65B02F" w14:textId="77777777" w:rsidR="001B23B7" w:rsidRPr="00185D8A" w:rsidRDefault="001B23B7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6424FC19" w14:textId="77777777" w:rsidR="004C6831" w:rsidRPr="00185D8A" w:rsidRDefault="004C6831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9E84330" w14:textId="77777777" w:rsidR="004C6831" w:rsidRPr="00185D8A" w:rsidRDefault="004C6831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5E668F28" w14:textId="77777777" w:rsidR="004C6831" w:rsidRPr="00185D8A" w:rsidRDefault="004C6831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F8EE227" w14:textId="77777777" w:rsidR="004C6831" w:rsidRPr="00185D8A" w:rsidRDefault="004C6831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4786A5DE" w14:textId="77777777" w:rsidR="0098472E" w:rsidRPr="00185D8A" w:rsidRDefault="0098472E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3961C3A" w14:textId="77777777" w:rsidR="0098472E" w:rsidRPr="00185D8A" w:rsidRDefault="007C5312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14:paraId="00C5AA1A" w14:textId="77777777" w:rsidR="0098472E" w:rsidRPr="00185D8A" w:rsidRDefault="0098472E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7AFBD2A" w14:textId="438E04B6" w:rsidR="00C01EAF" w:rsidRPr="00185D8A" w:rsidRDefault="00EB0625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Návrh zákona v čl. I (§ 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ods. 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14, </w:t>
            </w:r>
            <w:r w:rsidR="00E82597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§ 20ad ods. 3, 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>§ 28a ods.14, §</w:t>
            </w:r>
            <w:r w:rsidR="00087174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>28b ods.</w:t>
            </w:r>
            <w:r w:rsidR="00087174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>3 a §</w:t>
            </w:r>
            <w:r w:rsidR="00087174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>28h ods. 3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predpokladá, že 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>NBS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>vydá</w:t>
            </w:r>
            <w:r w:rsidR="00087174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nové 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>opatrenia</w:t>
            </w:r>
            <w:r w:rsidR="00087174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alebo novelizuje platné opatrenia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664B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Keď</w:t>
            </w:r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že </w:t>
            </w:r>
            <w:r w:rsidR="0015664B"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presné znenie týchto opatrení v súčasnosti nie je známe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2FAB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prípadné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vplyvy t</w:t>
            </w:r>
            <w:r w:rsidR="0015664B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ýchto opatrení nie sú </w:t>
            </w:r>
            <w:r w:rsidR="0015664B" w:rsidRPr="00185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predmetom tohto návrhu zákona a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budú</w:t>
            </w:r>
            <w:r w:rsidR="0064380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analyzované </w:t>
            </w:r>
            <w:r w:rsidR="0015664B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až </w:t>
            </w:r>
            <w:r w:rsidR="00087174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následne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v rámci </w:t>
            </w:r>
            <w:r w:rsidR="00087174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jednotlivých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legislatívn</w:t>
            </w:r>
            <w:r w:rsidR="0015664B" w:rsidRPr="00185D8A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konan</w:t>
            </w:r>
            <w:r w:rsidR="0015664B" w:rsidRPr="00185D8A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087174" w:rsidRPr="00185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DAB530" w14:textId="77777777" w:rsidR="00087174" w:rsidRPr="00185D8A" w:rsidRDefault="00087174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E0910" w14:textId="6A1503E0" w:rsidR="00C01EAF" w:rsidRPr="00185D8A" w:rsidRDefault="00643808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Smernica CRD VI vyžaduje rozšírenie 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>právomoc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NBS </w:t>
            </w:r>
            <w:r w:rsidR="00FB16E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v rámci dohľadu nad bankovníctvom 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v oblastiach </w:t>
            </w:r>
          </w:p>
          <w:p w14:paraId="055A6C23" w14:textId="22CCEA03" w:rsidR="00C01EAF" w:rsidRPr="00185D8A" w:rsidRDefault="00643808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>adobudnutie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alebo scudzenie</w:t>
            </w:r>
            <w:r w:rsidR="00C01EA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významného podielu vo finančnom alebo nefinančnom subjekte,</w:t>
            </w:r>
          </w:p>
          <w:p w14:paraId="5DEF8F6C" w14:textId="3342E654" w:rsidR="00C01EAF" w:rsidRPr="00185D8A" w:rsidRDefault="00C01EAF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významný prevod aktíva alebo záväzkov, </w:t>
            </w:r>
          </w:p>
          <w:p w14:paraId="40989BCE" w14:textId="3036D592" w:rsidR="00C01EAF" w:rsidRPr="00185D8A" w:rsidRDefault="00C01EAF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zlúčenie, splynutie alebo rozdelenie,</w:t>
            </w:r>
          </w:p>
          <w:p w14:paraId="3F5CC3F7" w14:textId="56589AB3" w:rsidR="00643808" w:rsidRPr="00185D8A" w:rsidRDefault="00087174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posudzovanie vhodnosti členov štatutárneho orgánu, dozornej rady a osôb zastávajúcich kľúčové funkcie v banke,</w:t>
            </w:r>
          </w:p>
          <w:p w14:paraId="3CCFABBF" w14:textId="0D4DBFA4" w:rsidR="00C01EAF" w:rsidRPr="00185D8A" w:rsidRDefault="00643808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harmonizovaný prístup k pobočkám z tretích krajín (z krajín mimo Európskeho hospodárskeho priestoru),</w:t>
            </w:r>
          </w:p>
          <w:p w14:paraId="70765A15" w14:textId="139195C7" w:rsidR="00643808" w:rsidRPr="00185D8A" w:rsidRDefault="00643808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environmentálne a sociálne riziká a riziká v oblasti správy a riadenia,</w:t>
            </w:r>
          </w:p>
          <w:p w14:paraId="532BAA97" w14:textId="0E161A1A" w:rsidR="00643808" w:rsidRPr="00185D8A" w:rsidRDefault="00643808" w:rsidP="00185D8A">
            <w:pPr>
              <w:pStyle w:val="Odsekzoznamu"/>
              <w:numPr>
                <w:ilvl w:val="0"/>
                <w:numId w:val="6"/>
              </w:numPr>
              <w:spacing w:after="0" w:line="240" w:lineRule="auto"/>
              <w:ind w:left="5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právomoci dohľadu a správne sankcie.</w:t>
            </w:r>
          </w:p>
          <w:p w14:paraId="702131A5" w14:textId="7B0B8D3E" w:rsidR="00FB16E8" w:rsidRPr="00185D8A" w:rsidRDefault="00FB16E8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4385E" w14:textId="4003A473" w:rsidR="0085218C" w:rsidRPr="00185D8A" w:rsidRDefault="00087174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Už v súčasnosti má NBS právomoci </w:t>
            </w:r>
            <w:r w:rsidR="007717C3" w:rsidRPr="00185D8A">
              <w:rPr>
                <w:rFonts w:ascii="Times New Roman" w:hAnsi="Times New Roman" w:cs="Times New Roman"/>
                <w:sz w:val="24"/>
                <w:szCs w:val="24"/>
              </w:rPr>
              <w:t>ustanovené národnou úpravou</w:t>
            </w:r>
            <w:r w:rsidR="0085218C" w:rsidRPr="00185D8A">
              <w:rPr>
                <w:rFonts w:ascii="Times New Roman" w:hAnsi="Times New Roman" w:cs="Times New Roman"/>
                <w:sz w:val="24"/>
                <w:szCs w:val="24"/>
              </w:rPr>
              <w:t>, ktoré sú</w:t>
            </w:r>
            <w:r w:rsidR="007717C3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porovnateľné s požiadavkami CRD VI</w:t>
            </w:r>
            <w:r w:rsidR="0085218C" w:rsidRPr="00185D8A">
              <w:rPr>
                <w:rFonts w:ascii="Times New Roman" w:hAnsi="Times New Roman" w:cs="Times New Roman"/>
                <w:sz w:val="24"/>
                <w:szCs w:val="24"/>
              </w:rPr>
              <w:t>. Ide o úpravy</w:t>
            </w:r>
            <w:r w:rsidR="007717C3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pri zlúčení, splynutí alebo rozdelení banky</w:t>
            </w:r>
            <w:r w:rsidR="00570C8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(v súčasnosti v § 28 ods. 1 písm. b) zákona o bankách v platnom znení, teraz v novom §  28g v návrhu zákona)</w:t>
            </w:r>
            <w:r w:rsidR="007717C3" w:rsidRPr="00185D8A">
              <w:rPr>
                <w:rFonts w:ascii="Times New Roman" w:hAnsi="Times New Roman" w:cs="Times New Roman"/>
                <w:sz w:val="24"/>
                <w:szCs w:val="24"/>
              </w:rPr>
              <w:t>, pri posudzovaní vhodnosti členov štatutárneho orgánu a dozornej rady</w:t>
            </w:r>
            <w:r w:rsidR="00570C8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(§ 9 ods. 4 a 5 zákona o bankách)</w:t>
            </w:r>
            <w:r w:rsidR="007717C3" w:rsidRPr="00185D8A">
              <w:rPr>
                <w:rFonts w:ascii="Times New Roman" w:hAnsi="Times New Roman" w:cs="Times New Roman"/>
                <w:sz w:val="24"/>
                <w:szCs w:val="24"/>
              </w:rPr>
              <w:t>, povoľovanie pobočiek z tretích krajín</w:t>
            </w:r>
            <w:r w:rsidR="00570C88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(§ 8)</w:t>
            </w:r>
            <w:r w:rsidR="007717C3" w:rsidRPr="00185D8A">
              <w:rPr>
                <w:rFonts w:ascii="Times New Roman" w:hAnsi="Times New Roman" w:cs="Times New Roman"/>
                <w:sz w:val="24"/>
                <w:szCs w:val="24"/>
              </w:rPr>
              <w:t>. Z uvedeného vyplýva</w:t>
            </w:r>
            <w:r w:rsidR="003B4F26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, že transpozícia ustanovení smernice CRD VI v týchto oblastiach je len spresnením súčasných požiadaviek a nezavádza nové povinnosti oproti platnému právnemu stavu, preto vplyvy v týchto oblastiach nepredpokladáme. </w:t>
            </w:r>
          </w:p>
          <w:p w14:paraId="3FBADF2A" w14:textId="77777777" w:rsidR="009B6C0D" w:rsidRPr="00185D8A" w:rsidRDefault="009B6C0D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EF37F" w14:textId="29E585C0" w:rsidR="009B6C0D" w:rsidRPr="00185D8A" w:rsidRDefault="009B6C0D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2863750"/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Návrhom zákona sa transponujú aj ustanovenia týkajúce sa správnych sankcií. Zavádza sa nový typ pokuty – penále, cieľom ktorého je primäť fyzickú osobu alebo právnickú osobu k náprave zistených nedostatkov v činnosti banky a pobočky zahraničnej banky v čo najkratšej dobe. Penále je opakujúce sa peňažné plnenie, ktoré uloží NBS za každý deň porušenia povinnosti až do splnenia povinnosti, najviac však po dobu 6 mesiacov. </w:t>
            </w:r>
            <w:r w:rsidR="007D77C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Keďže penále sú príjmom štátneho rozpočtu, predpokladáme pozitívne vplyvy na rozpočet verejnej správy. </w:t>
            </w:r>
            <w:r w:rsidR="008B0B8F" w:rsidRPr="00185D8A">
              <w:rPr>
                <w:rFonts w:ascii="Times New Roman" w:hAnsi="Times New Roman" w:cs="Times New Roman"/>
                <w:sz w:val="24"/>
                <w:szCs w:val="24"/>
              </w:rPr>
              <w:t>Udelenie</w:t>
            </w:r>
            <w:r w:rsidR="007D77C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penále je </w:t>
            </w:r>
            <w:r w:rsidR="004724F9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pre </w:t>
            </w:r>
            <w:r w:rsidR="0044744F" w:rsidRPr="00185D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724F9" w:rsidRPr="00185D8A">
              <w:rPr>
                <w:rFonts w:ascii="Times New Roman" w:hAnsi="Times New Roman" w:cs="Times New Roman"/>
                <w:sz w:val="24"/>
                <w:szCs w:val="24"/>
              </w:rPr>
              <w:t>inisterstvo financií</w:t>
            </w:r>
            <w:r w:rsidR="0044744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Slovenskej republiky</w:t>
            </w:r>
            <w:r w:rsidR="004724F9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, ktoré nedisponuje potrebnými údajmi, </w:t>
            </w:r>
            <w:r w:rsidR="0044744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náhodného a </w:t>
            </w:r>
            <w:r w:rsidR="004724F9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nepredvídateľného </w:t>
            </w:r>
            <w:r w:rsidR="007D77CF" w:rsidRPr="00185D8A">
              <w:rPr>
                <w:rFonts w:ascii="Times New Roman" w:hAnsi="Times New Roman" w:cs="Times New Roman"/>
                <w:sz w:val="24"/>
                <w:szCs w:val="24"/>
              </w:rPr>
              <w:t>charakteru,</w:t>
            </w:r>
            <w:r w:rsidR="008B0B8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4F9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pretože </w:t>
            </w:r>
            <w:r w:rsidR="008B0B8F" w:rsidRPr="00185D8A">
              <w:rPr>
                <w:rFonts w:ascii="Times New Roman" w:hAnsi="Times New Roman" w:cs="Times New Roman"/>
                <w:sz w:val="24"/>
                <w:szCs w:val="24"/>
              </w:rPr>
              <w:t>závisí od správania dohliadaných subjektov</w:t>
            </w:r>
            <w:r w:rsidR="0044744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. Preto </w:t>
            </w:r>
            <w:r w:rsidR="007D77CF" w:rsidRPr="00185D8A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  <w:r w:rsidR="004724F9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77CF" w:rsidRPr="00185D8A">
              <w:rPr>
                <w:rFonts w:ascii="Times New Roman" w:hAnsi="Times New Roman" w:cs="Times New Roman"/>
                <w:sz w:val="24"/>
                <w:szCs w:val="24"/>
              </w:rPr>
              <w:t>je možné odhadnúť</w:t>
            </w:r>
            <w:r w:rsidR="008B0B8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ani počet a ani výšku udelených penále. Keďže ide o nový inštitút, taktiež nie je možné vychádzať ani z informácií o doteraz udelených sankciách. Z týchto dôvodov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nie je možné kvantifikovať a ani kvalifikovaným odhadom určiť vplyv tohto opatrenia</w:t>
            </w:r>
            <w:r w:rsidR="0044744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na rozpočet verejnej správy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4"/>
          <w:p w14:paraId="7A492ACD" w14:textId="23BEBE4E" w:rsidR="0085218C" w:rsidRPr="00185D8A" w:rsidRDefault="0085218C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A7F19" w14:textId="31CEAE0B" w:rsidR="007717C3" w:rsidRPr="00185D8A" w:rsidRDefault="00E171AA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1155350"/>
            <w:r w:rsidRPr="00185D8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Keďže úpravy v návrhu zákona v súlade s cieľmi smernice CRD VI 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sú zamerané na posilnenie odolnosti bankového sektora a zaisťujú lepšiu ochranu finančnej stability, v dlhšom časovom horizonte predpokladáme nepriamy pozitívny dopad na stabilitu regulovaného odvetvia, avšak tento pozitívny vplyv na podnikateľské prostredie nie je možné kvantifikovať.</w:t>
            </w:r>
          </w:p>
          <w:bookmarkEnd w:id="5"/>
          <w:p w14:paraId="1978E3F3" w14:textId="77777777" w:rsidR="0085218C" w:rsidRPr="00185D8A" w:rsidRDefault="0085218C" w:rsidP="00185D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111EA3" w14:textId="3418BA1E" w:rsidR="0085218C" w:rsidRPr="00185D8A" w:rsidRDefault="00F45FB8" w:rsidP="00185D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Dlhodobá povaha a</w:t>
            </w:r>
            <w:r w:rsidR="008B0B8F" w:rsidRPr="001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hĺbka</w:t>
            </w:r>
            <w:r w:rsidR="008B0B8F" w:rsidRPr="001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prechodu na udržateľné, klimaticky neutrálne a</w:t>
            </w:r>
            <w:r w:rsidR="008B0B8F" w:rsidRPr="001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obehové</w:t>
            </w:r>
            <w:r w:rsidR="008B0B8F" w:rsidRPr="001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hospodárstvo bude znamenať významné zmeny obchodných modelov bánk. Banky ako hlavní poskytovatelia finančných prostriedkov pre podniky a domácnosti zohrávajú relevantnú úlohu pri podpore udržateľného rozvoja v celej EÚ. Na to, aby EÚ splnila svoj celkový cieľ dosiahnuť klimatickú neutralitu do roku 2050, ako sa stanovuje v nariadení (EÚ) 2021/1119, musia </w:t>
            </w:r>
            <w:r w:rsidR="009B6C0D" w:rsidRPr="001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banky</w:t>
            </w:r>
            <w:r w:rsidRPr="00185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svojich politík a činností začleniť úlohu podpory udržateľného rozvoja. V tejto súvislosti je možné predpokladať pozitívny vplyv na životné prostredie, a</w:t>
            </w:r>
            <w:r w:rsidR="0085218C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však výšku </w:t>
            </w:r>
            <w:r w:rsidR="0085218C" w:rsidRPr="00185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tohto vplyvu nie je možné kvantifikovať</w:t>
            </w: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F6F6A" w:rsidRPr="00185D8A">
              <w:rPr>
                <w:rFonts w:ascii="Times New Roman" w:hAnsi="Times New Roman" w:cs="Times New Roman"/>
                <w:sz w:val="24"/>
                <w:szCs w:val="24"/>
              </w:rPr>
              <w:t>pretože chýbajú údaje a vplyv</w:t>
            </w:r>
            <w:r w:rsidR="009B6C0D" w:rsidRPr="00185D8A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1F6F6A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závisia od obchodnej politiky tej-ktorej banky.</w:t>
            </w:r>
          </w:p>
          <w:p w14:paraId="7A9B3EC7" w14:textId="70CDDAA6" w:rsidR="004E176E" w:rsidRPr="00185D8A" w:rsidRDefault="004E176E" w:rsidP="00185D8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185D8A" w14:paraId="1CCC57A7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8BA43EA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Kontakt na spracovateľa</w:t>
            </w:r>
          </w:p>
        </w:tc>
      </w:tr>
      <w:tr w:rsidR="00612E08" w:rsidRPr="00185D8A" w14:paraId="5BD9AE6E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4B6E05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76C8932D" w14:textId="77777777" w:rsidR="007C6E0E" w:rsidRPr="00185D8A" w:rsidRDefault="007C6E0E" w:rsidP="00185D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07C30BA1" w14:textId="4BB3B0B8" w:rsidR="007C6E0E" w:rsidRPr="00185D8A" w:rsidRDefault="00F8252E" w:rsidP="0018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="007C6E0E" w:rsidRPr="00185D8A">
              <w:rPr>
                <w:rFonts w:ascii="Times New Roman" w:hAnsi="Times New Roman" w:cs="Times New Roman"/>
                <w:sz w:val="24"/>
                <w:szCs w:val="24"/>
              </w:rPr>
              <w:t>Ing. Anna Bartíková</w:t>
            </w:r>
          </w:p>
          <w:p w14:paraId="6C3D94C8" w14:textId="77777777" w:rsidR="001F6F6A" w:rsidRPr="00185D8A" w:rsidRDefault="007C6E0E" w:rsidP="0018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02/5958 2528, </w:t>
            </w:r>
          </w:p>
          <w:p w14:paraId="60A1D0B7" w14:textId="4DDBC2BF" w:rsidR="007C6E0E" w:rsidRPr="00185D8A" w:rsidRDefault="00000000" w:rsidP="0018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F6F6A" w:rsidRPr="00185D8A">
                <w:rPr>
                  <w:rStyle w:val="Hypertextovprepojenie"/>
                  <w:rFonts w:ascii="Times New Roman" w:hAnsi="Times New Roman"/>
                  <w:sz w:val="24"/>
                  <w:szCs w:val="24"/>
                </w:rPr>
                <w:t>anna.bartikova@mfsr.sk</w:t>
              </w:r>
            </w:hyperlink>
          </w:p>
          <w:p w14:paraId="49491E5F" w14:textId="77777777" w:rsidR="007C6E0E" w:rsidRPr="00185D8A" w:rsidRDefault="007C6E0E" w:rsidP="00185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>Ministerstvo financií Slovenskej republiky</w:t>
            </w:r>
          </w:p>
          <w:p w14:paraId="252395CD" w14:textId="77777777" w:rsidR="00530490" w:rsidRPr="00185D8A" w:rsidRDefault="00530490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8CAEC58" w14:textId="15F7CC6E" w:rsidR="001D5554" w:rsidRPr="00185D8A" w:rsidRDefault="001D5554" w:rsidP="00185D8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185D8A" w14:paraId="757AA183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059038" w14:textId="77777777" w:rsidR="001B23B7" w:rsidRPr="00185D8A" w:rsidRDefault="001B23B7" w:rsidP="00185D8A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Zdroje</w:t>
            </w:r>
          </w:p>
        </w:tc>
      </w:tr>
      <w:tr w:rsidR="00612E08" w:rsidRPr="00185D8A" w14:paraId="243F7C70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31160" w14:textId="77777777" w:rsidR="001B23B7" w:rsidRPr="00185D8A" w:rsidRDefault="001B23B7" w:rsidP="00185D8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185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10E9A92" w14:textId="77777777" w:rsidR="00B5142F" w:rsidRPr="00185D8A" w:rsidRDefault="00B5142F" w:rsidP="00185D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</w:p>
          <w:p w14:paraId="5C8A0622" w14:textId="77777777" w:rsidR="00B33C75" w:rsidRPr="00185D8A" w:rsidRDefault="004A246D" w:rsidP="00185D8A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Pri určení počtu dotknutých subjektov sme vychádzali </w:t>
            </w:r>
            <w:r w:rsidR="00B33C75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z verejne dostupných údajov Národnej banky Slovenska o subjektoch finančného trhu </w:t>
            </w:r>
            <w:r w:rsidR="0085218C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33C75" w:rsidRPr="00185D8A">
              <w:rPr>
                <w:rFonts w:ascii="Times New Roman" w:hAnsi="Times New Roman" w:cs="Times New Roman"/>
                <w:sz w:val="24"/>
                <w:szCs w:val="24"/>
              </w:rPr>
              <w:t>banky, pobočky zahraničných bánk, finančné holdingové spoločnosti, zmiešané finančné holdingové spoločnosti</w:t>
            </w:r>
            <w:r w:rsidR="00BF430E" w:rsidRPr="00185D8A">
              <w:rPr>
                <w:rFonts w:ascii="Times New Roman" w:hAnsi="Times New Roman" w:cs="Times New Roman"/>
                <w:sz w:val="24"/>
                <w:szCs w:val="24"/>
              </w:rPr>
              <w:t>, obchodníci s cennými papiermi, ktorí spĺňajú podmienky v § 7b ods. 1 zákona o</w:t>
            </w:r>
            <w:r w:rsidR="005A63AF" w:rsidRPr="00185D8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F430E" w:rsidRPr="00185D8A">
              <w:rPr>
                <w:rFonts w:ascii="Times New Roman" w:hAnsi="Times New Roman" w:cs="Times New Roman"/>
                <w:sz w:val="24"/>
                <w:szCs w:val="24"/>
              </w:rPr>
              <w:t>bankách</w:t>
            </w:r>
            <w:r w:rsidR="005A63AF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 a musia požiadať o bankové povolenie (investičná banka)</w:t>
            </w:r>
            <w:r w:rsidR="00B33C75" w:rsidRPr="00185D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D72B2BB" w14:textId="68994F74" w:rsidR="005A63AF" w:rsidRPr="00185D8A" w:rsidRDefault="005A63AF" w:rsidP="00185D8A">
            <w:pPr>
              <w:pStyle w:val="Odsekzoznamu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185D8A" w14:paraId="3A2FD860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295999F" w14:textId="054B9DCF" w:rsidR="001B23B7" w:rsidRPr="00185D8A" w:rsidRDefault="001B23B7" w:rsidP="00185D8A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Stanovisko Komisie na posudzovanie vybraných vplyvov z PPK č</w:t>
            </w:r>
            <w:r w:rsidR="0025295B"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C771AC"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106-2/2025</w:t>
            </w:r>
          </w:p>
          <w:p w14:paraId="303346CC" w14:textId="77777777" w:rsidR="001B23B7" w:rsidRPr="00185D8A" w:rsidRDefault="001B23B7" w:rsidP="00185D8A">
            <w:pPr>
              <w:ind w:left="5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Calibri" w:hAnsi="Times New Roman" w:cs="Times New Roman"/>
                <w:sz w:val="24"/>
                <w:szCs w:val="24"/>
              </w:rPr>
              <w:t>(v prípade, ak sa uskutočnilo v zmysle bodu 8.1 Jednotnej metodiky)</w:t>
            </w:r>
          </w:p>
        </w:tc>
      </w:tr>
      <w:tr w:rsidR="00612E08" w:rsidRPr="00185D8A" w14:paraId="1870FAA6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CB3AA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185D8A" w14:paraId="457DB1EF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28D563F7" w14:textId="6598659E" w:rsidR="001B23B7" w:rsidRPr="00185D8A" w:rsidRDefault="00000000" w:rsidP="00185D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sk-SK"/>
                      </w:rPr>
                      <w:id w:val="-187491088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96B16" w:rsidRPr="00185D8A">
                        <w:rPr>
                          <w:rFonts w:ascii="MS Gothic" w:eastAsia="MS Gothic" w:hAnsi="MS Gothic" w:cs="Times New Roman" w:hint="eastAsia"/>
                          <w:b/>
                          <w:sz w:val="24"/>
                          <w:szCs w:val="24"/>
                          <w:lang w:eastAsia="sk-SK"/>
                        </w:rPr>
                        <w:t>☒</w:t>
                      </w:r>
                    </w:sdtContent>
                  </w:sdt>
                  <w:r w:rsidR="0023360B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 xml:space="preserve">  </w:t>
                  </w:r>
                  <w:r w:rsidR="001B23B7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1D68C117" w14:textId="71FF1339" w:rsidR="001B23B7" w:rsidRPr="00185D8A" w:rsidRDefault="00000000" w:rsidP="00185D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85218C" w:rsidRPr="00185D8A">
                        <w:rPr>
                          <w:rFonts w:ascii="Segoe UI Symbol" w:eastAsia="MS Gothic" w:hAnsi="Segoe UI Symbol" w:cs="Segoe UI Symbol"/>
                          <w:b/>
                          <w:sz w:val="24"/>
                          <w:szCs w:val="24"/>
                          <w:lang w:eastAsia="sk-SK"/>
                        </w:rPr>
                        <w:t>☐</w:t>
                      </w:r>
                    </w:sdtContent>
                  </w:sdt>
                  <w:r w:rsidR="0023360B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 xml:space="preserve">  </w:t>
                  </w:r>
                  <w:r w:rsidR="001B23B7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56C45856" w14:textId="77777777" w:rsidR="001B23B7" w:rsidRPr="00185D8A" w:rsidRDefault="00000000" w:rsidP="00185D8A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185D8A">
                        <w:rPr>
                          <w:rFonts w:ascii="Segoe UI Symbol" w:eastAsia="MS Gothic" w:hAnsi="Segoe UI Symbol" w:cs="Segoe UI Symbol"/>
                          <w:b/>
                          <w:sz w:val="24"/>
                          <w:szCs w:val="24"/>
                          <w:lang w:eastAsia="sk-SK"/>
                        </w:rPr>
                        <w:t>☐</w:t>
                      </w:r>
                    </w:sdtContent>
                  </w:sdt>
                  <w:r w:rsidR="0023360B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 xml:space="preserve">  </w:t>
                  </w:r>
                  <w:r w:rsidR="001B23B7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>Nesúhlasné</w:t>
                  </w:r>
                </w:p>
              </w:tc>
            </w:tr>
          </w:tbl>
          <w:p w14:paraId="68F96D29" w14:textId="227F4E6B" w:rsidR="001F6F6A" w:rsidRPr="00185D8A" w:rsidRDefault="001F6F6A" w:rsidP="00185D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021FFDBD" w14:textId="5F7A1160" w:rsidR="001B23B7" w:rsidRPr="00185D8A" w:rsidRDefault="001B23B7" w:rsidP="00185D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Uveďte pripomienky zo stanoviska Komisie z časti II. spolu s Vaším vyhodnotením:</w:t>
            </w:r>
          </w:p>
          <w:p w14:paraId="658E6DA5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A146212" w14:textId="77777777" w:rsidR="00A96B16" w:rsidRPr="00185D8A" w:rsidRDefault="00A96B16" w:rsidP="00185D8A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185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P</w:t>
            </w:r>
            <w:r w:rsidRPr="00185D8A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185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ipomienky a návrhy zm</w:t>
            </w:r>
            <w:r w:rsidRPr="00185D8A">
              <w:rPr>
                <w:rFonts w:ascii="Times New Roman" w:hAnsi="Times New Roman" w:cs="Times New Roman"/>
                <w:b/>
                <w:sz w:val="24"/>
                <w:szCs w:val="24"/>
              </w:rPr>
              <w:t>ie</w:t>
            </w:r>
            <w:r w:rsidRPr="00185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n: </w:t>
            </w:r>
            <w:r w:rsidRPr="00185D8A">
              <w:rPr>
                <w:rFonts w:ascii="Times New Roman" w:hAnsi="Times New Roman" w:cs="Times New Roman"/>
                <w:bCs/>
                <w:sz w:val="24"/>
              </w:rPr>
              <w:t xml:space="preserve">Komisia neuplatňuje k materiálu žiadne pripomienky ani odporúčania. </w:t>
            </w:r>
          </w:p>
          <w:p w14:paraId="45D81953" w14:textId="77777777" w:rsidR="00A96B16" w:rsidRPr="00185D8A" w:rsidRDefault="00A96B16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274DDE2" w14:textId="241146DC" w:rsidR="00A96B16" w:rsidRPr="00185D8A" w:rsidRDefault="00A96B16" w:rsidP="00185D8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185D8A" w14:paraId="2DF47848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6D3BBAE4" w14:textId="77777777" w:rsidR="0057542E" w:rsidRPr="00185D8A" w:rsidRDefault="001B23B7" w:rsidP="00185D8A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Stanovisko Komisie na posudzovanie vybraných vplyvov zo záverečného posúdenia č.</w:t>
            </w:r>
            <w:r w:rsidR="0057542E" w:rsidRPr="00185D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4C7A16" w14:textId="54BCE220" w:rsidR="001B23B7" w:rsidRPr="00185D8A" w:rsidRDefault="001B23B7" w:rsidP="00185D8A">
            <w:pPr>
              <w:ind w:left="45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5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(v prípade, ak sa uskutočnilo v zmysle bodu 9.1. Jednotnej metodiky) </w:t>
            </w:r>
          </w:p>
        </w:tc>
      </w:tr>
      <w:tr w:rsidR="00612E08" w:rsidRPr="001F6F6A" w14:paraId="0FB11A89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16B73747" w14:textId="77777777" w:rsidR="001B23B7" w:rsidRPr="00185D8A" w:rsidRDefault="001B23B7" w:rsidP="00185D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185D8A" w14:paraId="2ADAE2A3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DD05F76" w14:textId="77777777" w:rsidR="001B23B7" w:rsidRPr="00185D8A" w:rsidRDefault="00000000" w:rsidP="00185D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185D8A">
                        <w:rPr>
                          <w:rFonts w:ascii="Segoe UI Symbol" w:eastAsia="MS Gothic" w:hAnsi="Segoe UI Symbol" w:cs="Segoe UI Symbol"/>
                          <w:b/>
                          <w:sz w:val="24"/>
                          <w:szCs w:val="24"/>
                          <w:lang w:eastAsia="sk-SK"/>
                        </w:rPr>
                        <w:t>☐</w:t>
                      </w:r>
                    </w:sdtContent>
                  </w:sdt>
                  <w:r w:rsidR="0023360B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 xml:space="preserve">   </w:t>
                  </w:r>
                  <w:r w:rsidR="001B23B7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DEADBFB" w14:textId="77777777" w:rsidR="001B23B7" w:rsidRPr="00185D8A" w:rsidRDefault="00000000" w:rsidP="00185D8A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185D8A">
                        <w:rPr>
                          <w:rFonts w:ascii="Segoe UI Symbol" w:eastAsia="MS Gothic" w:hAnsi="Segoe UI Symbol" w:cs="Segoe UI Symbol"/>
                          <w:b/>
                          <w:sz w:val="24"/>
                          <w:szCs w:val="24"/>
                          <w:lang w:eastAsia="sk-SK"/>
                        </w:rPr>
                        <w:t>☐</w:t>
                      </w:r>
                    </w:sdtContent>
                  </w:sdt>
                  <w:r w:rsidR="0023360B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 xml:space="preserve">  </w:t>
                  </w:r>
                  <w:r w:rsidR="001B23B7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0605E2CF" w14:textId="77777777" w:rsidR="001B23B7" w:rsidRPr="00185D8A" w:rsidRDefault="00000000" w:rsidP="00185D8A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185D8A">
                        <w:rPr>
                          <w:rFonts w:ascii="Segoe UI Symbol" w:eastAsia="MS Gothic" w:hAnsi="Segoe UI Symbol" w:cs="Segoe UI Symbol"/>
                          <w:b/>
                          <w:sz w:val="24"/>
                          <w:szCs w:val="24"/>
                          <w:lang w:eastAsia="sk-SK"/>
                        </w:rPr>
                        <w:t>☐</w:t>
                      </w:r>
                    </w:sdtContent>
                  </w:sdt>
                  <w:r w:rsidR="0023360B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 xml:space="preserve">  </w:t>
                  </w:r>
                  <w:r w:rsidR="001B23B7" w:rsidRPr="00185D8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>Nesúhlasné</w:t>
                  </w:r>
                </w:p>
              </w:tc>
            </w:tr>
          </w:tbl>
          <w:p w14:paraId="7A180D21" w14:textId="77777777" w:rsidR="001F6F6A" w:rsidRPr="00185D8A" w:rsidRDefault="001F6F6A" w:rsidP="00185D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p w14:paraId="59D6CA6A" w14:textId="30DBC4C2" w:rsidR="001B23B7" w:rsidRPr="001F6F6A" w:rsidRDefault="001B23B7" w:rsidP="00185D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185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Uveďte pripomienky zo stanoviska Komisie z časti II. spolu s Vaším vyhodnotením:</w:t>
            </w:r>
          </w:p>
          <w:p w14:paraId="20203C2C" w14:textId="77777777" w:rsidR="001B23B7" w:rsidRPr="001F6F6A" w:rsidRDefault="001B23B7" w:rsidP="00185D8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</w:tc>
      </w:tr>
    </w:tbl>
    <w:p w14:paraId="1853B63D" w14:textId="77777777" w:rsidR="00274130" w:rsidRPr="00530490" w:rsidRDefault="00000000" w:rsidP="00185D8A">
      <w:pPr>
        <w:spacing w:after="0" w:line="240" w:lineRule="auto"/>
        <w:rPr>
          <w:sz w:val="4"/>
          <w:szCs w:val="4"/>
        </w:rPr>
      </w:pPr>
    </w:p>
    <w:sectPr w:rsidR="00274130" w:rsidRPr="00530490" w:rsidSect="001E3562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C254" w14:textId="77777777" w:rsidR="003B3359" w:rsidRDefault="003B3359" w:rsidP="001B23B7">
      <w:pPr>
        <w:spacing w:after="0" w:line="240" w:lineRule="auto"/>
      </w:pPr>
      <w:r>
        <w:separator/>
      </w:r>
    </w:p>
  </w:endnote>
  <w:endnote w:type="continuationSeparator" w:id="0">
    <w:p w14:paraId="7CA21760" w14:textId="77777777" w:rsidR="003B3359" w:rsidRDefault="003B3359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 Albertina">
    <w:altName w:val="Times New Roman"/>
    <w:charset w:val="EE"/>
    <w:family w:val="roman"/>
    <w:pitch w:val="default"/>
    <w:sig w:usb0="00000000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2744" w14:textId="17DFDF23" w:rsidR="00185D8A" w:rsidRDefault="00185D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99E63" w14:textId="246027B4" w:rsidR="001B23B7" w:rsidRPr="001F6F6A" w:rsidRDefault="00000000" w:rsidP="001F6F6A">
    <w:pPr>
      <w:pStyle w:val="Pta"/>
      <w:jc w:val="right"/>
      <w:rPr>
        <w:rFonts w:ascii="Times New Roman" w:hAnsi="Times New Roman" w:cs="Times New Roman"/>
        <w:sz w:val="24"/>
        <w:szCs w:val="24"/>
      </w:rPr>
    </w:pPr>
    <w:sdt>
      <w:sdtPr>
        <w:id w:val="119119173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8B222D"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B222D"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5EF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="008B222D"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2A29" w14:textId="650C4FD9" w:rsidR="00185D8A" w:rsidRDefault="00185D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C3D5C" w14:textId="77777777" w:rsidR="003B3359" w:rsidRDefault="003B3359" w:rsidP="001B23B7">
      <w:pPr>
        <w:spacing w:after="0" w:line="240" w:lineRule="auto"/>
      </w:pPr>
      <w:r>
        <w:separator/>
      </w:r>
    </w:p>
  </w:footnote>
  <w:footnote w:type="continuationSeparator" w:id="0">
    <w:p w14:paraId="3A4F171B" w14:textId="77777777" w:rsidR="003B3359" w:rsidRDefault="003B3359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D45"/>
    <w:multiLevelType w:val="hybridMultilevel"/>
    <w:tmpl w:val="560A2A9C"/>
    <w:lvl w:ilvl="0" w:tplc="854E6A9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763D87"/>
    <w:multiLevelType w:val="hybridMultilevel"/>
    <w:tmpl w:val="666824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4CF"/>
    <w:multiLevelType w:val="hybridMultilevel"/>
    <w:tmpl w:val="6BAE52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B69F7"/>
    <w:multiLevelType w:val="hybridMultilevel"/>
    <w:tmpl w:val="A9F47E4A"/>
    <w:lvl w:ilvl="0" w:tplc="35DE088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347F3172"/>
    <w:multiLevelType w:val="hybridMultilevel"/>
    <w:tmpl w:val="2E0A9D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F4013"/>
    <w:multiLevelType w:val="hybridMultilevel"/>
    <w:tmpl w:val="AC06CEDA"/>
    <w:lvl w:ilvl="0" w:tplc="9D9271C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07501"/>
    <w:multiLevelType w:val="hybridMultilevel"/>
    <w:tmpl w:val="D1728B8E"/>
    <w:lvl w:ilvl="0" w:tplc="C0DC552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591528"/>
    <w:multiLevelType w:val="hybridMultilevel"/>
    <w:tmpl w:val="C3C84E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B3CB8"/>
    <w:multiLevelType w:val="hybridMultilevel"/>
    <w:tmpl w:val="2D38434A"/>
    <w:lvl w:ilvl="0" w:tplc="9D9271CE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F33F9"/>
    <w:multiLevelType w:val="hybridMultilevel"/>
    <w:tmpl w:val="D040AA8E"/>
    <w:lvl w:ilvl="0" w:tplc="80443D1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512E5"/>
    <w:multiLevelType w:val="hybridMultilevel"/>
    <w:tmpl w:val="041026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7E6651A6"/>
    <w:multiLevelType w:val="hybridMultilevel"/>
    <w:tmpl w:val="3C48E8E8"/>
    <w:lvl w:ilvl="0" w:tplc="34DE702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7F007319"/>
    <w:multiLevelType w:val="hybridMultilevel"/>
    <w:tmpl w:val="A68233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886574">
    <w:abstractNumId w:val="11"/>
  </w:num>
  <w:num w:numId="2" w16cid:durableId="516578365">
    <w:abstractNumId w:val="10"/>
  </w:num>
  <w:num w:numId="3" w16cid:durableId="566574286">
    <w:abstractNumId w:val="9"/>
  </w:num>
  <w:num w:numId="4" w16cid:durableId="2000497409">
    <w:abstractNumId w:val="4"/>
  </w:num>
  <w:num w:numId="5" w16cid:durableId="1642346076">
    <w:abstractNumId w:val="6"/>
  </w:num>
  <w:num w:numId="6" w16cid:durableId="459806845">
    <w:abstractNumId w:val="5"/>
  </w:num>
  <w:num w:numId="7" w16cid:durableId="190610850">
    <w:abstractNumId w:val="8"/>
  </w:num>
  <w:num w:numId="8" w16cid:durableId="769817006">
    <w:abstractNumId w:val="2"/>
  </w:num>
  <w:num w:numId="9" w16cid:durableId="1313096112">
    <w:abstractNumId w:val="0"/>
  </w:num>
  <w:num w:numId="10" w16cid:durableId="29843556">
    <w:abstractNumId w:val="1"/>
  </w:num>
  <w:num w:numId="11" w16cid:durableId="1864397173">
    <w:abstractNumId w:val="3"/>
  </w:num>
  <w:num w:numId="12" w16cid:durableId="1925726863">
    <w:abstractNumId w:val="12"/>
  </w:num>
  <w:num w:numId="13" w16cid:durableId="317653638">
    <w:abstractNumId w:val="13"/>
  </w:num>
  <w:num w:numId="14" w16cid:durableId="1160149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26D76"/>
    <w:rsid w:val="00037DA2"/>
    <w:rsid w:val="00043706"/>
    <w:rsid w:val="00051358"/>
    <w:rsid w:val="000625D7"/>
    <w:rsid w:val="00071BE6"/>
    <w:rsid w:val="00074085"/>
    <w:rsid w:val="000807B0"/>
    <w:rsid w:val="00087174"/>
    <w:rsid w:val="00097069"/>
    <w:rsid w:val="000B09BC"/>
    <w:rsid w:val="000D348F"/>
    <w:rsid w:val="000E04E3"/>
    <w:rsid w:val="000F2BE9"/>
    <w:rsid w:val="000F534E"/>
    <w:rsid w:val="000F549B"/>
    <w:rsid w:val="00102FAB"/>
    <w:rsid w:val="0011398A"/>
    <w:rsid w:val="00113AE4"/>
    <w:rsid w:val="00115F1E"/>
    <w:rsid w:val="001245D4"/>
    <w:rsid w:val="00156064"/>
    <w:rsid w:val="0015664B"/>
    <w:rsid w:val="00161766"/>
    <w:rsid w:val="00162AB7"/>
    <w:rsid w:val="00164BF6"/>
    <w:rsid w:val="00165E48"/>
    <w:rsid w:val="00180C79"/>
    <w:rsid w:val="00185D8A"/>
    <w:rsid w:val="00187182"/>
    <w:rsid w:val="00187323"/>
    <w:rsid w:val="001B23B7"/>
    <w:rsid w:val="001D5554"/>
    <w:rsid w:val="001D6504"/>
    <w:rsid w:val="001E3562"/>
    <w:rsid w:val="001F17F4"/>
    <w:rsid w:val="001F266E"/>
    <w:rsid w:val="001F6D48"/>
    <w:rsid w:val="001F6F6A"/>
    <w:rsid w:val="00200529"/>
    <w:rsid w:val="00203EE3"/>
    <w:rsid w:val="002121B6"/>
    <w:rsid w:val="00214C7E"/>
    <w:rsid w:val="00215ADD"/>
    <w:rsid w:val="002243BB"/>
    <w:rsid w:val="00231AE2"/>
    <w:rsid w:val="0023360B"/>
    <w:rsid w:val="00236343"/>
    <w:rsid w:val="00237AFD"/>
    <w:rsid w:val="0024082F"/>
    <w:rsid w:val="00243652"/>
    <w:rsid w:val="0025295B"/>
    <w:rsid w:val="00273BEA"/>
    <w:rsid w:val="00274E3B"/>
    <w:rsid w:val="00294C4D"/>
    <w:rsid w:val="002A16DA"/>
    <w:rsid w:val="002C56BF"/>
    <w:rsid w:val="002C5707"/>
    <w:rsid w:val="002D0043"/>
    <w:rsid w:val="002E41E1"/>
    <w:rsid w:val="002F6ADB"/>
    <w:rsid w:val="003145AE"/>
    <w:rsid w:val="00317B59"/>
    <w:rsid w:val="0035154E"/>
    <w:rsid w:val="003553ED"/>
    <w:rsid w:val="00356A0D"/>
    <w:rsid w:val="003669B7"/>
    <w:rsid w:val="003705EB"/>
    <w:rsid w:val="00375A90"/>
    <w:rsid w:val="003806F8"/>
    <w:rsid w:val="003865A2"/>
    <w:rsid w:val="0039110A"/>
    <w:rsid w:val="003A057B"/>
    <w:rsid w:val="003A381E"/>
    <w:rsid w:val="003B046B"/>
    <w:rsid w:val="003B3359"/>
    <w:rsid w:val="003B4F26"/>
    <w:rsid w:val="003C6621"/>
    <w:rsid w:val="003C6A2A"/>
    <w:rsid w:val="003D2F7D"/>
    <w:rsid w:val="00411898"/>
    <w:rsid w:val="00423E4C"/>
    <w:rsid w:val="00432C6E"/>
    <w:rsid w:val="0044744F"/>
    <w:rsid w:val="00455697"/>
    <w:rsid w:val="00457AA4"/>
    <w:rsid w:val="00464739"/>
    <w:rsid w:val="0047207F"/>
    <w:rsid w:val="004724F9"/>
    <w:rsid w:val="00481502"/>
    <w:rsid w:val="00492F46"/>
    <w:rsid w:val="0049476D"/>
    <w:rsid w:val="004A246D"/>
    <w:rsid w:val="004A4383"/>
    <w:rsid w:val="004B02B9"/>
    <w:rsid w:val="004B4F97"/>
    <w:rsid w:val="004B597B"/>
    <w:rsid w:val="004C49CC"/>
    <w:rsid w:val="004C6831"/>
    <w:rsid w:val="004C7F70"/>
    <w:rsid w:val="004D6CB5"/>
    <w:rsid w:val="004D713C"/>
    <w:rsid w:val="004E176E"/>
    <w:rsid w:val="004F3A99"/>
    <w:rsid w:val="0051087C"/>
    <w:rsid w:val="00520BAD"/>
    <w:rsid w:val="00530490"/>
    <w:rsid w:val="00547373"/>
    <w:rsid w:val="005510A5"/>
    <w:rsid w:val="00561401"/>
    <w:rsid w:val="00570C88"/>
    <w:rsid w:val="0057542E"/>
    <w:rsid w:val="00591EC6"/>
    <w:rsid w:val="00591ED3"/>
    <w:rsid w:val="005947F0"/>
    <w:rsid w:val="005A63AF"/>
    <w:rsid w:val="005A7815"/>
    <w:rsid w:val="005A7C67"/>
    <w:rsid w:val="005F33C3"/>
    <w:rsid w:val="00612E08"/>
    <w:rsid w:val="0062764E"/>
    <w:rsid w:val="00634213"/>
    <w:rsid w:val="00643808"/>
    <w:rsid w:val="006A6203"/>
    <w:rsid w:val="006C5483"/>
    <w:rsid w:val="006C638D"/>
    <w:rsid w:val="006D677A"/>
    <w:rsid w:val="006E6FF8"/>
    <w:rsid w:val="006F5EF0"/>
    <w:rsid w:val="006F678E"/>
    <w:rsid w:val="006F6B62"/>
    <w:rsid w:val="007037EC"/>
    <w:rsid w:val="00720322"/>
    <w:rsid w:val="00731D31"/>
    <w:rsid w:val="007508A3"/>
    <w:rsid w:val="0075197E"/>
    <w:rsid w:val="00761208"/>
    <w:rsid w:val="00764D70"/>
    <w:rsid w:val="00770FAD"/>
    <w:rsid w:val="007717C3"/>
    <w:rsid w:val="007731B4"/>
    <w:rsid w:val="007756BE"/>
    <w:rsid w:val="007932DF"/>
    <w:rsid w:val="007A08BA"/>
    <w:rsid w:val="007A263C"/>
    <w:rsid w:val="007B40C1"/>
    <w:rsid w:val="007C3406"/>
    <w:rsid w:val="007C5312"/>
    <w:rsid w:val="007C6E0E"/>
    <w:rsid w:val="007D6052"/>
    <w:rsid w:val="007D6F2C"/>
    <w:rsid w:val="007D77CF"/>
    <w:rsid w:val="007E1AF4"/>
    <w:rsid w:val="007E2F61"/>
    <w:rsid w:val="007F12C7"/>
    <w:rsid w:val="007F587A"/>
    <w:rsid w:val="0080042A"/>
    <w:rsid w:val="0080400E"/>
    <w:rsid w:val="0080548A"/>
    <w:rsid w:val="00824E21"/>
    <w:rsid w:val="008329AF"/>
    <w:rsid w:val="0085218C"/>
    <w:rsid w:val="008544C2"/>
    <w:rsid w:val="00855350"/>
    <w:rsid w:val="00865E81"/>
    <w:rsid w:val="008801B5"/>
    <w:rsid w:val="00881E07"/>
    <w:rsid w:val="0088400C"/>
    <w:rsid w:val="008B0B8F"/>
    <w:rsid w:val="008B222D"/>
    <w:rsid w:val="008B4BDD"/>
    <w:rsid w:val="008C79B7"/>
    <w:rsid w:val="008D07D8"/>
    <w:rsid w:val="008D3AF6"/>
    <w:rsid w:val="008D4435"/>
    <w:rsid w:val="008E5C00"/>
    <w:rsid w:val="008F0C47"/>
    <w:rsid w:val="00905799"/>
    <w:rsid w:val="00905ED1"/>
    <w:rsid w:val="009148C3"/>
    <w:rsid w:val="009265F0"/>
    <w:rsid w:val="0092759D"/>
    <w:rsid w:val="00927A03"/>
    <w:rsid w:val="009431E3"/>
    <w:rsid w:val="00945F01"/>
    <w:rsid w:val="009475F5"/>
    <w:rsid w:val="00953A8E"/>
    <w:rsid w:val="00955C19"/>
    <w:rsid w:val="0096660E"/>
    <w:rsid w:val="009717F5"/>
    <w:rsid w:val="009743E2"/>
    <w:rsid w:val="0098472E"/>
    <w:rsid w:val="00985678"/>
    <w:rsid w:val="00987C03"/>
    <w:rsid w:val="00993CE2"/>
    <w:rsid w:val="00994550"/>
    <w:rsid w:val="009A3455"/>
    <w:rsid w:val="009B3128"/>
    <w:rsid w:val="009B6C0D"/>
    <w:rsid w:val="009C424C"/>
    <w:rsid w:val="009D64E8"/>
    <w:rsid w:val="009E09F7"/>
    <w:rsid w:val="009E3184"/>
    <w:rsid w:val="009F076B"/>
    <w:rsid w:val="009F4832"/>
    <w:rsid w:val="00A20737"/>
    <w:rsid w:val="00A340BB"/>
    <w:rsid w:val="00A37624"/>
    <w:rsid w:val="00A60413"/>
    <w:rsid w:val="00A74D77"/>
    <w:rsid w:val="00A7556A"/>
    <w:rsid w:val="00A7788F"/>
    <w:rsid w:val="00A96B16"/>
    <w:rsid w:val="00AA0C26"/>
    <w:rsid w:val="00AB32BF"/>
    <w:rsid w:val="00AB5CBF"/>
    <w:rsid w:val="00AC30D6"/>
    <w:rsid w:val="00AD4552"/>
    <w:rsid w:val="00AD6DDD"/>
    <w:rsid w:val="00AD7286"/>
    <w:rsid w:val="00AE0480"/>
    <w:rsid w:val="00AE150F"/>
    <w:rsid w:val="00AE31DE"/>
    <w:rsid w:val="00AF0D42"/>
    <w:rsid w:val="00AF5974"/>
    <w:rsid w:val="00B00B6E"/>
    <w:rsid w:val="00B01E2E"/>
    <w:rsid w:val="00B33C4C"/>
    <w:rsid w:val="00B33C75"/>
    <w:rsid w:val="00B363CA"/>
    <w:rsid w:val="00B42C9B"/>
    <w:rsid w:val="00B5142F"/>
    <w:rsid w:val="00B547F5"/>
    <w:rsid w:val="00B70AE5"/>
    <w:rsid w:val="00B75218"/>
    <w:rsid w:val="00B84F87"/>
    <w:rsid w:val="00B85B80"/>
    <w:rsid w:val="00B93E14"/>
    <w:rsid w:val="00B965E2"/>
    <w:rsid w:val="00BA2BF4"/>
    <w:rsid w:val="00BC4216"/>
    <w:rsid w:val="00BD4563"/>
    <w:rsid w:val="00BF430E"/>
    <w:rsid w:val="00BF5AEF"/>
    <w:rsid w:val="00C01EAF"/>
    <w:rsid w:val="00C351C2"/>
    <w:rsid w:val="00C35A36"/>
    <w:rsid w:val="00C423CA"/>
    <w:rsid w:val="00C50CA3"/>
    <w:rsid w:val="00C73ED3"/>
    <w:rsid w:val="00C76980"/>
    <w:rsid w:val="00C771AC"/>
    <w:rsid w:val="00C86714"/>
    <w:rsid w:val="00C91B2F"/>
    <w:rsid w:val="00C94E4E"/>
    <w:rsid w:val="00CA04EE"/>
    <w:rsid w:val="00CA75E3"/>
    <w:rsid w:val="00CB08AE"/>
    <w:rsid w:val="00CB0B3D"/>
    <w:rsid w:val="00CD6E04"/>
    <w:rsid w:val="00CE6AAE"/>
    <w:rsid w:val="00CF1A25"/>
    <w:rsid w:val="00CF1CAC"/>
    <w:rsid w:val="00D12314"/>
    <w:rsid w:val="00D2313B"/>
    <w:rsid w:val="00D479BD"/>
    <w:rsid w:val="00D50F1E"/>
    <w:rsid w:val="00D52114"/>
    <w:rsid w:val="00D66FAF"/>
    <w:rsid w:val="00D80CEF"/>
    <w:rsid w:val="00DA0F6E"/>
    <w:rsid w:val="00DA4121"/>
    <w:rsid w:val="00DC14FF"/>
    <w:rsid w:val="00DD2938"/>
    <w:rsid w:val="00DD2D85"/>
    <w:rsid w:val="00DE19FB"/>
    <w:rsid w:val="00DE398B"/>
    <w:rsid w:val="00DF357C"/>
    <w:rsid w:val="00E01F91"/>
    <w:rsid w:val="00E12389"/>
    <w:rsid w:val="00E164EC"/>
    <w:rsid w:val="00E171AA"/>
    <w:rsid w:val="00E32CCB"/>
    <w:rsid w:val="00E359FF"/>
    <w:rsid w:val="00E440B4"/>
    <w:rsid w:val="00E710B9"/>
    <w:rsid w:val="00E82597"/>
    <w:rsid w:val="00EA0000"/>
    <w:rsid w:val="00EB0625"/>
    <w:rsid w:val="00EB1101"/>
    <w:rsid w:val="00EB5956"/>
    <w:rsid w:val="00ED165A"/>
    <w:rsid w:val="00ED1AC0"/>
    <w:rsid w:val="00EE43A8"/>
    <w:rsid w:val="00EE625C"/>
    <w:rsid w:val="00EE6B3D"/>
    <w:rsid w:val="00F05EE5"/>
    <w:rsid w:val="00F0720B"/>
    <w:rsid w:val="00F354F4"/>
    <w:rsid w:val="00F45992"/>
    <w:rsid w:val="00F45FB8"/>
    <w:rsid w:val="00F50A84"/>
    <w:rsid w:val="00F528CD"/>
    <w:rsid w:val="00F66C75"/>
    <w:rsid w:val="00F7629D"/>
    <w:rsid w:val="00F8252E"/>
    <w:rsid w:val="00F8415F"/>
    <w:rsid w:val="00F87681"/>
    <w:rsid w:val="00FA02DB"/>
    <w:rsid w:val="00FA252F"/>
    <w:rsid w:val="00FB16E8"/>
    <w:rsid w:val="00FD0FD3"/>
    <w:rsid w:val="00FF1E63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A234D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Odstavec cíl se seznamem,Odstavec se seznamem1,body,Odsek zoznamu2,List Paragraph11,3,Bullet Points,Colorful List - Accent 11,Dot pt,EC,F5 List Paragraph,Indicator Text,Issue Action POC,List Paragraph1,List Paragraph2,MAIN CONTENT"/>
    <w:basedOn w:val="Normlny"/>
    <w:link w:val="OdsekzoznamuChar"/>
    <w:uiPriority w:val="34"/>
    <w:qFormat/>
    <w:rsid w:val="007C6E0E"/>
    <w:pPr>
      <w:spacing w:after="200" w:line="276" w:lineRule="auto"/>
      <w:ind w:left="720"/>
      <w:contextualSpacing/>
    </w:pPr>
  </w:style>
  <w:style w:type="character" w:styleId="Vrazn">
    <w:name w:val="Strong"/>
    <w:basedOn w:val="Predvolenpsmoodseku"/>
    <w:uiPriority w:val="99"/>
    <w:qFormat/>
    <w:rsid w:val="007C6E0E"/>
    <w:rPr>
      <w:rFonts w:cs="Times New Roman"/>
      <w:b/>
      <w:bCs/>
    </w:rPr>
  </w:style>
  <w:style w:type="character" w:customStyle="1" w:styleId="OdsekzoznamuChar">
    <w:name w:val="Odsek zoznamu Char"/>
    <w:aliases w:val="Odstavec cíl se seznamem Char,Odstavec se seznamem1 Char,body Char,Odsek zoznamu2 Char,List Paragraph11 Char,3 Char,Bullet Points Char,Colorful List - Accent 11 Char,Dot pt Char,EC Char,F5 List Paragraph Char,Indicator Text Char"/>
    <w:basedOn w:val="Predvolenpsmoodseku"/>
    <w:link w:val="Odsekzoznamu"/>
    <w:uiPriority w:val="34"/>
    <w:qFormat/>
    <w:locked/>
    <w:rsid w:val="007C6E0E"/>
  </w:style>
  <w:style w:type="character" w:styleId="Hypertextovprepojenie">
    <w:name w:val="Hyperlink"/>
    <w:basedOn w:val="Predvolenpsmoodseku"/>
    <w:uiPriority w:val="99"/>
    <w:unhideWhenUsed/>
    <w:rsid w:val="007C6E0E"/>
    <w:rPr>
      <w:rFonts w:cs="Times New Roman"/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EB0625"/>
    <w:pPr>
      <w:spacing w:after="0" w:line="240" w:lineRule="auto"/>
    </w:pPr>
    <w:rPr>
      <w:rFonts w:ascii="Arial Narrow" w:eastAsiaTheme="minorEastAsia" w:hAnsi="Arial Narrow" w:cs="Arial Narrow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EB0625"/>
    <w:rPr>
      <w:rFonts w:ascii="Arial Narrow" w:eastAsiaTheme="minorEastAsia" w:hAnsi="Arial Narrow" w:cs="Arial Narrow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B0625"/>
    <w:rPr>
      <w:vertAlign w:val="superscript"/>
    </w:rPr>
  </w:style>
  <w:style w:type="paragraph" w:customStyle="1" w:styleId="CM1">
    <w:name w:val="CM1"/>
    <w:basedOn w:val="Default"/>
    <w:next w:val="Default"/>
    <w:uiPriority w:val="99"/>
    <w:rsid w:val="00481502"/>
    <w:rPr>
      <w:rFonts w:ascii="EU Albertina" w:hAnsi="EU 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81502"/>
    <w:rPr>
      <w:rFonts w:ascii="EU Albertina" w:hAnsi="EU Albertina" w:cstheme="minorBidi"/>
      <w:color w:val="auto"/>
    </w:rPr>
  </w:style>
  <w:style w:type="character" w:customStyle="1" w:styleId="awspan">
    <w:name w:val="awspan"/>
    <w:basedOn w:val="Predvolenpsmoodseku"/>
    <w:rsid w:val="00B01E2E"/>
  </w:style>
  <w:style w:type="paragraph" w:customStyle="1" w:styleId="CM4">
    <w:name w:val="CM4"/>
    <w:basedOn w:val="Default"/>
    <w:next w:val="Default"/>
    <w:uiPriority w:val="99"/>
    <w:rsid w:val="004B4F97"/>
    <w:rPr>
      <w:rFonts w:ascii="EU Albertina" w:hAnsi="EU Albertina" w:cstheme="minorBidi"/>
      <w:color w:val="auto"/>
    </w:rPr>
  </w:style>
  <w:style w:type="character" w:customStyle="1" w:styleId="norm00e1lnychar1">
    <w:name w:val="norm_00e1lny__char1"/>
    <w:rsid w:val="00994550"/>
    <w:rPr>
      <w:rFonts w:ascii="Times New Roman" w:hAnsi="Times New Roman" w:cs="Times New Roman"/>
      <w:strike w:val="0"/>
      <w:dstrike w:val="0"/>
      <w:sz w:val="20"/>
      <w:szCs w:val="20"/>
      <w:u w:val="none"/>
      <w:effect w:val="none"/>
    </w:rPr>
  </w:style>
  <w:style w:type="character" w:styleId="Zvraznenie">
    <w:name w:val="Emphasis"/>
    <w:basedOn w:val="Predvolenpsmoodseku"/>
    <w:uiPriority w:val="20"/>
    <w:qFormat/>
    <w:rsid w:val="00927A03"/>
    <w:rPr>
      <w:i/>
      <w:iCs/>
    </w:rPr>
  </w:style>
  <w:style w:type="character" w:customStyle="1" w:styleId="cf01">
    <w:name w:val="cf01"/>
    <w:basedOn w:val="Predvolenpsmoodseku"/>
    <w:rsid w:val="003865A2"/>
    <w:rPr>
      <w:rFonts w:ascii="Segoe UI" w:hAnsi="Segoe UI" w:cs="Segoe UI" w:hint="default"/>
    </w:rPr>
  </w:style>
  <w:style w:type="character" w:styleId="Nevyrieenzmienka">
    <w:name w:val="Unresolved Mention"/>
    <w:basedOn w:val="Predvolenpsmoodseku"/>
    <w:uiPriority w:val="99"/>
    <w:semiHidden/>
    <w:unhideWhenUsed/>
    <w:rsid w:val="001F6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nna.bartikova@mf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912152C9-DB60-448F-839B-B4ED96A8E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Bartikova</dc:creator>
  <cp:keywords/>
  <dc:description/>
  <cp:lastModifiedBy>Bartikova Anna</cp:lastModifiedBy>
  <cp:revision>32</cp:revision>
  <cp:lastPrinted>2025-09-08T06:34:00Z</cp:lastPrinted>
  <dcterms:created xsi:type="dcterms:W3CDTF">2025-07-08T09:12:00Z</dcterms:created>
  <dcterms:modified xsi:type="dcterms:W3CDTF">2025-09-08T06:49:00Z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  <property fmtid="{D5CDD505-2E9C-101B-9397-08002B2CF9AE}" pid="153" name="MSIP_Label_d8d4986f-dcbf-4623-ae9a-8251714e0a88_Enabled">
    <vt:lpwstr>true</vt:lpwstr>
  </property>
  <property fmtid="{D5CDD505-2E9C-101B-9397-08002B2CF9AE}" pid="154" name="MSIP_Label_d8d4986f-dcbf-4623-ae9a-8251714e0a88_SetDate">
    <vt:lpwstr>2025-09-08T06:49:22Z</vt:lpwstr>
  </property>
  <property fmtid="{D5CDD505-2E9C-101B-9397-08002B2CF9AE}" pid="155" name="MSIP_Label_d8d4986f-dcbf-4623-ae9a-8251714e0a88_Method">
    <vt:lpwstr>Privileged</vt:lpwstr>
  </property>
  <property fmtid="{D5CDD505-2E9C-101B-9397-08002B2CF9AE}" pid="156" name="MSIP_Label_d8d4986f-dcbf-4623-ae9a-8251714e0a88_Name">
    <vt:lpwstr>Public</vt:lpwstr>
  </property>
  <property fmtid="{D5CDD505-2E9C-101B-9397-08002B2CF9AE}" pid="157" name="MSIP_Label_d8d4986f-dcbf-4623-ae9a-8251714e0a88_SiteId">
    <vt:lpwstr>579df390-dbff-49fd-8f10-624670566482</vt:lpwstr>
  </property>
  <property fmtid="{D5CDD505-2E9C-101B-9397-08002B2CF9AE}" pid="158" name="MSIP_Label_d8d4986f-dcbf-4623-ae9a-8251714e0a88_ActionId">
    <vt:lpwstr>c4790244-c51c-4f3d-9798-ca53c61e8a19</vt:lpwstr>
  </property>
  <property fmtid="{D5CDD505-2E9C-101B-9397-08002B2CF9AE}" pid="159" name="MSIP_Label_d8d4986f-dcbf-4623-ae9a-8251714e0a88_ContentBits">
    <vt:lpwstr>0</vt:lpwstr>
  </property>
</Properties>
</file>