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8945" w14:textId="77777777" w:rsidR="00641970" w:rsidRPr="005E25A2" w:rsidRDefault="00F12CD2" w:rsidP="007A233A">
      <w:pPr>
        <w:spacing w:after="120"/>
        <w:jc w:val="center"/>
        <w:rPr>
          <w:b/>
          <w:caps/>
          <w:sz w:val="27"/>
          <w:szCs w:val="27"/>
          <w:lang w:eastAsia="sk-SK"/>
        </w:rPr>
      </w:pPr>
      <w:r w:rsidRPr="005E25A2">
        <w:rPr>
          <w:b/>
          <w:caps/>
        </w:rPr>
        <w:t>Dôvodová</w:t>
      </w:r>
      <w:r w:rsidR="00575EE4" w:rsidRPr="005E25A2">
        <w:rPr>
          <w:b/>
          <w:caps/>
        </w:rPr>
        <w:t xml:space="preserve"> správa</w:t>
      </w:r>
    </w:p>
    <w:p w14:paraId="370AED5D" w14:textId="77777777" w:rsidR="001D0812" w:rsidRPr="005E25A2" w:rsidRDefault="001D0812" w:rsidP="007A233A">
      <w:pPr>
        <w:spacing w:after="120"/>
        <w:jc w:val="both"/>
        <w:rPr>
          <w:b/>
        </w:rPr>
      </w:pPr>
    </w:p>
    <w:p w14:paraId="3940E5B2" w14:textId="77777777" w:rsidR="00F12CD2" w:rsidRPr="005E25A2" w:rsidRDefault="00F12CD2" w:rsidP="007A233A">
      <w:pPr>
        <w:spacing w:after="120"/>
        <w:jc w:val="both"/>
        <w:rPr>
          <w:b/>
        </w:rPr>
      </w:pPr>
      <w:r w:rsidRPr="005E25A2">
        <w:rPr>
          <w:b/>
        </w:rPr>
        <w:t xml:space="preserve">Všeobecná časť </w:t>
      </w:r>
    </w:p>
    <w:p w14:paraId="47044773" w14:textId="2BA9D73B" w:rsidR="00510143" w:rsidRPr="005E25A2" w:rsidRDefault="00510143" w:rsidP="00510143">
      <w:pPr>
        <w:spacing w:after="120"/>
        <w:jc w:val="both"/>
        <w:rPr>
          <w:lang w:eastAsia="sk-SK"/>
        </w:rPr>
      </w:pPr>
      <w:r w:rsidRPr="005E25A2">
        <w:rPr>
          <w:lang w:eastAsia="sk-SK"/>
        </w:rPr>
        <w:tab/>
        <w:t>Základnými právnymi aktmi Európskej únie, ktoré upravujú podnikanie, resp. rámec prudenciálneho dohľadu nad bankami</w:t>
      </w:r>
      <w:r w:rsidR="00F215ED" w:rsidRPr="005E25A2">
        <w:rPr>
          <w:lang w:eastAsia="sk-SK"/>
        </w:rPr>
        <w:t>,</w:t>
      </w:r>
      <w:r w:rsidRPr="005E25A2">
        <w:rPr>
          <w:lang w:eastAsia="sk-SK"/>
        </w:rPr>
        <w:t xml:space="preserve"> </w:t>
      </w:r>
      <w:r w:rsidR="00F215ED" w:rsidRPr="005E25A2">
        <w:rPr>
          <w:lang w:eastAsia="sk-SK"/>
        </w:rPr>
        <w:t>je</w:t>
      </w:r>
      <w:r w:rsidRPr="005E25A2">
        <w:rPr>
          <w:lang w:eastAsia="sk-SK"/>
        </w:rPr>
        <w:t xml:space="preserve"> smernica Európskeho parlamentu a Rady 2013/36/EÚ z 26. júna 2013 </w:t>
      </w:r>
      <w:r w:rsidRPr="005E25A2">
        <w:rPr>
          <w:rStyle w:val="Vrazn"/>
          <w:b w:val="0"/>
        </w:rPr>
        <w:t>o prístupe k činnosti úverových inštitúcií a prudenciálnom dohľade nad úverovými inštitúciami a investičnými spoločnosťami, o zmene smernice 2002/87/ES a o zrušení smerníc 2006/48/ES a 2006/49/ES</w:t>
      </w:r>
      <w:r w:rsidR="007D308D" w:rsidRPr="005E25A2">
        <w:rPr>
          <w:rStyle w:val="Vrazn"/>
          <w:b w:val="0"/>
        </w:rPr>
        <w:t xml:space="preserve"> </w:t>
      </w:r>
      <w:r w:rsidR="007D308D" w:rsidRPr="005E25A2">
        <w:rPr>
          <w:lang w:eastAsia="sk-SK"/>
        </w:rPr>
        <w:t>(Ú. v. EÚ L 176, 27.6.2013)</w:t>
      </w:r>
      <w:r w:rsidRPr="005E25A2">
        <w:rPr>
          <w:rStyle w:val="Vrazn"/>
          <w:b w:val="0"/>
        </w:rPr>
        <w:t xml:space="preserve"> (ďalej len „CRD“, v prvotnom znení „CRD IV“) a nariadenie Európskeho parlamentu a Rady (EÚ) č. 575/2013 z 26. júna 2013 </w:t>
      </w:r>
      <w:r w:rsidRPr="005E25A2">
        <w:rPr>
          <w:shd w:val="clear" w:color="auto" w:fill="FFFFFF"/>
        </w:rPr>
        <w:t xml:space="preserve">o prudenciálnych požiadavkách na úverové inštitúcie a investičné spoločnosti a o zmene nariadenia (EÚ) č. 648/2012 </w:t>
      </w:r>
      <w:r w:rsidR="007D308D" w:rsidRPr="005E25A2">
        <w:rPr>
          <w:lang w:eastAsia="sk-SK"/>
        </w:rPr>
        <w:t>(Ú. v. EÚ L 176, 27.6.2013)</w:t>
      </w:r>
      <w:r w:rsidR="007D308D" w:rsidRPr="005E25A2">
        <w:rPr>
          <w:shd w:val="clear" w:color="auto" w:fill="FFFFFF"/>
        </w:rPr>
        <w:t xml:space="preserve"> </w:t>
      </w:r>
      <w:r w:rsidRPr="005E25A2">
        <w:rPr>
          <w:shd w:val="clear" w:color="auto" w:fill="FFFFFF"/>
        </w:rPr>
        <w:t xml:space="preserve">(ďalej len „CRR“, v prvotnom znení „CRR I“). </w:t>
      </w:r>
      <w:r w:rsidRPr="005E25A2">
        <w:rPr>
          <w:lang w:eastAsia="sk-SK"/>
        </w:rPr>
        <w:t>CRD IV a CRR I sa</w:t>
      </w:r>
      <w:r w:rsidRPr="005E25A2">
        <w:rPr>
          <w:spacing w:val="55"/>
          <w:lang w:eastAsia="sk-SK"/>
        </w:rPr>
        <w:t xml:space="preserve"> </w:t>
      </w:r>
      <w:r w:rsidRPr="005E25A2">
        <w:rPr>
          <w:lang w:eastAsia="sk-SK"/>
        </w:rPr>
        <w:t>zameriavajú</w:t>
      </w:r>
      <w:r w:rsidRPr="005E25A2">
        <w:rPr>
          <w:spacing w:val="55"/>
          <w:lang w:eastAsia="sk-SK"/>
        </w:rPr>
        <w:t xml:space="preserve"> </w:t>
      </w:r>
      <w:r w:rsidRPr="005E25A2">
        <w:rPr>
          <w:lang w:eastAsia="sk-SK"/>
        </w:rPr>
        <w:t>na</w:t>
      </w:r>
      <w:r w:rsidRPr="005E25A2">
        <w:rPr>
          <w:spacing w:val="55"/>
          <w:lang w:eastAsia="sk-SK"/>
        </w:rPr>
        <w:t xml:space="preserve"> </w:t>
      </w:r>
      <w:r w:rsidRPr="005E25A2">
        <w:rPr>
          <w:lang w:eastAsia="sk-SK"/>
        </w:rPr>
        <w:t>zlepšenie</w:t>
      </w:r>
      <w:r w:rsidRPr="005E25A2">
        <w:rPr>
          <w:spacing w:val="55"/>
          <w:lang w:eastAsia="sk-SK"/>
        </w:rPr>
        <w:t xml:space="preserve"> </w:t>
      </w:r>
      <w:r w:rsidRPr="005E25A2">
        <w:rPr>
          <w:lang w:eastAsia="sk-SK"/>
        </w:rPr>
        <w:t>fungovania</w:t>
      </w:r>
      <w:r w:rsidRPr="005E25A2">
        <w:rPr>
          <w:spacing w:val="55"/>
          <w:lang w:eastAsia="sk-SK"/>
        </w:rPr>
        <w:t xml:space="preserve"> </w:t>
      </w:r>
      <w:r w:rsidRPr="005E25A2">
        <w:rPr>
          <w:lang w:eastAsia="sk-SK"/>
        </w:rPr>
        <w:t>bánk, na pravidlá</w:t>
      </w:r>
      <w:r w:rsidRPr="005E25A2">
        <w:rPr>
          <w:spacing w:val="54"/>
          <w:lang w:eastAsia="sk-SK"/>
        </w:rPr>
        <w:t xml:space="preserve"> </w:t>
      </w:r>
      <w:r w:rsidRPr="005E25A2">
        <w:rPr>
          <w:lang w:eastAsia="sk-SK"/>
        </w:rPr>
        <w:t>pre</w:t>
      </w:r>
      <w:r w:rsidRPr="005E25A2">
        <w:rPr>
          <w:spacing w:val="54"/>
          <w:lang w:eastAsia="sk-SK"/>
        </w:rPr>
        <w:t xml:space="preserve"> </w:t>
      </w:r>
      <w:r w:rsidRPr="005E25A2">
        <w:rPr>
          <w:lang w:eastAsia="sk-SK"/>
        </w:rPr>
        <w:t>ich</w:t>
      </w:r>
      <w:r w:rsidRPr="005E25A2">
        <w:rPr>
          <w:spacing w:val="54"/>
          <w:lang w:eastAsia="sk-SK"/>
        </w:rPr>
        <w:t xml:space="preserve"> </w:t>
      </w:r>
      <w:r w:rsidRPr="005E25A2">
        <w:rPr>
          <w:lang w:eastAsia="sk-SK"/>
        </w:rPr>
        <w:t>správu a riadenie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vrátane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efektívnych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a</w:t>
      </w:r>
      <w:r w:rsidRPr="005E25A2">
        <w:rPr>
          <w:spacing w:val="76"/>
          <w:lang w:eastAsia="sk-SK"/>
        </w:rPr>
        <w:t> </w:t>
      </w:r>
      <w:r w:rsidRPr="005E25A2">
        <w:rPr>
          <w:lang w:eastAsia="sk-SK"/>
        </w:rPr>
        <w:t>primeraných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sankčných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režimov,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ktoré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majú odrádzať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tieto subjekty</w:t>
      </w:r>
      <w:r w:rsidRPr="005E25A2">
        <w:rPr>
          <w:spacing w:val="58"/>
          <w:lang w:eastAsia="sk-SK"/>
        </w:rPr>
        <w:t xml:space="preserve"> </w:t>
      </w:r>
      <w:r w:rsidRPr="005E25A2">
        <w:rPr>
          <w:lang w:eastAsia="sk-SK"/>
        </w:rPr>
        <w:t>od</w:t>
      </w:r>
      <w:r w:rsidRPr="005E25A2">
        <w:rPr>
          <w:spacing w:val="58"/>
          <w:lang w:eastAsia="sk-SK"/>
        </w:rPr>
        <w:t xml:space="preserve"> </w:t>
      </w:r>
      <w:r w:rsidRPr="005E25A2">
        <w:rPr>
          <w:lang w:eastAsia="sk-SK"/>
        </w:rPr>
        <w:t>porušovania</w:t>
      </w:r>
      <w:r w:rsidRPr="005E25A2">
        <w:rPr>
          <w:spacing w:val="58"/>
          <w:lang w:eastAsia="sk-SK"/>
        </w:rPr>
        <w:t xml:space="preserve"> </w:t>
      </w:r>
      <w:r w:rsidRPr="005E25A2">
        <w:rPr>
          <w:lang w:eastAsia="sk-SK"/>
        </w:rPr>
        <w:t>všeobecných</w:t>
      </w:r>
      <w:r w:rsidRPr="005E25A2">
        <w:rPr>
          <w:spacing w:val="58"/>
          <w:lang w:eastAsia="sk-SK"/>
        </w:rPr>
        <w:t xml:space="preserve"> </w:t>
      </w:r>
      <w:r w:rsidRPr="005E25A2">
        <w:rPr>
          <w:lang w:eastAsia="sk-SK"/>
        </w:rPr>
        <w:t>zásad</w:t>
      </w:r>
      <w:r w:rsidRPr="005E25A2">
        <w:rPr>
          <w:spacing w:val="58"/>
          <w:lang w:eastAsia="sk-SK"/>
        </w:rPr>
        <w:t xml:space="preserve"> </w:t>
      </w:r>
      <w:r w:rsidRPr="005E25A2">
        <w:rPr>
          <w:lang w:eastAsia="sk-SK"/>
        </w:rPr>
        <w:t>a</w:t>
      </w:r>
      <w:r w:rsidRPr="005E25A2">
        <w:rPr>
          <w:spacing w:val="58"/>
          <w:lang w:eastAsia="sk-SK"/>
        </w:rPr>
        <w:t> </w:t>
      </w:r>
      <w:r w:rsidRPr="005E25A2">
        <w:rPr>
          <w:lang w:eastAsia="sk-SK"/>
        </w:rPr>
        <w:t>predpisov.</w:t>
      </w:r>
      <w:r w:rsidRPr="005E25A2">
        <w:rPr>
          <w:spacing w:val="58"/>
          <w:lang w:eastAsia="sk-SK"/>
        </w:rPr>
        <w:t xml:space="preserve"> </w:t>
      </w:r>
      <w:r w:rsidRPr="005E25A2">
        <w:rPr>
          <w:lang w:eastAsia="sk-SK"/>
        </w:rPr>
        <w:t>Dôraz</w:t>
      </w:r>
      <w:r w:rsidRPr="005E25A2">
        <w:rPr>
          <w:spacing w:val="58"/>
          <w:lang w:eastAsia="sk-SK"/>
        </w:rPr>
        <w:t xml:space="preserve"> </w:t>
      </w:r>
      <w:r w:rsidR="00F215ED" w:rsidRPr="005E25A2">
        <w:rPr>
          <w:lang w:eastAsia="sk-SK"/>
        </w:rPr>
        <w:t>kladú</w:t>
      </w:r>
      <w:r w:rsidRPr="005E25A2">
        <w:rPr>
          <w:lang w:eastAsia="sk-SK"/>
        </w:rPr>
        <w:t xml:space="preserve"> na zmenšenie</w:t>
      </w:r>
      <w:r w:rsidRPr="005E25A2">
        <w:rPr>
          <w:spacing w:val="82"/>
          <w:lang w:eastAsia="sk-SK"/>
        </w:rPr>
        <w:t xml:space="preserve"> </w:t>
      </w:r>
      <w:r w:rsidRPr="005E25A2">
        <w:rPr>
          <w:lang w:eastAsia="sk-SK"/>
        </w:rPr>
        <w:t>procyklických</w:t>
      </w:r>
      <w:r w:rsidRPr="005E25A2">
        <w:rPr>
          <w:spacing w:val="82"/>
          <w:lang w:eastAsia="sk-SK"/>
        </w:rPr>
        <w:t xml:space="preserve"> </w:t>
      </w:r>
      <w:r w:rsidRPr="005E25A2">
        <w:rPr>
          <w:lang w:eastAsia="sk-SK"/>
        </w:rPr>
        <w:t>mechanizmov</w:t>
      </w:r>
      <w:r w:rsidRPr="005E25A2">
        <w:rPr>
          <w:spacing w:val="82"/>
          <w:lang w:eastAsia="sk-SK"/>
        </w:rPr>
        <w:t xml:space="preserve"> </w:t>
      </w:r>
      <w:r w:rsidRPr="005E25A2">
        <w:rPr>
          <w:lang w:eastAsia="sk-SK"/>
        </w:rPr>
        <w:t>vo finančnom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systéme, t. j. zaviedli sa kapitálové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vankúše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ako</w:t>
      </w:r>
      <w:r w:rsidRPr="005E25A2">
        <w:rPr>
          <w:spacing w:val="76"/>
          <w:lang w:eastAsia="sk-SK"/>
        </w:rPr>
        <w:t xml:space="preserve"> </w:t>
      </w:r>
      <w:r w:rsidRPr="005E25A2">
        <w:rPr>
          <w:lang w:eastAsia="sk-SK"/>
        </w:rPr>
        <w:t>nástroj politiky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obozretnosti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na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makroúrovni.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Zavedením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týchto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prísnejších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požiadaviek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pre</w:t>
      </w:r>
      <w:r w:rsidRPr="005E25A2">
        <w:rPr>
          <w:spacing w:val="96"/>
          <w:lang w:eastAsia="sk-SK"/>
        </w:rPr>
        <w:t xml:space="preserve"> </w:t>
      </w:r>
      <w:r w:rsidRPr="005E25A2">
        <w:rPr>
          <w:lang w:eastAsia="sk-SK"/>
        </w:rPr>
        <w:t>banky sa znížilo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riziko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ich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zlyhania,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čo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prispelo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k vyššej</w:t>
      </w:r>
      <w:r w:rsidRPr="005E25A2">
        <w:rPr>
          <w:spacing w:val="73"/>
          <w:lang w:eastAsia="sk-SK"/>
        </w:rPr>
        <w:t xml:space="preserve"> </w:t>
      </w:r>
      <w:r w:rsidRPr="005E25A2">
        <w:rPr>
          <w:lang w:eastAsia="sk-SK"/>
        </w:rPr>
        <w:t>stabilite finančného systému v rámci Slovenskej republiky, ako aj v rámci celej Európskej únie.</w:t>
      </w:r>
      <w:r w:rsidR="00F215ED" w:rsidRPr="005E25A2">
        <w:rPr>
          <w:lang w:eastAsia="sk-SK"/>
        </w:rPr>
        <w:t xml:space="preserve"> </w:t>
      </w:r>
    </w:p>
    <w:p w14:paraId="655E8656" w14:textId="77777777" w:rsidR="00F215ED" w:rsidRPr="005E25A2" w:rsidRDefault="00F215ED" w:rsidP="00F215ED">
      <w:pPr>
        <w:spacing w:after="120"/>
        <w:jc w:val="both"/>
        <w:rPr>
          <w:sz w:val="27"/>
          <w:szCs w:val="27"/>
          <w:lang w:eastAsia="sk-SK"/>
        </w:rPr>
      </w:pPr>
      <w:r w:rsidRPr="005E25A2">
        <w:rPr>
          <w:spacing w:val="24"/>
          <w:lang w:eastAsia="sk-SK"/>
        </w:rPr>
        <w:tab/>
      </w:r>
      <w:r w:rsidRPr="005E25A2">
        <w:rPr>
          <w:lang w:eastAsia="sk-SK"/>
        </w:rPr>
        <w:t>Smernica</w:t>
      </w:r>
      <w:r w:rsidRPr="005E25A2">
        <w:rPr>
          <w:spacing w:val="24"/>
          <w:lang w:eastAsia="sk-SK"/>
        </w:rPr>
        <w:t xml:space="preserve"> </w:t>
      </w:r>
      <w:r w:rsidRPr="005E25A2">
        <w:rPr>
          <w:lang w:eastAsia="sk-SK"/>
        </w:rPr>
        <w:t>CRD</w:t>
      </w:r>
      <w:r w:rsidRPr="005E25A2">
        <w:rPr>
          <w:spacing w:val="24"/>
          <w:lang w:eastAsia="sk-SK"/>
        </w:rPr>
        <w:t xml:space="preserve"> I</w:t>
      </w:r>
      <w:r w:rsidRPr="005E25A2">
        <w:rPr>
          <w:lang w:eastAsia="sk-SK"/>
        </w:rPr>
        <w:t>V a</w:t>
      </w:r>
      <w:r w:rsidRPr="005E25A2">
        <w:rPr>
          <w:spacing w:val="24"/>
          <w:lang w:eastAsia="sk-SK"/>
        </w:rPr>
        <w:t> </w:t>
      </w:r>
      <w:r w:rsidRPr="005E25A2">
        <w:rPr>
          <w:lang w:eastAsia="sk-SK"/>
        </w:rPr>
        <w:t>nariadenie CRR I sú premietnuté do zákona</w:t>
      </w:r>
      <w:r w:rsidRPr="005E25A2">
        <w:rPr>
          <w:spacing w:val="24"/>
          <w:lang w:eastAsia="sk-SK"/>
        </w:rPr>
        <w:t xml:space="preserve"> </w:t>
      </w:r>
      <w:r w:rsidRPr="005E25A2">
        <w:rPr>
          <w:lang w:eastAsia="sk-SK"/>
        </w:rPr>
        <w:t>č.</w:t>
      </w:r>
      <w:r w:rsidRPr="005E25A2">
        <w:rPr>
          <w:spacing w:val="24"/>
          <w:lang w:eastAsia="sk-SK"/>
        </w:rPr>
        <w:t> </w:t>
      </w:r>
      <w:r w:rsidRPr="005E25A2">
        <w:rPr>
          <w:lang w:eastAsia="sk-SK"/>
        </w:rPr>
        <w:t>483/2001</w:t>
      </w:r>
      <w:r w:rsidRPr="005E25A2">
        <w:rPr>
          <w:spacing w:val="24"/>
          <w:lang w:eastAsia="sk-SK"/>
        </w:rPr>
        <w:t xml:space="preserve"> </w:t>
      </w:r>
      <w:r w:rsidRPr="005E25A2">
        <w:rPr>
          <w:lang w:eastAsia="sk-SK"/>
        </w:rPr>
        <w:t>Z.</w:t>
      </w:r>
      <w:r w:rsidRPr="005E25A2">
        <w:rPr>
          <w:spacing w:val="24"/>
          <w:lang w:eastAsia="sk-SK"/>
        </w:rPr>
        <w:t xml:space="preserve"> </w:t>
      </w:r>
      <w:r w:rsidRPr="005E25A2">
        <w:rPr>
          <w:lang w:eastAsia="sk-SK"/>
        </w:rPr>
        <w:t>z.</w:t>
      </w:r>
      <w:r w:rsidRPr="005E25A2">
        <w:rPr>
          <w:spacing w:val="24"/>
          <w:lang w:eastAsia="sk-SK"/>
        </w:rPr>
        <w:t xml:space="preserve"> </w:t>
      </w:r>
      <w:r w:rsidRPr="005E25A2">
        <w:rPr>
          <w:lang w:eastAsia="sk-SK"/>
        </w:rPr>
        <w:t>o</w:t>
      </w:r>
      <w:r w:rsidRPr="005E25A2">
        <w:rPr>
          <w:spacing w:val="24"/>
          <w:lang w:eastAsia="sk-SK"/>
        </w:rPr>
        <w:t> </w:t>
      </w:r>
      <w:r w:rsidRPr="005E25A2">
        <w:rPr>
          <w:lang w:eastAsia="sk-SK"/>
        </w:rPr>
        <w:t>bankách a o zmene a doplnení niektorých</w:t>
      </w:r>
      <w:r w:rsidRPr="005E25A2">
        <w:rPr>
          <w:spacing w:val="1"/>
          <w:lang w:eastAsia="sk-SK"/>
        </w:rPr>
        <w:t xml:space="preserve"> </w:t>
      </w:r>
      <w:r w:rsidRPr="005E25A2">
        <w:rPr>
          <w:lang w:eastAsia="sk-SK"/>
        </w:rPr>
        <w:t>zákonov</w:t>
      </w:r>
      <w:r w:rsidRPr="005E25A2">
        <w:rPr>
          <w:spacing w:val="1"/>
          <w:lang w:eastAsia="sk-SK"/>
        </w:rPr>
        <w:t xml:space="preserve"> </w:t>
      </w:r>
      <w:r w:rsidRPr="005E25A2">
        <w:rPr>
          <w:lang w:eastAsia="sk-SK"/>
        </w:rPr>
        <w:t>v znení neskorších</w:t>
      </w:r>
      <w:r w:rsidRPr="005E25A2">
        <w:rPr>
          <w:spacing w:val="1"/>
          <w:lang w:eastAsia="sk-SK"/>
        </w:rPr>
        <w:t xml:space="preserve"> </w:t>
      </w:r>
      <w:r w:rsidRPr="005E25A2">
        <w:rPr>
          <w:lang w:eastAsia="sk-SK"/>
        </w:rPr>
        <w:t>predpisov.</w:t>
      </w:r>
    </w:p>
    <w:p w14:paraId="27E46C56" w14:textId="1E11C763" w:rsidR="00F215ED" w:rsidRPr="005E25A2" w:rsidRDefault="00510143" w:rsidP="002D2C21">
      <w:pPr>
        <w:spacing w:after="120"/>
        <w:jc w:val="both"/>
        <w:rPr>
          <w:lang w:eastAsia="sk-SK"/>
        </w:rPr>
      </w:pPr>
      <w:r w:rsidRPr="005E25A2">
        <w:rPr>
          <w:lang w:eastAsia="sk-SK"/>
        </w:rPr>
        <w:tab/>
        <w:t>V</w:t>
      </w:r>
      <w:r w:rsidR="00F215ED" w:rsidRPr="005E25A2">
        <w:rPr>
          <w:lang w:eastAsia="sk-SK"/>
        </w:rPr>
        <w:t> </w:t>
      </w:r>
      <w:r w:rsidRPr="005E25A2">
        <w:rPr>
          <w:lang w:eastAsia="sk-SK"/>
        </w:rPr>
        <w:t>nadväznosti na vyhodnotenie jednotlivých súčastí regulácie zo strany Bazilejského výboru pre bankový dohľad, ako aj zo strany európskych orgánov sa pristúpilo k revízii regulatórneho rámca</w:t>
      </w:r>
      <w:r w:rsidR="00F215ED" w:rsidRPr="005E25A2">
        <w:rPr>
          <w:lang w:eastAsia="sk-SK"/>
        </w:rPr>
        <w:t xml:space="preserve"> a v roku 2019 bola prijatá </w:t>
      </w:r>
      <w:r w:rsidRPr="005E25A2">
        <w:t>smernic</w:t>
      </w:r>
      <w:r w:rsidR="00F215ED" w:rsidRPr="005E25A2">
        <w:t>a</w:t>
      </w:r>
      <w:r w:rsidRPr="005E25A2">
        <w:t xml:space="preserve"> Európskeho parlamentu a Rady (EÚ) 2019/878 z 20. mája 2019, ktorou sa mení smernica 2013/36/EÚ, pokiaľ ide o oslobodené subjekty, finančné holdingové spoločnosti, zmiešané finančné holdingové spoločnosti, odmeňovanie, opatrenia a právomoci v oblasti dohľadu a opatrenia na zachovanie kapitálu </w:t>
      </w:r>
      <w:r w:rsidR="007D308D" w:rsidRPr="005E25A2">
        <w:t>(Ú.</w:t>
      </w:r>
      <w:r w:rsidR="005F01F6" w:rsidRPr="005E25A2">
        <w:t> </w:t>
      </w:r>
      <w:r w:rsidR="007D308D" w:rsidRPr="005E25A2">
        <w:t xml:space="preserve">v. EÚ L 150, 7.6.2019) </w:t>
      </w:r>
      <w:r w:rsidRPr="005E25A2">
        <w:t>(ďalej len „smernica CRD V“), a</w:t>
      </w:r>
      <w:r w:rsidR="002D2C21" w:rsidRPr="005E25A2">
        <w:t xml:space="preserve"> </w:t>
      </w:r>
      <w:r w:rsidR="00F215ED" w:rsidRPr="005E25A2">
        <w:t>nariadenie Európskeho parlamentu a Rady (EÚ) 2019/876</w:t>
      </w:r>
      <w:r w:rsidR="00F215ED" w:rsidRPr="005E25A2">
        <w:rPr>
          <w:shd w:val="clear" w:color="auto" w:fill="FFFFFF"/>
        </w:rPr>
        <w:t xml:space="preserve"> z 20. mája 2019, ktorým sa mení nariadenie (EÚ) č.</w:t>
      </w:r>
      <w:r w:rsidR="00F215ED" w:rsidRPr="005E25A2">
        <w:t> </w:t>
      </w:r>
      <w:r w:rsidR="00F215ED" w:rsidRPr="005E25A2">
        <w:rPr>
          <w:shd w:val="clear" w:color="auto" w:fill="FFFFFF"/>
        </w:rPr>
        <w:t>575/2013, pokiaľ ide o ukazovateľ finančnej páky, ukazovateľ čistého stabilného financovania, požiadavky na vlastné zdroje a oprávnené záväzky, kreditné riziko protistrany, trhové riziko, expozície voči centrálnym protistranám, expozície voči podnikom kolektívneho investovania, veľkú majetkovú angažovanosť, požiadavky na predkladanie správ a zverejňovanie informácií, a ktorým sa mení nariadenie (EÚ) č.</w:t>
      </w:r>
      <w:r w:rsidR="00F215ED" w:rsidRPr="005E25A2">
        <w:t> </w:t>
      </w:r>
      <w:r w:rsidR="00F215ED" w:rsidRPr="005E25A2">
        <w:rPr>
          <w:shd w:val="clear" w:color="auto" w:fill="FFFFFF"/>
        </w:rPr>
        <w:t>648/2012</w:t>
      </w:r>
      <w:r w:rsidR="007D308D" w:rsidRPr="005E25A2">
        <w:rPr>
          <w:shd w:val="clear" w:color="auto" w:fill="FFFFFF"/>
        </w:rPr>
        <w:t xml:space="preserve"> </w:t>
      </w:r>
      <w:r w:rsidR="007D308D" w:rsidRPr="005E25A2">
        <w:t>(Ú. v. EÚ L 150, 7.6.2019)</w:t>
      </w:r>
      <w:r w:rsidR="00F215ED" w:rsidRPr="005E25A2">
        <w:rPr>
          <w:shd w:val="clear" w:color="auto" w:fill="FFFFFF"/>
        </w:rPr>
        <w:t xml:space="preserve"> </w:t>
      </w:r>
      <w:r w:rsidR="00F215ED" w:rsidRPr="005E25A2">
        <w:rPr>
          <w:lang w:eastAsia="sk-SK"/>
        </w:rPr>
        <w:t>(ďalej len „nariadenie CRR II“).</w:t>
      </w:r>
    </w:p>
    <w:p w14:paraId="72814D74" w14:textId="3B76F65E" w:rsidR="002D2C21" w:rsidRPr="005E25A2" w:rsidRDefault="002D2C21" w:rsidP="002D2C21">
      <w:pPr>
        <w:spacing w:after="120"/>
        <w:jc w:val="both"/>
        <w:rPr>
          <w:lang w:eastAsia="sk-SK"/>
        </w:rPr>
      </w:pPr>
      <w:r w:rsidRPr="005E25A2">
        <w:rPr>
          <w:lang w:eastAsia="sk-SK"/>
        </w:rPr>
        <w:tab/>
        <w:t xml:space="preserve">V roku 2021 Európska komisia predložila rozsiahly balík legislatívnych návrhov, cieľom ktorých </w:t>
      </w:r>
      <w:r w:rsidRPr="005E25A2">
        <w:t>je posilniť odolnosť bankového sektora v EÚ a zaistiť lepšiu ochranu finančnej stability.</w:t>
      </w:r>
      <w:r w:rsidRPr="005E25A2">
        <w:rPr>
          <w:lang w:eastAsia="sk-SK"/>
        </w:rPr>
        <w:t xml:space="preserve"> Súčasťou tohto bankového balíka </w:t>
      </w:r>
      <w:r w:rsidR="00B147AA" w:rsidRPr="005E25A2">
        <w:rPr>
          <w:lang w:eastAsia="sk-SK"/>
        </w:rPr>
        <w:t>sú</w:t>
      </w:r>
      <w:r w:rsidRPr="005E25A2">
        <w:rPr>
          <w:lang w:eastAsia="sk-SK"/>
        </w:rPr>
        <w:t xml:space="preserve"> </w:t>
      </w:r>
    </w:p>
    <w:p w14:paraId="6C33A1A1" w14:textId="37775491" w:rsidR="002D2C21" w:rsidRPr="005E25A2" w:rsidRDefault="002D2C21" w:rsidP="002D2C21">
      <w:pPr>
        <w:pStyle w:val="Odsekzoznamu"/>
        <w:numPr>
          <w:ilvl w:val="0"/>
          <w:numId w:val="15"/>
        </w:numPr>
        <w:spacing w:after="120"/>
        <w:jc w:val="both"/>
        <w:rPr>
          <w:lang w:eastAsia="sk-SK"/>
        </w:rPr>
      </w:pPr>
      <w:r w:rsidRPr="005E25A2">
        <w:t>smernic</w:t>
      </w:r>
      <w:r w:rsidR="00B147AA" w:rsidRPr="005E25A2">
        <w:t>a</w:t>
      </w:r>
      <w:r w:rsidRPr="005E25A2">
        <w:t xml:space="preserve"> Európskeho parlamentu a Rady (EÚ) 2024/1619 z 31. mája 2024, ktorou sa mení smernica 2013/36/EU, pokiaľ ide o právomoci v oblasti dohľadu, sankcie, pobočky z tretích krajín a environmentálne a sociálne riziká a riziká v oblasti správy a riadenia (Ú. v. EÚ L,</w:t>
      </w:r>
      <w:r w:rsidR="005F01F6" w:rsidRPr="005E25A2">
        <w:t xml:space="preserve"> 2024/16191,</w:t>
      </w:r>
      <w:r w:rsidRPr="005E25A2">
        <w:t xml:space="preserve"> 19.6.2024) (ďalej len „smernica CRD VI“) a </w:t>
      </w:r>
    </w:p>
    <w:p w14:paraId="06E28429" w14:textId="7D076675" w:rsidR="00B147AA" w:rsidRPr="005E25A2" w:rsidRDefault="00B147AA" w:rsidP="00B147AA">
      <w:pPr>
        <w:pStyle w:val="Odsekzoznamu"/>
        <w:numPr>
          <w:ilvl w:val="0"/>
          <w:numId w:val="15"/>
        </w:numPr>
        <w:spacing w:after="120"/>
        <w:jc w:val="both"/>
      </w:pPr>
      <w:r w:rsidRPr="005E25A2">
        <w:rPr>
          <w:bCs/>
        </w:rPr>
        <w:t xml:space="preserve">nariadenie </w:t>
      </w:r>
      <w:r w:rsidRPr="005E25A2">
        <w:t>Európskeho parlamentu a Rady (EÚ) 2024/1623 z 31. mája 2024, ktorým sa mení nariadenie (EÚ) č. 575/2013, pokiaľ ide o požiadavky na kreditné riziko, riziko úpravy ocenenia pohľadávky, operačné riziko, trhové riziko a spodnú hranicu pre výstupné hodnoty (Ú. v. EÚ L,</w:t>
      </w:r>
      <w:r w:rsidR="005F01F6" w:rsidRPr="005E25A2">
        <w:t xml:space="preserve"> 2024/1623,</w:t>
      </w:r>
      <w:r w:rsidRPr="005E25A2">
        <w:t xml:space="preserve"> 19.6.2024) (ďalej len „nariadenie CRR III“). </w:t>
      </w:r>
    </w:p>
    <w:p w14:paraId="2DB9FA28" w14:textId="4D6C3FE3" w:rsidR="00B147AA" w:rsidRPr="005E25A2" w:rsidRDefault="00B147AA" w:rsidP="00B147AA">
      <w:pPr>
        <w:spacing w:after="120"/>
        <w:jc w:val="both"/>
      </w:pPr>
      <w:r w:rsidRPr="005E25A2">
        <w:lastRenderedPageBreak/>
        <w:tab/>
        <w:t>Smernica CRD VI a nariadenie CRR III podporujú harmonizáciu rámca bankového dohľadu a v kone</w:t>
      </w:r>
      <w:r w:rsidR="007938FE" w:rsidRPr="005E25A2">
        <w:t>č</w:t>
      </w:r>
      <w:r w:rsidRPr="005E25A2">
        <w:t>nom dôsledku prehlbuj</w:t>
      </w:r>
      <w:r w:rsidR="007938FE" w:rsidRPr="005E25A2">
        <w:t>ú</w:t>
      </w:r>
      <w:r w:rsidRPr="005E25A2">
        <w:t xml:space="preserve"> vnútorný trh pre bankovníctvo. Preberá sa nimi do európskej legislatívy súbor reforiem medzinárodných štandardov (Basel III) dohodnutých Bazilejským výborom pre bankový dohľad. </w:t>
      </w:r>
    </w:p>
    <w:p w14:paraId="09B8C080" w14:textId="496959CC" w:rsidR="00781E9B" w:rsidRPr="005E25A2" w:rsidRDefault="000C1A5C" w:rsidP="00781E9B">
      <w:pPr>
        <w:spacing w:after="120"/>
        <w:jc w:val="both"/>
      </w:pPr>
      <w:r w:rsidRPr="005E25A2">
        <w:rPr>
          <w:lang w:eastAsia="sk-SK"/>
        </w:rPr>
        <w:tab/>
      </w:r>
      <w:r w:rsidR="00781E9B" w:rsidRPr="005E25A2">
        <w:t>Návrh zákona</w:t>
      </w:r>
      <w:r w:rsidR="006F3261" w:rsidRPr="005E25A2">
        <w:t>, ktorým sa mení a dopĺňa zákon č. 483/2001 Z. z. o bankách a o zmene a doplnení niektorých zákonov v znení neskorších predpisov a ktorým sa menia a dopĺňajú niektoré zákony (ďalej len „návrh zákona“)</w:t>
      </w:r>
      <w:r w:rsidR="004750C3" w:rsidRPr="005E25A2">
        <w:t xml:space="preserve"> a ktorý</w:t>
      </w:r>
      <w:r w:rsidR="006F3261" w:rsidRPr="005E25A2">
        <w:t xml:space="preserve"> je transpozíciou smernic</w:t>
      </w:r>
      <w:r w:rsidR="00B147AA" w:rsidRPr="005E25A2">
        <w:t>e</w:t>
      </w:r>
      <w:r w:rsidR="006F3261" w:rsidRPr="005E25A2">
        <w:t xml:space="preserve"> CRD VI</w:t>
      </w:r>
      <w:r w:rsidR="004750C3" w:rsidRPr="005E25A2">
        <w:t>, vypracovalo Ministerstvo financií Slovenskej republiky v spolupráci s Národnou bankou Slovenska (ďalej len „NBS“), ktorá je aj spolu</w:t>
      </w:r>
      <w:r w:rsidR="00AE323C" w:rsidRPr="005E25A2">
        <w:t>gestor</w:t>
      </w:r>
      <w:r w:rsidR="004750C3" w:rsidRPr="005E25A2">
        <w:t>om</w:t>
      </w:r>
      <w:r w:rsidR="006F3261" w:rsidRPr="005E25A2">
        <w:t>.</w:t>
      </w:r>
    </w:p>
    <w:p w14:paraId="5E07AB64" w14:textId="77777777" w:rsidR="006F3261" w:rsidRPr="005E25A2" w:rsidRDefault="006F3261" w:rsidP="006F3261">
      <w:pPr>
        <w:jc w:val="both"/>
      </w:pPr>
      <w:r w:rsidRPr="005E25A2">
        <w:tab/>
        <w:t>V súlade s cieľmi smernice CRD VI návrhom zákona dôjde k úprave existujúcich a vytvoreniu nových zákonných pravidiel najmä v týchto oblastiach:</w:t>
      </w:r>
    </w:p>
    <w:p w14:paraId="6747031A" w14:textId="77777777" w:rsidR="006F3261" w:rsidRPr="005E25A2" w:rsidRDefault="006F3261" w:rsidP="006F3261">
      <w:pPr>
        <w:pStyle w:val="Odsekzoznamu"/>
        <w:numPr>
          <w:ilvl w:val="0"/>
          <w:numId w:val="12"/>
        </w:numPr>
        <w:jc w:val="both"/>
      </w:pPr>
      <w:r w:rsidRPr="005E25A2">
        <w:t>harmonizovaný prístup k pobočkám z tretích krajín,</w:t>
      </w:r>
    </w:p>
    <w:p w14:paraId="2A4EEC3D" w14:textId="77777777" w:rsidR="006F3261" w:rsidRPr="005E25A2" w:rsidRDefault="006F3261" w:rsidP="006F3261">
      <w:pPr>
        <w:pStyle w:val="Odsekzoznamu"/>
        <w:numPr>
          <w:ilvl w:val="0"/>
          <w:numId w:val="12"/>
        </w:numPr>
        <w:jc w:val="both"/>
      </w:pPr>
      <w:r w:rsidRPr="005E25A2">
        <w:t>režim správnych sankcií (správne sankcie, pravidelné penále a iné správne opatrenia),</w:t>
      </w:r>
    </w:p>
    <w:p w14:paraId="30C9BA4D" w14:textId="2828122D" w:rsidR="006F3261" w:rsidRPr="005E25A2" w:rsidRDefault="006F3261" w:rsidP="006F3261">
      <w:pPr>
        <w:pStyle w:val="Odsekzoznamu"/>
        <w:numPr>
          <w:ilvl w:val="0"/>
          <w:numId w:val="12"/>
        </w:numPr>
        <w:jc w:val="both"/>
      </w:pPr>
      <w:r w:rsidRPr="005E25A2">
        <w:t xml:space="preserve">právomoci </w:t>
      </w:r>
      <w:r w:rsidR="004750C3" w:rsidRPr="005E25A2">
        <w:t>NBS</w:t>
      </w:r>
      <w:r w:rsidRPr="005E25A2">
        <w:t xml:space="preserve"> pri prevodoch aktív alebo záväzkov, pri nadobúdaní a scudzovaní významných účastí bankami, pri zlúčení, splynutí a rozdelení,</w:t>
      </w:r>
    </w:p>
    <w:p w14:paraId="45FCE328" w14:textId="77777777" w:rsidR="006F3261" w:rsidRPr="005E25A2" w:rsidRDefault="006F3261" w:rsidP="006F3261">
      <w:pPr>
        <w:pStyle w:val="Odsekzoznamu"/>
        <w:numPr>
          <w:ilvl w:val="0"/>
          <w:numId w:val="12"/>
        </w:numPr>
        <w:jc w:val="both"/>
      </w:pPr>
      <w:r w:rsidRPr="005E25A2">
        <w:t>environmentálne a sociálne riziká a riziká v oblasti správy a riadenia,</w:t>
      </w:r>
    </w:p>
    <w:p w14:paraId="11A33E71" w14:textId="77777777" w:rsidR="006F3261" w:rsidRPr="005E25A2" w:rsidRDefault="006F3261" w:rsidP="006F3261">
      <w:pPr>
        <w:pStyle w:val="Odsekzoznamu"/>
        <w:numPr>
          <w:ilvl w:val="0"/>
          <w:numId w:val="12"/>
        </w:numPr>
        <w:jc w:val="both"/>
      </w:pPr>
      <w:r w:rsidRPr="005E25A2">
        <w:t>úpravy v správe a riadení bánk, posudzovanie vhodnosti členov štatutárneho orgánu, dozornej rady a osôb zastávajúcich kľúčové funkcie v banke,</w:t>
      </w:r>
    </w:p>
    <w:p w14:paraId="3E9F1E69" w14:textId="6A3110E6" w:rsidR="006F3261" w:rsidRPr="005E25A2" w:rsidRDefault="006F3261" w:rsidP="006F3261">
      <w:pPr>
        <w:pStyle w:val="Odsekzoznamu"/>
        <w:numPr>
          <w:ilvl w:val="0"/>
          <w:numId w:val="12"/>
        </w:numPr>
        <w:jc w:val="both"/>
      </w:pPr>
      <w:r w:rsidRPr="005E25A2">
        <w:t xml:space="preserve">právomoci dohľadu a zabezpečenie nezávislosti dohľadu. </w:t>
      </w:r>
    </w:p>
    <w:p w14:paraId="77622FC7" w14:textId="77777777" w:rsidR="00FC1AAF" w:rsidRPr="005E25A2" w:rsidRDefault="00FC1AAF" w:rsidP="00FC1AAF">
      <w:pPr>
        <w:jc w:val="both"/>
      </w:pPr>
    </w:p>
    <w:p w14:paraId="69DC1E0E" w14:textId="264844CC" w:rsidR="00B147AA" w:rsidRPr="005E25A2" w:rsidRDefault="00B147AA" w:rsidP="007E08C6">
      <w:pPr>
        <w:spacing w:after="120"/>
        <w:jc w:val="both"/>
      </w:pPr>
      <w:r w:rsidRPr="005E25A2">
        <w:tab/>
        <w:t xml:space="preserve">Pre úplnosť treba uviesť, že časť ustanovení smernice CRD VI </w:t>
      </w:r>
      <w:r w:rsidR="00342301" w:rsidRPr="005E25A2">
        <w:t xml:space="preserve">bude transponovaná opatreniami NBS. Ide </w:t>
      </w:r>
      <w:r w:rsidRPr="005E25A2">
        <w:t xml:space="preserve">najmä </w:t>
      </w:r>
      <w:r w:rsidR="00342301" w:rsidRPr="005E25A2">
        <w:t>o novelizácie článkov</w:t>
      </w:r>
      <w:r w:rsidRPr="005E25A2">
        <w:t xml:space="preserve"> 79, 81, 83, 85</w:t>
      </w:r>
      <w:r w:rsidR="00E76431" w:rsidRPr="005E25A2">
        <w:t xml:space="preserve"> a 87a</w:t>
      </w:r>
      <w:r w:rsidR="00342301" w:rsidRPr="005E25A2">
        <w:t xml:space="preserve"> smernice CRD</w:t>
      </w:r>
      <w:r w:rsidRPr="005E25A2">
        <w:t xml:space="preserve">, ktoré </w:t>
      </w:r>
      <w:r w:rsidR="00342301" w:rsidRPr="005E25A2">
        <w:t xml:space="preserve">sú už v súčasnosti transponované prostredníctvom </w:t>
      </w:r>
      <w:r w:rsidR="007938FE" w:rsidRPr="005E25A2">
        <w:t xml:space="preserve">týchto </w:t>
      </w:r>
      <w:r w:rsidR="00342301" w:rsidRPr="005E25A2">
        <w:t>opatrení</w:t>
      </w:r>
      <w:r w:rsidR="004750C3" w:rsidRPr="005E25A2">
        <w:t>.</w:t>
      </w:r>
    </w:p>
    <w:p w14:paraId="67A90EE0" w14:textId="47FBE8B0" w:rsidR="00CC7DC1" w:rsidRPr="005E25A2" w:rsidRDefault="00CC7DC1" w:rsidP="00CC7DC1">
      <w:pPr>
        <w:spacing w:after="120"/>
        <w:jc w:val="both"/>
        <w:rPr>
          <w:color w:val="000000"/>
          <w:lang w:eastAsia="sk-SK"/>
        </w:rPr>
      </w:pPr>
      <w:r w:rsidRPr="005E25A2">
        <w:tab/>
        <w:t>Súčasťou návrhu zákona sú aj novely ďalších zákonov súvisiace s transpozíciou smernice CRD VI, úpravy súvisiace s transpozíciou smerníc a spresnením transpozície smerníc v oblasti bankovníctva a riešenia krízových situácií finančných inštitúcií, ktoré sa zameriavajú najmä na riešenie existujúcich nedostatkov regulačného rámca a posilnenie stability a odolnosti inštitúcií pôsobiacich na finančnom trhu, ako aj legislatívne úpravy spočívajúce v spresnení niektorých platných ustanovení zákon</w:t>
      </w:r>
      <w:r w:rsidR="000E37DC" w:rsidRPr="005E25A2">
        <w:t>ov</w:t>
      </w:r>
      <w:r w:rsidRPr="005E25A2">
        <w:t xml:space="preserve"> s</w:t>
      </w:r>
      <w:r w:rsidR="000E37DC" w:rsidRPr="005E25A2">
        <w:t> </w:t>
      </w:r>
      <w:r w:rsidRPr="005E25A2">
        <w:t>cieľom</w:t>
      </w:r>
      <w:r w:rsidR="000E37DC" w:rsidRPr="005E25A2">
        <w:t xml:space="preserve"> </w:t>
      </w:r>
      <w:r w:rsidRPr="005E25A2">
        <w:t>reagovať na poznatky a</w:t>
      </w:r>
      <w:r w:rsidR="000E37DC" w:rsidRPr="005E25A2">
        <w:t> </w:t>
      </w:r>
      <w:r w:rsidRPr="005E25A2">
        <w:t>skúsenosti</w:t>
      </w:r>
      <w:r w:rsidR="000E37DC" w:rsidRPr="005E25A2">
        <w:t xml:space="preserve"> </w:t>
      </w:r>
      <w:r w:rsidRPr="005E25A2">
        <w:t>z</w:t>
      </w:r>
      <w:r w:rsidR="000E37DC" w:rsidRPr="005E25A2">
        <w:t> </w:t>
      </w:r>
      <w:r w:rsidRPr="005E25A2">
        <w:t>aplikačnej</w:t>
      </w:r>
      <w:r w:rsidR="000E37DC" w:rsidRPr="005E25A2">
        <w:t xml:space="preserve"> </w:t>
      </w:r>
      <w:r w:rsidRPr="005E25A2">
        <w:t>praxe.</w:t>
      </w:r>
    </w:p>
    <w:p w14:paraId="4D16E357" w14:textId="368160B8" w:rsidR="00DD7743" w:rsidRPr="005E25A2" w:rsidRDefault="00DD7743" w:rsidP="00DD7743">
      <w:pPr>
        <w:spacing w:after="120"/>
        <w:jc w:val="both"/>
      </w:pPr>
      <w:r w:rsidRPr="005E25A2">
        <w:tab/>
        <w:t>V súlade s transpozičnou lehotou uvedenou v smerniciach sa účinnosť navrhuje na 11. januára 2026, 25. júna 2026, 11. júla 2026 a 11. januára 2027. Účinnosť predkladaného zákona sa navrhuje s dostatočne dlhou legisvakanciou.</w:t>
      </w:r>
    </w:p>
    <w:p w14:paraId="4964360C" w14:textId="5D5925EB" w:rsidR="00D736E3" w:rsidRPr="005E25A2" w:rsidRDefault="00DD7743" w:rsidP="00D736E3">
      <w:pPr>
        <w:spacing w:after="120"/>
        <w:jc w:val="both"/>
      </w:pPr>
      <w:r w:rsidRPr="005E25A2">
        <w:tab/>
      </w:r>
      <w:r w:rsidR="00FF3314" w:rsidRPr="005E25A2">
        <w:t>Prijatím</w:t>
      </w:r>
      <w:r w:rsidRPr="005E25A2">
        <w:t xml:space="preserve"> navrhovaného zákona</w:t>
      </w:r>
      <w:r w:rsidR="004750C3" w:rsidRPr="005E25A2">
        <w:t xml:space="preserve"> </w:t>
      </w:r>
      <w:r w:rsidR="00FF3314" w:rsidRPr="005E25A2">
        <w:t xml:space="preserve">sa predpokladajú </w:t>
      </w:r>
      <w:r w:rsidR="00D736E3" w:rsidRPr="005E25A2">
        <w:rPr>
          <w:lang w:eastAsia="sk-SK"/>
        </w:rPr>
        <w:t>pozitívne vplyvy na rozpočet verejnej správy a</w:t>
      </w:r>
      <w:r w:rsidR="00D736E3" w:rsidRPr="005E25A2">
        <w:t> </w:t>
      </w:r>
      <w:r w:rsidR="00D736E3" w:rsidRPr="005E25A2">
        <w:rPr>
          <w:lang w:eastAsia="sk-SK"/>
        </w:rPr>
        <w:t>na životné prostredie a </w:t>
      </w:r>
      <w:r w:rsidR="00D736E3" w:rsidRPr="005E25A2">
        <w:t xml:space="preserve">negatívne a pozitívne </w:t>
      </w:r>
      <w:r w:rsidR="00D736E3" w:rsidRPr="005E25A2">
        <w:rPr>
          <w:lang w:eastAsia="sk-SK"/>
        </w:rPr>
        <w:t>vplyvy na podnikateľské prostredie. Návrh zákona nemá vplyvy na informatizáciu spoločnosti, na služby verejnej správy pre občana, na manželstvo, rodičovstvo a rodinu a nemá sociálne vplyvy.</w:t>
      </w:r>
    </w:p>
    <w:p w14:paraId="44A2A6AE" w14:textId="77777777" w:rsidR="00DD7743" w:rsidRPr="005E25A2" w:rsidRDefault="00DD7743" w:rsidP="00DD7743">
      <w:pPr>
        <w:spacing w:after="120"/>
        <w:jc w:val="both"/>
      </w:pPr>
      <w:r w:rsidRPr="005E25A2">
        <w:tab/>
        <w:t>Predložený návrh zákona je v súlade s Ústavou Slovenskej republiky, s ústavnými zákonmi, nálezmi ústavného súdu, inými zákonmi a ostatnými všeobecne záväznými právnymi predpismi Slovenskej republiky, s právom Európskej únie a s medzinárodnými zmluvami a inými medzinárodnými dokumentmi, ktorými je Slovenská republika viazaná.</w:t>
      </w:r>
    </w:p>
    <w:p w14:paraId="2547CE35" w14:textId="750C305D" w:rsidR="00F50AEF" w:rsidRDefault="00F50AEF" w:rsidP="00F50AEF">
      <w:pPr>
        <w:spacing w:after="120"/>
        <w:jc w:val="both"/>
      </w:pPr>
      <w:r>
        <w:rPr>
          <w:lang w:eastAsia="sk-SK"/>
        </w:rPr>
        <w:tab/>
        <w:t>P</w:t>
      </w:r>
      <w:r w:rsidRPr="005E25A2">
        <w:rPr>
          <w:lang w:eastAsia="sk-SK"/>
        </w:rPr>
        <w:t>odľa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čl.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17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ods.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1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Legislatívnych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pravidiel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vlády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Slovenskej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republiky</w:t>
      </w:r>
      <w:r w:rsidRPr="005E25A2">
        <w:rPr>
          <w:spacing w:val="26"/>
          <w:lang w:eastAsia="sk-SK"/>
        </w:rPr>
        <w:t xml:space="preserve"> </w:t>
      </w:r>
      <w:r w:rsidRPr="005E25A2">
        <w:rPr>
          <w:lang w:eastAsia="sk-SK"/>
        </w:rPr>
        <w:t>a</w:t>
      </w:r>
      <w:r w:rsidRPr="005E25A2">
        <w:rPr>
          <w:spacing w:val="26"/>
          <w:lang w:eastAsia="sk-SK"/>
        </w:rPr>
        <w:t> </w:t>
      </w:r>
      <w:r w:rsidRPr="005E25A2">
        <w:rPr>
          <w:lang w:eastAsia="sk-SK"/>
        </w:rPr>
        <w:t>podľa rozhodnutia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Rady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č.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98/415/ES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o</w:t>
      </w:r>
      <w:r w:rsidRPr="005E25A2">
        <w:rPr>
          <w:spacing w:val="62"/>
          <w:lang w:eastAsia="sk-SK"/>
        </w:rPr>
        <w:t> </w:t>
      </w:r>
      <w:r w:rsidRPr="005E25A2">
        <w:rPr>
          <w:lang w:eastAsia="sk-SK"/>
        </w:rPr>
        <w:t>poradení sa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s</w:t>
      </w:r>
      <w:r w:rsidRPr="005E25A2">
        <w:rPr>
          <w:spacing w:val="62"/>
          <w:lang w:eastAsia="sk-SK"/>
        </w:rPr>
        <w:t> </w:t>
      </w:r>
      <w:r w:rsidRPr="005E25A2">
        <w:rPr>
          <w:lang w:eastAsia="sk-SK"/>
        </w:rPr>
        <w:t>Európskou centrálnou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bankou</w:t>
      </w:r>
      <w:r w:rsidRPr="005E25A2">
        <w:rPr>
          <w:spacing w:val="62"/>
          <w:lang w:eastAsia="sk-SK"/>
        </w:rPr>
        <w:t xml:space="preserve"> </w:t>
      </w:r>
      <w:r w:rsidRPr="005E25A2">
        <w:rPr>
          <w:lang w:eastAsia="sk-SK"/>
        </w:rPr>
        <w:t>vnútroštátnymi orgánmi o návrhu právnych predpisov</w:t>
      </w:r>
      <w:r>
        <w:rPr>
          <w:lang w:eastAsia="sk-SK"/>
        </w:rPr>
        <w:t xml:space="preserve"> bude návrh </w:t>
      </w:r>
      <w:r w:rsidR="00DD7743" w:rsidRPr="005E25A2">
        <w:rPr>
          <w:lang w:eastAsia="sk-SK"/>
        </w:rPr>
        <w:t>zákona</w:t>
      </w:r>
      <w:r w:rsidR="00DD7743" w:rsidRPr="005E25A2">
        <w:rPr>
          <w:spacing w:val="98"/>
          <w:lang w:eastAsia="sk-SK"/>
        </w:rPr>
        <w:t xml:space="preserve"> </w:t>
      </w:r>
      <w:r w:rsidR="00DD7743" w:rsidRPr="005E25A2">
        <w:rPr>
          <w:lang w:eastAsia="sk-SK"/>
        </w:rPr>
        <w:t>predložený</w:t>
      </w:r>
      <w:r w:rsidR="00DD7743" w:rsidRPr="005E25A2">
        <w:rPr>
          <w:spacing w:val="98"/>
          <w:lang w:eastAsia="sk-SK"/>
        </w:rPr>
        <w:t xml:space="preserve"> </w:t>
      </w:r>
      <w:r w:rsidR="00DD7743" w:rsidRPr="005E25A2">
        <w:rPr>
          <w:lang w:eastAsia="sk-SK"/>
        </w:rPr>
        <w:t>na</w:t>
      </w:r>
      <w:r w:rsidR="00DD7743" w:rsidRPr="005E25A2">
        <w:rPr>
          <w:spacing w:val="98"/>
          <w:lang w:eastAsia="sk-SK"/>
        </w:rPr>
        <w:t xml:space="preserve"> </w:t>
      </w:r>
      <w:r w:rsidR="00DD7743" w:rsidRPr="005E25A2">
        <w:rPr>
          <w:lang w:eastAsia="sk-SK"/>
        </w:rPr>
        <w:t>vnútrokomunitárne</w:t>
      </w:r>
      <w:r w:rsidR="00DD7743" w:rsidRPr="005E25A2">
        <w:rPr>
          <w:spacing w:val="98"/>
          <w:lang w:eastAsia="sk-SK"/>
        </w:rPr>
        <w:t xml:space="preserve"> </w:t>
      </w:r>
      <w:r w:rsidR="00DD7743" w:rsidRPr="005E25A2">
        <w:rPr>
          <w:lang w:eastAsia="sk-SK"/>
        </w:rPr>
        <w:t>pripomienkovanie</w:t>
      </w:r>
      <w:r w:rsidR="00DD7743" w:rsidRPr="005E25A2">
        <w:rPr>
          <w:spacing w:val="98"/>
          <w:lang w:eastAsia="sk-SK"/>
        </w:rPr>
        <w:t xml:space="preserve"> </w:t>
      </w:r>
      <w:r w:rsidR="00DD7743" w:rsidRPr="005E25A2">
        <w:rPr>
          <w:lang w:eastAsia="sk-SK"/>
        </w:rPr>
        <w:t>Európskej centrálnej</w:t>
      </w:r>
      <w:r w:rsidR="00DD7743" w:rsidRPr="005E25A2">
        <w:rPr>
          <w:spacing w:val="26"/>
          <w:lang w:eastAsia="sk-SK"/>
        </w:rPr>
        <w:t xml:space="preserve"> </w:t>
      </w:r>
      <w:r w:rsidR="00DD7743" w:rsidRPr="005E25A2">
        <w:rPr>
          <w:lang w:eastAsia="sk-SK"/>
        </w:rPr>
        <w:t>banke</w:t>
      </w:r>
      <w:r>
        <w:rPr>
          <w:spacing w:val="26"/>
          <w:lang w:eastAsia="sk-SK"/>
        </w:rPr>
        <w:t>.</w:t>
      </w:r>
    </w:p>
    <w:p w14:paraId="1386611A" w14:textId="77777777" w:rsidR="00F50AEF" w:rsidRPr="00CE759A" w:rsidRDefault="00F50AEF" w:rsidP="007A233A">
      <w:pPr>
        <w:spacing w:after="120"/>
        <w:jc w:val="both"/>
      </w:pPr>
    </w:p>
    <w:sectPr w:rsidR="00F50AEF" w:rsidRPr="00CE759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E035" w14:textId="77777777" w:rsidR="005E226F" w:rsidRDefault="005E226F" w:rsidP="00B81523">
      <w:r>
        <w:separator/>
      </w:r>
    </w:p>
  </w:endnote>
  <w:endnote w:type="continuationSeparator" w:id="0">
    <w:p w14:paraId="7DA48AF0" w14:textId="77777777" w:rsidR="005E226F" w:rsidRDefault="005E226F" w:rsidP="00B8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D73C" w14:textId="605D2A6F" w:rsidR="000E37DC" w:rsidRDefault="000E37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B43E" w14:textId="2C8E0B88" w:rsidR="00D16295" w:rsidRPr="00B81523" w:rsidRDefault="00000000">
    <w:pPr>
      <w:pStyle w:val="Pta"/>
      <w:jc w:val="right"/>
      <w:rPr>
        <w:sz w:val="22"/>
        <w:szCs w:val="22"/>
      </w:rPr>
    </w:pPr>
    <w:sdt>
      <w:sdtPr>
        <w:id w:val="-211889648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D16295" w:rsidRPr="00B81523">
          <w:rPr>
            <w:sz w:val="22"/>
            <w:szCs w:val="22"/>
          </w:rPr>
          <w:fldChar w:fldCharType="begin"/>
        </w:r>
        <w:r w:rsidR="00D16295" w:rsidRPr="00B81523">
          <w:rPr>
            <w:sz w:val="22"/>
            <w:szCs w:val="22"/>
          </w:rPr>
          <w:instrText>PAGE   \* MERGEFORMAT</w:instrText>
        </w:r>
        <w:r w:rsidR="00D16295" w:rsidRPr="00B81523">
          <w:rPr>
            <w:sz w:val="22"/>
            <w:szCs w:val="22"/>
          </w:rPr>
          <w:fldChar w:fldCharType="separate"/>
        </w:r>
        <w:r w:rsidR="008F7B12">
          <w:rPr>
            <w:noProof/>
            <w:sz w:val="22"/>
            <w:szCs w:val="22"/>
          </w:rPr>
          <w:t>1</w:t>
        </w:r>
        <w:r w:rsidR="00D16295" w:rsidRPr="00B81523">
          <w:rPr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DA1C" w14:textId="55655C2D" w:rsidR="000E37DC" w:rsidRDefault="000E37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9AD1" w14:textId="77777777" w:rsidR="005E226F" w:rsidRDefault="005E226F" w:rsidP="00B81523">
      <w:r>
        <w:separator/>
      </w:r>
    </w:p>
  </w:footnote>
  <w:footnote w:type="continuationSeparator" w:id="0">
    <w:p w14:paraId="4A4AC439" w14:textId="77777777" w:rsidR="005E226F" w:rsidRDefault="005E226F" w:rsidP="00B8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2A6"/>
    <w:multiLevelType w:val="hybridMultilevel"/>
    <w:tmpl w:val="725EF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A36"/>
    <w:multiLevelType w:val="hybridMultilevel"/>
    <w:tmpl w:val="C310BB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D87"/>
    <w:multiLevelType w:val="hybridMultilevel"/>
    <w:tmpl w:val="66682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4542"/>
    <w:multiLevelType w:val="hybridMultilevel"/>
    <w:tmpl w:val="5B343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7640"/>
    <w:multiLevelType w:val="hybridMultilevel"/>
    <w:tmpl w:val="84BA5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C735A"/>
    <w:multiLevelType w:val="hybridMultilevel"/>
    <w:tmpl w:val="E59298FE"/>
    <w:lvl w:ilvl="0" w:tplc="9A3A1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C0962"/>
    <w:multiLevelType w:val="hybridMultilevel"/>
    <w:tmpl w:val="B4A0EA86"/>
    <w:lvl w:ilvl="0" w:tplc="95B01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43BA"/>
    <w:multiLevelType w:val="hybridMultilevel"/>
    <w:tmpl w:val="052A6E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92AC8"/>
    <w:multiLevelType w:val="hybridMultilevel"/>
    <w:tmpl w:val="0944B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24B2"/>
    <w:multiLevelType w:val="hybridMultilevel"/>
    <w:tmpl w:val="1D721B6C"/>
    <w:lvl w:ilvl="0" w:tplc="9A3A1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B5E7E"/>
    <w:multiLevelType w:val="hybridMultilevel"/>
    <w:tmpl w:val="B082FA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59932EC"/>
    <w:multiLevelType w:val="hybridMultilevel"/>
    <w:tmpl w:val="81B452CC"/>
    <w:lvl w:ilvl="0" w:tplc="DBE8CE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7D40"/>
    <w:multiLevelType w:val="hybridMultilevel"/>
    <w:tmpl w:val="A808CD78"/>
    <w:lvl w:ilvl="0" w:tplc="C0DC55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31285"/>
    <w:multiLevelType w:val="hybridMultilevel"/>
    <w:tmpl w:val="6886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C0E48"/>
    <w:multiLevelType w:val="hybridMultilevel"/>
    <w:tmpl w:val="342E4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837555">
    <w:abstractNumId w:val="8"/>
  </w:num>
  <w:num w:numId="2" w16cid:durableId="589388336">
    <w:abstractNumId w:val="4"/>
  </w:num>
  <w:num w:numId="3" w16cid:durableId="1947152221">
    <w:abstractNumId w:val="12"/>
  </w:num>
  <w:num w:numId="4" w16cid:durableId="1980768841">
    <w:abstractNumId w:val="7"/>
  </w:num>
  <w:num w:numId="5" w16cid:durableId="1731882537">
    <w:abstractNumId w:val="11"/>
  </w:num>
  <w:num w:numId="6" w16cid:durableId="1680304668">
    <w:abstractNumId w:val="3"/>
  </w:num>
  <w:num w:numId="7" w16cid:durableId="99224717">
    <w:abstractNumId w:val="10"/>
  </w:num>
  <w:num w:numId="8" w16cid:durableId="276520773">
    <w:abstractNumId w:val="13"/>
  </w:num>
  <w:num w:numId="9" w16cid:durableId="2129617358">
    <w:abstractNumId w:val="1"/>
  </w:num>
  <w:num w:numId="10" w16cid:durableId="1007295490">
    <w:abstractNumId w:val="0"/>
  </w:num>
  <w:num w:numId="11" w16cid:durableId="225458981">
    <w:abstractNumId w:val="14"/>
  </w:num>
  <w:num w:numId="12" w16cid:durableId="199435103">
    <w:abstractNumId w:val="2"/>
  </w:num>
  <w:num w:numId="13" w16cid:durableId="1911847193">
    <w:abstractNumId w:val="6"/>
  </w:num>
  <w:num w:numId="14" w16cid:durableId="1290166740">
    <w:abstractNumId w:val="9"/>
  </w:num>
  <w:num w:numId="15" w16cid:durableId="319894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E4"/>
    <w:rsid w:val="00053851"/>
    <w:rsid w:val="00073D1A"/>
    <w:rsid w:val="000939EE"/>
    <w:rsid w:val="000C1A5C"/>
    <w:rsid w:val="000E37DC"/>
    <w:rsid w:val="000E6393"/>
    <w:rsid w:val="000E650E"/>
    <w:rsid w:val="000F0AA7"/>
    <w:rsid w:val="000F4D38"/>
    <w:rsid w:val="00105EFD"/>
    <w:rsid w:val="00107F24"/>
    <w:rsid w:val="00127CE6"/>
    <w:rsid w:val="00136A93"/>
    <w:rsid w:val="001718BA"/>
    <w:rsid w:val="00173E01"/>
    <w:rsid w:val="00182E28"/>
    <w:rsid w:val="00190E7C"/>
    <w:rsid w:val="001C14CA"/>
    <w:rsid w:val="001C1DA6"/>
    <w:rsid w:val="001C4177"/>
    <w:rsid w:val="001C4E97"/>
    <w:rsid w:val="001D0812"/>
    <w:rsid w:val="001E1CFD"/>
    <w:rsid w:val="002126FD"/>
    <w:rsid w:val="002129B9"/>
    <w:rsid w:val="002272AA"/>
    <w:rsid w:val="002423EE"/>
    <w:rsid w:val="00260F0F"/>
    <w:rsid w:val="00263790"/>
    <w:rsid w:val="00280D07"/>
    <w:rsid w:val="00293D2F"/>
    <w:rsid w:val="00295168"/>
    <w:rsid w:val="002A52C8"/>
    <w:rsid w:val="002A61FE"/>
    <w:rsid w:val="002C09AB"/>
    <w:rsid w:val="002C7D28"/>
    <w:rsid w:val="002D294D"/>
    <w:rsid w:val="002D2C21"/>
    <w:rsid w:val="002D63A6"/>
    <w:rsid w:val="002D6EFE"/>
    <w:rsid w:val="002E3A92"/>
    <w:rsid w:val="002E59A1"/>
    <w:rsid w:val="002F7FD5"/>
    <w:rsid w:val="003415CB"/>
    <w:rsid w:val="00342301"/>
    <w:rsid w:val="003541D0"/>
    <w:rsid w:val="003554C6"/>
    <w:rsid w:val="00372C15"/>
    <w:rsid w:val="003851DE"/>
    <w:rsid w:val="0038590A"/>
    <w:rsid w:val="003B1489"/>
    <w:rsid w:val="003E74EB"/>
    <w:rsid w:val="003F09A3"/>
    <w:rsid w:val="00401143"/>
    <w:rsid w:val="00423858"/>
    <w:rsid w:val="00424AF8"/>
    <w:rsid w:val="004260EB"/>
    <w:rsid w:val="004427BE"/>
    <w:rsid w:val="00451EFB"/>
    <w:rsid w:val="004603CE"/>
    <w:rsid w:val="00471526"/>
    <w:rsid w:val="004750C3"/>
    <w:rsid w:val="004840B6"/>
    <w:rsid w:val="00494051"/>
    <w:rsid w:val="004D36EF"/>
    <w:rsid w:val="004F08EB"/>
    <w:rsid w:val="004F4FE1"/>
    <w:rsid w:val="0050212F"/>
    <w:rsid w:val="00510143"/>
    <w:rsid w:val="00513F58"/>
    <w:rsid w:val="005402F6"/>
    <w:rsid w:val="00575EE4"/>
    <w:rsid w:val="00577A37"/>
    <w:rsid w:val="005A2AB3"/>
    <w:rsid w:val="005A4F7F"/>
    <w:rsid w:val="005B30B9"/>
    <w:rsid w:val="005C3961"/>
    <w:rsid w:val="005D1D48"/>
    <w:rsid w:val="005D249D"/>
    <w:rsid w:val="005E226F"/>
    <w:rsid w:val="005E25A2"/>
    <w:rsid w:val="005E7299"/>
    <w:rsid w:val="005F01F6"/>
    <w:rsid w:val="00615AF3"/>
    <w:rsid w:val="00632386"/>
    <w:rsid w:val="00641970"/>
    <w:rsid w:val="006422D7"/>
    <w:rsid w:val="00660A8A"/>
    <w:rsid w:val="00667D27"/>
    <w:rsid w:val="006A0279"/>
    <w:rsid w:val="006B0FF8"/>
    <w:rsid w:val="006B61D4"/>
    <w:rsid w:val="006C642A"/>
    <w:rsid w:val="006D45CD"/>
    <w:rsid w:val="006E2483"/>
    <w:rsid w:val="006F3261"/>
    <w:rsid w:val="00702C44"/>
    <w:rsid w:val="0070502E"/>
    <w:rsid w:val="007568A2"/>
    <w:rsid w:val="00765C35"/>
    <w:rsid w:val="007665A8"/>
    <w:rsid w:val="00781E9B"/>
    <w:rsid w:val="007938FE"/>
    <w:rsid w:val="00796D33"/>
    <w:rsid w:val="007A233A"/>
    <w:rsid w:val="007D308D"/>
    <w:rsid w:val="007E08C6"/>
    <w:rsid w:val="007E0E69"/>
    <w:rsid w:val="007F5EC9"/>
    <w:rsid w:val="008013CB"/>
    <w:rsid w:val="00805D68"/>
    <w:rsid w:val="00805D6C"/>
    <w:rsid w:val="0080652D"/>
    <w:rsid w:val="0081385A"/>
    <w:rsid w:val="0082144D"/>
    <w:rsid w:val="00825E3A"/>
    <w:rsid w:val="00835354"/>
    <w:rsid w:val="00835702"/>
    <w:rsid w:val="00844A31"/>
    <w:rsid w:val="0085023D"/>
    <w:rsid w:val="008567A5"/>
    <w:rsid w:val="00881133"/>
    <w:rsid w:val="0088446A"/>
    <w:rsid w:val="008F7B12"/>
    <w:rsid w:val="009000F4"/>
    <w:rsid w:val="009151BF"/>
    <w:rsid w:val="00930208"/>
    <w:rsid w:val="009420F6"/>
    <w:rsid w:val="00963E77"/>
    <w:rsid w:val="0098594F"/>
    <w:rsid w:val="00990652"/>
    <w:rsid w:val="009B4115"/>
    <w:rsid w:val="009C340B"/>
    <w:rsid w:val="009C6E43"/>
    <w:rsid w:val="009D03C1"/>
    <w:rsid w:val="009E354C"/>
    <w:rsid w:val="009F207B"/>
    <w:rsid w:val="00A00ED9"/>
    <w:rsid w:val="00A05C74"/>
    <w:rsid w:val="00A104C3"/>
    <w:rsid w:val="00A1108F"/>
    <w:rsid w:val="00A11258"/>
    <w:rsid w:val="00A11585"/>
    <w:rsid w:val="00A14E5A"/>
    <w:rsid w:val="00A23BF1"/>
    <w:rsid w:val="00A3212F"/>
    <w:rsid w:val="00A32EFF"/>
    <w:rsid w:val="00A45B4F"/>
    <w:rsid w:val="00A51426"/>
    <w:rsid w:val="00A5276D"/>
    <w:rsid w:val="00A53DA3"/>
    <w:rsid w:val="00A54910"/>
    <w:rsid w:val="00A636E6"/>
    <w:rsid w:val="00A73789"/>
    <w:rsid w:val="00A965B2"/>
    <w:rsid w:val="00AA0899"/>
    <w:rsid w:val="00AE0590"/>
    <w:rsid w:val="00AE323C"/>
    <w:rsid w:val="00AE4585"/>
    <w:rsid w:val="00AF1265"/>
    <w:rsid w:val="00B12611"/>
    <w:rsid w:val="00B14156"/>
    <w:rsid w:val="00B147AA"/>
    <w:rsid w:val="00B14965"/>
    <w:rsid w:val="00B15B16"/>
    <w:rsid w:val="00B16FC1"/>
    <w:rsid w:val="00B37C8A"/>
    <w:rsid w:val="00B615B4"/>
    <w:rsid w:val="00B6450C"/>
    <w:rsid w:val="00B6479F"/>
    <w:rsid w:val="00B70529"/>
    <w:rsid w:val="00B81523"/>
    <w:rsid w:val="00B81F81"/>
    <w:rsid w:val="00B83A0E"/>
    <w:rsid w:val="00B91610"/>
    <w:rsid w:val="00B97AF8"/>
    <w:rsid w:val="00BB44C1"/>
    <w:rsid w:val="00BE21AB"/>
    <w:rsid w:val="00BE5632"/>
    <w:rsid w:val="00C00364"/>
    <w:rsid w:val="00C32A38"/>
    <w:rsid w:val="00C46439"/>
    <w:rsid w:val="00C6115D"/>
    <w:rsid w:val="00C64782"/>
    <w:rsid w:val="00C83D32"/>
    <w:rsid w:val="00C937A5"/>
    <w:rsid w:val="00CA3556"/>
    <w:rsid w:val="00CC7DC1"/>
    <w:rsid w:val="00CE759A"/>
    <w:rsid w:val="00D05BB5"/>
    <w:rsid w:val="00D16295"/>
    <w:rsid w:val="00D370AE"/>
    <w:rsid w:val="00D42FE7"/>
    <w:rsid w:val="00D736E3"/>
    <w:rsid w:val="00D74D0E"/>
    <w:rsid w:val="00D96888"/>
    <w:rsid w:val="00DA14F5"/>
    <w:rsid w:val="00DA4A45"/>
    <w:rsid w:val="00DA7F8E"/>
    <w:rsid w:val="00DD7743"/>
    <w:rsid w:val="00DE0552"/>
    <w:rsid w:val="00E64DEB"/>
    <w:rsid w:val="00E76431"/>
    <w:rsid w:val="00E80B0B"/>
    <w:rsid w:val="00E95E5A"/>
    <w:rsid w:val="00EB62B7"/>
    <w:rsid w:val="00EC3C95"/>
    <w:rsid w:val="00EC6CF9"/>
    <w:rsid w:val="00EE5AB6"/>
    <w:rsid w:val="00F01722"/>
    <w:rsid w:val="00F12CD2"/>
    <w:rsid w:val="00F17486"/>
    <w:rsid w:val="00F215ED"/>
    <w:rsid w:val="00F35180"/>
    <w:rsid w:val="00F50AEF"/>
    <w:rsid w:val="00F53114"/>
    <w:rsid w:val="00F82444"/>
    <w:rsid w:val="00F82BDA"/>
    <w:rsid w:val="00F914A3"/>
    <w:rsid w:val="00FB3C6B"/>
    <w:rsid w:val="00FB7CCE"/>
    <w:rsid w:val="00FC1AAF"/>
    <w:rsid w:val="00FC3580"/>
    <w:rsid w:val="00FC4F6C"/>
    <w:rsid w:val="00FD5254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047A"/>
  <w15:docId w15:val="{0E1F5446-2293-4503-9047-E1F08091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75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aliases w:val="Odstavec cíl se seznamem,Odstavec se seznamem1"/>
    <w:basedOn w:val="Normlny"/>
    <w:link w:val="OdsekzoznamuChar"/>
    <w:uiPriority w:val="34"/>
    <w:qFormat/>
    <w:rsid w:val="00575EE4"/>
    <w:pPr>
      <w:ind w:left="720"/>
      <w:contextualSpacing/>
    </w:pPr>
  </w:style>
  <w:style w:type="character" w:customStyle="1" w:styleId="OdsekzoznamuChar">
    <w:name w:val="Odsek zoznamu Char"/>
    <w:aliases w:val="Odstavec cíl se seznamem Char,Odstavec se seznamem1 Char"/>
    <w:basedOn w:val="Predvolenpsmoodseku"/>
    <w:link w:val="Odsekzoznamu"/>
    <w:uiPriority w:val="34"/>
    <w:locked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8152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15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12CD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2CD2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2CD2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C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CD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wspan">
    <w:name w:val="awspan"/>
    <w:basedOn w:val="Predvolenpsmoodseku"/>
    <w:rsid w:val="0064197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09A3"/>
    <w:pPr>
      <w:spacing w:after="0"/>
    </w:pPr>
    <w:rPr>
      <w:rFonts w:ascii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09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mkypodiarouChar">
    <w:name w:val="Text poznámky pod čiarou Char"/>
    <w:aliases w:val="Schriftart: 9 pt Char,Schriftart: 10 pt Char,Schriftart: 8 pt Char,pozn. pod čarou Char,Podrozdział Char,Footnote Char,Podrozdzia3 Char,Text pozn. pod čarou_martin_ang Char,Fußnote Char,FSR footnote Char,lábléc Char"/>
    <w:link w:val="Textpoznmkypodiarou"/>
    <w:rsid w:val="00BB44C1"/>
    <w:rPr>
      <w:rFonts w:ascii="Calibri" w:eastAsia="Calibri" w:hAnsi="Calibri"/>
    </w:rPr>
  </w:style>
  <w:style w:type="character" w:styleId="Odkaznapoznmkupodiarou">
    <w:name w:val="footnote reference"/>
    <w:aliases w:val="Footnote Reference Number,Footnote Reference_LVL6,Footnote Reference_LVL61,Footnote Reference_LVL62,Footnote Reference_LVL63,Footnote Reference_LVL64,16 Point,Superscript 6 Point,Footnote call,BVI fnr,SUPERS,Footnote symbol"/>
    <w:qFormat/>
    <w:rsid w:val="00BB44C1"/>
    <w:rPr>
      <w:rFonts w:cs="Times New Roman"/>
      <w:vertAlign w:val="superscript"/>
    </w:rPr>
  </w:style>
  <w:style w:type="paragraph" w:styleId="Textpoznmkypodiarou">
    <w:name w:val="footnote text"/>
    <w:aliases w:val="Schriftart: 9 pt,Schriftart: 10 pt,Schriftart: 8 pt,pozn. pod čarou,Podrozdział,Footnote,Podrozdzia3,Text pozn. pod čarou_martin_ang,Fußnote,FSR footnote,lábléc,Footnote Text Char Char,Footnote Text Char,Char Char"/>
    <w:basedOn w:val="Normlny"/>
    <w:link w:val="TextpoznmkypodiarouChar"/>
    <w:qFormat/>
    <w:rsid w:val="00BB44C1"/>
    <w:pPr>
      <w:suppressAutoHyphens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BB44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99"/>
    <w:qFormat/>
    <w:rsid w:val="00053851"/>
    <w:rPr>
      <w:rFonts w:cs="Times New Roman"/>
      <w:b/>
      <w:bCs/>
    </w:rPr>
  </w:style>
  <w:style w:type="paragraph" w:styleId="Bezriadkovania">
    <w:name w:val="No Spacing"/>
    <w:aliases w:val="Hlavní písmo"/>
    <w:basedOn w:val="Normlny"/>
    <w:link w:val="BezriadkovaniaChar"/>
    <w:uiPriority w:val="1"/>
    <w:qFormat/>
    <w:rsid w:val="000C1A5C"/>
    <w:pPr>
      <w:suppressAutoHyphens/>
      <w:spacing w:before="80" w:after="200" w:line="276" w:lineRule="auto"/>
      <w:jc w:val="both"/>
    </w:pPr>
    <w:rPr>
      <w:rFonts w:ascii="Calibri" w:eastAsia="Droid Sans Fallback" w:hAnsi="Calibri"/>
      <w:sz w:val="22"/>
      <w:szCs w:val="22"/>
      <w:lang w:val="cs-CZ" w:eastAsia="en-US"/>
    </w:rPr>
  </w:style>
  <w:style w:type="character" w:customStyle="1" w:styleId="BezriadkovaniaChar">
    <w:name w:val="Bez riadkovania Char"/>
    <w:aliases w:val="Hlavní písmo Char"/>
    <w:link w:val="Bezriadkovania"/>
    <w:uiPriority w:val="1"/>
    <w:rsid w:val="000C1A5C"/>
    <w:rPr>
      <w:rFonts w:ascii="Calibri" w:eastAsia="Droid Sans Fallback" w:hAnsi="Calibri" w:cs="Times New Roman"/>
      <w:lang w:val="cs-CZ"/>
    </w:rPr>
  </w:style>
  <w:style w:type="paragraph" w:styleId="Normlnywebov">
    <w:name w:val="Normal (Web)"/>
    <w:basedOn w:val="Normlny"/>
    <w:uiPriority w:val="99"/>
    <w:unhideWhenUsed/>
    <w:rsid w:val="00A11258"/>
    <w:pPr>
      <w:spacing w:before="100" w:beforeAutospacing="1" w:after="100" w:afterAutospacing="1"/>
    </w:pPr>
    <w:rPr>
      <w:lang w:eastAsia="sk-SK"/>
    </w:rPr>
  </w:style>
  <w:style w:type="paragraph" w:customStyle="1" w:styleId="Default">
    <w:name w:val="Default"/>
    <w:rsid w:val="002D2C2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561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508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Bartikova Anna</cp:lastModifiedBy>
  <cp:revision>18</cp:revision>
  <cp:lastPrinted>2025-09-08T06:34:00Z</cp:lastPrinted>
  <dcterms:created xsi:type="dcterms:W3CDTF">2025-07-08T09:14:00Z</dcterms:created>
  <dcterms:modified xsi:type="dcterms:W3CDTF">2025-09-09T07:38:00Z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2025-09-08T06:48:56Z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fa97fdfa-fce3-4314-92fc-8a3858557f58</vt:lpwstr>
  </property>
  <property fmtid="{D5CDD505-2E9C-101B-9397-08002B2CF9AE}" pid="8" name="MSIP_Label_d8d4986f-dcbf-4623-ae9a-8251714e0a88_ContentBits">
    <vt:lpwstr>0</vt:lpwstr>
  </property>
</Properties>
</file>