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33" w:rsidRDefault="00154645">
      <w:pPr>
        <w:pStyle w:val="Nzov"/>
      </w:pPr>
      <w:bookmarkStart w:id="0" w:name="_GoBack"/>
      <w:bookmarkEnd w:id="0"/>
      <w:r>
        <w:rPr>
          <w:spacing w:val="15"/>
        </w:rPr>
        <w:t>DO</w:t>
      </w:r>
      <w:r>
        <w:rPr>
          <w:spacing w:val="-32"/>
        </w:rPr>
        <w:t xml:space="preserve"> </w:t>
      </w:r>
      <w:r>
        <w:rPr>
          <w:spacing w:val="14"/>
        </w:rPr>
        <w:t>LO</w:t>
      </w:r>
      <w:r>
        <w:rPr>
          <w:spacing w:val="-32"/>
        </w:rPr>
        <w:t xml:space="preserve"> </w:t>
      </w:r>
      <w:r>
        <w:rPr>
          <w:spacing w:val="13"/>
        </w:rPr>
        <w:t>ŽK</w:t>
      </w:r>
      <w:r>
        <w:rPr>
          <w:spacing w:val="-3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24"/>
        </w:rPr>
        <w:t>PREDNO</w:t>
      </w:r>
      <w:r>
        <w:rPr>
          <w:spacing w:val="-32"/>
        </w:rPr>
        <w:t xml:space="preserve"> </w:t>
      </w:r>
      <w:r>
        <w:t>S</w:t>
      </w:r>
      <w:r>
        <w:rPr>
          <w:spacing w:val="-32"/>
        </w:rPr>
        <w:t xml:space="preserve"> </w:t>
      </w:r>
      <w:r>
        <w:rPr>
          <w:spacing w:val="8"/>
        </w:rPr>
        <w:t>TI</w:t>
      </w:r>
    </w:p>
    <w:p w:rsidR="00696733" w:rsidRDefault="00154645">
      <w:pPr>
        <w:pStyle w:val="Nadpis1"/>
        <w:spacing w:before="0"/>
        <w:ind w:left="31" w:right="32" w:firstLine="0"/>
        <w:jc w:val="center"/>
      </w:pPr>
      <w:r>
        <w:t>medzinárodnej</w:t>
      </w:r>
      <w:r>
        <w:rPr>
          <w:spacing w:val="-3"/>
        </w:rPr>
        <w:t xml:space="preserve"> </w:t>
      </w:r>
      <w:r>
        <w:t>zmluvy</w:t>
      </w:r>
      <w:r>
        <w:rPr>
          <w:spacing w:val="-5"/>
        </w:rPr>
        <w:t xml:space="preserve"> </w:t>
      </w:r>
      <w:r>
        <w:t>pred</w:t>
      </w:r>
      <w:r>
        <w:rPr>
          <w:spacing w:val="-2"/>
        </w:rPr>
        <w:t xml:space="preserve"> zákonmi</w:t>
      </w:r>
    </w:p>
    <w:p w:rsidR="00696733" w:rsidRDefault="00154645">
      <w:pPr>
        <w:pStyle w:val="Zkladntext"/>
        <w:spacing w:before="0"/>
        <w:ind w:left="30" w:right="32"/>
        <w:jc w:val="center"/>
      </w:pPr>
      <w:r>
        <w:t>(čl.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ods.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Ústavy</w:t>
      </w:r>
      <w:r>
        <w:rPr>
          <w:spacing w:val="-1"/>
        </w:rPr>
        <w:t xml:space="preserve"> </w:t>
      </w:r>
      <w:r>
        <w:t>Slovenskej</w:t>
      </w:r>
      <w:r>
        <w:rPr>
          <w:spacing w:val="-1"/>
        </w:rPr>
        <w:t xml:space="preserve"> </w:t>
      </w:r>
      <w:r>
        <w:rPr>
          <w:spacing w:val="-2"/>
        </w:rPr>
        <w:t>republiky)</w:t>
      </w:r>
    </w:p>
    <w:p w:rsidR="00696733" w:rsidRDefault="00696733">
      <w:pPr>
        <w:pStyle w:val="Zkladntext"/>
        <w:spacing w:before="175"/>
        <w:ind w:left="0"/>
        <w:jc w:val="left"/>
      </w:pPr>
    </w:p>
    <w:p w:rsidR="00453812" w:rsidRPr="00453812" w:rsidRDefault="00154645" w:rsidP="00453812">
      <w:pPr>
        <w:pStyle w:val="Odsekzoznamu"/>
        <w:numPr>
          <w:ilvl w:val="0"/>
          <w:numId w:val="1"/>
        </w:numPr>
        <w:tabs>
          <w:tab w:val="left" w:pos="501"/>
        </w:tabs>
        <w:spacing w:before="1" w:line="249" w:lineRule="auto"/>
        <w:ind w:right="144"/>
        <w:jc w:val="both"/>
        <w:rPr>
          <w:sz w:val="24"/>
        </w:rPr>
      </w:pPr>
      <w:r>
        <w:rPr>
          <w:b/>
          <w:sz w:val="24"/>
        </w:rPr>
        <w:t xml:space="preserve">Gestor zmluvy: </w:t>
      </w:r>
      <w:r>
        <w:rPr>
          <w:sz w:val="24"/>
        </w:rPr>
        <w:t xml:space="preserve">Ministerstvo </w:t>
      </w:r>
      <w:r w:rsidR="009B79E3">
        <w:rPr>
          <w:sz w:val="24"/>
        </w:rPr>
        <w:t>hospodárstva</w:t>
      </w:r>
      <w:r>
        <w:rPr>
          <w:sz w:val="24"/>
        </w:rPr>
        <w:t xml:space="preserve"> Slovenskej </w:t>
      </w:r>
      <w:r>
        <w:rPr>
          <w:spacing w:val="-2"/>
          <w:sz w:val="24"/>
        </w:rPr>
        <w:t>republiky</w:t>
      </w:r>
      <w:r w:rsidR="00453812">
        <w:rPr>
          <w:spacing w:val="-2"/>
          <w:sz w:val="24"/>
        </w:rPr>
        <w:t xml:space="preserve">, </w:t>
      </w:r>
      <w:r w:rsidR="00453812" w:rsidRPr="00453812">
        <w:rPr>
          <w:sz w:val="24"/>
        </w:rPr>
        <w:t>Ministerstvo financií Slovenskej republiky je gestorom pre ustanovenia týkajúce sa podpory a ochrany investícií.</w:t>
      </w:r>
    </w:p>
    <w:p w:rsidR="00696733" w:rsidRDefault="00154645" w:rsidP="009B79E3">
      <w:pPr>
        <w:pStyle w:val="Odsekzoznamu"/>
        <w:numPr>
          <w:ilvl w:val="0"/>
          <w:numId w:val="1"/>
        </w:numPr>
        <w:tabs>
          <w:tab w:val="left" w:pos="501"/>
        </w:tabs>
        <w:spacing w:before="165" w:line="252" w:lineRule="auto"/>
        <w:ind w:right="138"/>
        <w:jc w:val="both"/>
        <w:rPr>
          <w:sz w:val="24"/>
        </w:rPr>
      </w:pPr>
      <w:r>
        <w:rPr>
          <w:b/>
          <w:sz w:val="24"/>
        </w:rPr>
        <w:t>Názov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zmluvy:</w:t>
      </w:r>
      <w:r>
        <w:rPr>
          <w:b/>
          <w:spacing w:val="40"/>
          <w:sz w:val="24"/>
        </w:rPr>
        <w:t xml:space="preserve"> </w:t>
      </w:r>
      <w:r w:rsidR="009B79E3">
        <w:rPr>
          <w:sz w:val="24"/>
        </w:rPr>
        <w:t>Zmeny a doplnenia</w:t>
      </w:r>
      <w:r w:rsidR="009B79E3" w:rsidRPr="009B79E3">
        <w:rPr>
          <w:sz w:val="24"/>
        </w:rPr>
        <w:t xml:space="preserve"> Dohovoru energetickej charty</w:t>
      </w:r>
      <w:r w:rsidR="00462DC2">
        <w:rPr>
          <w:sz w:val="24"/>
        </w:rPr>
        <w:t>, podpísané</w:t>
      </w:r>
      <w:r>
        <w:rPr>
          <w:sz w:val="24"/>
        </w:rPr>
        <w:t xml:space="preserve"> v </w:t>
      </w:r>
      <w:r w:rsidR="009B79E3">
        <w:rPr>
          <w:sz w:val="24"/>
        </w:rPr>
        <w:t>Bruseli</w:t>
      </w:r>
      <w:r>
        <w:rPr>
          <w:sz w:val="24"/>
        </w:rPr>
        <w:t xml:space="preserve"> </w:t>
      </w:r>
      <w:r w:rsidR="009B79E3">
        <w:rPr>
          <w:sz w:val="24"/>
        </w:rPr>
        <w:t>dňa 3</w:t>
      </w:r>
      <w:r>
        <w:rPr>
          <w:sz w:val="24"/>
        </w:rPr>
        <w:t xml:space="preserve">. </w:t>
      </w:r>
      <w:r w:rsidR="009B79E3">
        <w:rPr>
          <w:sz w:val="24"/>
        </w:rPr>
        <w:t>decembra 2024</w:t>
      </w:r>
      <w:r w:rsidR="00926135">
        <w:rPr>
          <w:sz w:val="24"/>
        </w:rPr>
        <w:t xml:space="preserve">. </w:t>
      </w:r>
      <w:r w:rsidR="009B79E3">
        <w:rPr>
          <w:sz w:val="24"/>
        </w:rPr>
        <w:t xml:space="preserve">  </w:t>
      </w:r>
    </w:p>
    <w:p w:rsidR="00696733" w:rsidRPr="0039718D" w:rsidRDefault="00154645" w:rsidP="0039718D">
      <w:pPr>
        <w:pStyle w:val="Nadpis1"/>
        <w:numPr>
          <w:ilvl w:val="0"/>
          <w:numId w:val="1"/>
        </w:numPr>
        <w:tabs>
          <w:tab w:val="left" w:pos="501"/>
        </w:tabs>
        <w:spacing w:before="240" w:after="120"/>
      </w:pPr>
      <w:r>
        <w:t>Účel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predmet</w:t>
      </w:r>
      <w:r>
        <w:rPr>
          <w:spacing w:val="-2"/>
        </w:rPr>
        <w:t xml:space="preserve"> </w:t>
      </w:r>
      <w:r>
        <w:t>zmluvy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úprava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právnom</w:t>
      </w:r>
      <w:r>
        <w:rPr>
          <w:spacing w:val="-1"/>
        </w:rPr>
        <w:t xml:space="preserve"> </w:t>
      </w:r>
      <w:r>
        <w:t>poriadku</w:t>
      </w:r>
      <w:r>
        <w:rPr>
          <w:spacing w:val="-2"/>
        </w:rPr>
        <w:t xml:space="preserve"> </w:t>
      </w:r>
      <w:r>
        <w:t>Slovenskej</w:t>
      </w:r>
      <w:r>
        <w:rPr>
          <w:spacing w:val="-2"/>
        </w:rPr>
        <w:t xml:space="preserve"> republiky:</w:t>
      </w:r>
    </w:p>
    <w:p w:rsidR="0083367A" w:rsidRDefault="00154645" w:rsidP="0039718D">
      <w:pPr>
        <w:pStyle w:val="Zkladntext"/>
        <w:spacing w:before="240" w:after="120"/>
        <w:ind w:left="424" w:right="141"/>
      </w:pPr>
      <w:r>
        <w:t>Cieľom</w:t>
      </w:r>
      <w:r>
        <w:rPr>
          <w:spacing w:val="-15"/>
        </w:rPr>
        <w:t xml:space="preserve"> </w:t>
      </w:r>
      <w:r w:rsidR="002008B9">
        <w:t>Z</w:t>
      </w:r>
      <w:r w:rsidR="0083367A">
        <w:t xml:space="preserve">mien a doplnení </w:t>
      </w:r>
      <w:r w:rsidR="0083367A" w:rsidRPr="009B79E3">
        <w:t>Dohovoru energetickej charty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 w:rsidR="0083367A">
        <w:t xml:space="preserve">lepšie zosúladenie pôvodného </w:t>
      </w:r>
      <w:r w:rsidR="0083367A" w:rsidRPr="009B79E3">
        <w:t>Dohovoru energetickej charty</w:t>
      </w:r>
      <w:r w:rsidR="0083367A">
        <w:t xml:space="preserve"> z roku 1994</w:t>
      </w:r>
      <w:r w:rsidR="0083367A" w:rsidRPr="00FC2926">
        <w:t xml:space="preserve"> so súčasnými environmentálnymi a klimatickými cieľmi</w:t>
      </w:r>
      <w:r w:rsidR="0083367A">
        <w:t xml:space="preserve">, ako napr. </w:t>
      </w:r>
      <w:r w:rsidR="0083367A" w:rsidRPr="002D7A0B">
        <w:t>cieľmi Parížskej dohody a Európskej zelenej dohody</w:t>
      </w:r>
      <w:r w:rsidR="0083367A">
        <w:t xml:space="preserve"> a s modernými štandardmi </w:t>
      </w:r>
      <w:r w:rsidR="0083367A" w:rsidRPr="00260591">
        <w:t xml:space="preserve">EÚ </w:t>
      </w:r>
      <w:r w:rsidR="0083367A">
        <w:t xml:space="preserve">politiky ochrany investícií. </w:t>
      </w:r>
    </w:p>
    <w:p w:rsidR="00586B45" w:rsidRDefault="00586B45" w:rsidP="0039718D">
      <w:pPr>
        <w:spacing w:after="120"/>
        <w:ind w:left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Zmeny a doplnenia Dohovoru energetickej charty, ktoré boli prijaté </w:t>
      </w:r>
      <w:r w:rsidRPr="003101A2">
        <w:rPr>
          <w:sz w:val="24"/>
          <w:szCs w:val="24"/>
        </w:rPr>
        <w:t xml:space="preserve">3. decembra 2024 na </w:t>
      </w:r>
      <w:r>
        <w:rPr>
          <w:sz w:val="24"/>
          <w:szCs w:val="24"/>
        </w:rPr>
        <w:t xml:space="preserve">výročnej </w:t>
      </w:r>
      <w:r w:rsidRPr="003101A2">
        <w:rPr>
          <w:sz w:val="24"/>
          <w:szCs w:val="24"/>
        </w:rPr>
        <w:t>Konferencii</w:t>
      </w:r>
      <w:r w:rsidR="005435EC">
        <w:rPr>
          <w:sz w:val="24"/>
          <w:szCs w:val="24"/>
        </w:rPr>
        <w:t xml:space="preserve"> energetickej charty</w:t>
      </w:r>
      <w:r>
        <w:rPr>
          <w:sz w:val="24"/>
          <w:szCs w:val="24"/>
        </w:rPr>
        <w:t xml:space="preserve">, sa týkajú nasledovných ôsmich oblastí: </w:t>
      </w:r>
    </w:p>
    <w:p w:rsidR="00586B45" w:rsidRPr="0043180A" w:rsidRDefault="00586B45" w:rsidP="0039718D">
      <w:pPr>
        <w:pStyle w:val="Odsekzoznamu"/>
        <w:numPr>
          <w:ilvl w:val="0"/>
          <w:numId w:val="2"/>
        </w:numPr>
        <w:spacing w:before="0" w:after="120"/>
        <w:ind w:left="851" w:right="102" w:hanging="357"/>
        <w:jc w:val="both"/>
        <w:rPr>
          <w:sz w:val="24"/>
          <w:szCs w:val="24"/>
        </w:rPr>
      </w:pPr>
      <w:r w:rsidRPr="0043180A">
        <w:rPr>
          <w:sz w:val="24"/>
          <w:szCs w:val="24"/>
        </w:rPr>
        <w:t xml:space="preserve">Definície </w:t>
      </w:r>
    </w:p>
    <w:p w:rsidR="00586B45" w:rsidRPr="0043180A" w:rsidRDefault="00586B45" w:rsidP="0039718D">
      <w:pPr>
        <w:pStyle w:val="Odsekzoznamu"/>
        <w:numPr>
          <w:ilvl w:val="0"/>
          <w:numId w:val="2"/>
        </w:numPr>
        <w:spacing w:before="0" w:after="120"/>
        <w:ind w:left="851" w:right="102" w:hanging="357"/>
        <w:jc w:val="both"/>
        <w:rPr>
          <w:sz w:val="24"/>
          <w:szCs w:val="24"/>
        </w:rPr>
      </w:pPr>
      <w:r w:rsidRPr="0043180A">
        <w:rPr>
          <w:sz w:val="24"/>
          <w:szCs w:val="24"/>
        </w:rPr>
        <w:t>Ochrana investícií</w:t>
      </w:r>
    </w:p>
    <w:p w:rsidR="00586B45" w:rsidRPr="0043180A" w:rsidRDefault="00586B45" w:rsidP="0039718D">
      <w:pPr>
        <w:pStyle w:val="Odsekzoznamu"/>
        <w:numPr>
          <w:ilvl w:val="0"/>
          <w:numId w:val="2"/>
        </w:numPr>
        <w:spacing w:before="0" w:after="120"/>
        <w:ind w:left="851" w:right="102" w:hanging="357"/>
        <w:jc w:val="both"/>
        <w:rPr>
          <w:sz w:val="24"/>
          <w:szCs w:val="24"/>
        </w:rPr>
      </w:pPr>
      <w:r w:rsidRPr="0043180A">
        <w:rPr>
          <w:sz w:val="24"/>
          <w:szCs w:val="24"/>
        </w:rPr>
        <w:t>Urovnávanie sporov</w:t>
      </w:r>
    </w:p>
    <w:p w:rsidR="00586B45" w:rsidRPr="0043180A" w:rsidRDefault="00586B45" w:rsidP="0039718D">
      <w:pPr>
        <w:pStyle w:val="Odsekzoznamu"/>
        <w:numPr>
          <w:ilvl w:val="0"/>
          <w:numId w:val="2"/>
        </w:numPr>
        <w:spacing w:before="0" w:after="120"/>
        <w:ind w:left="851" w:right="102" w:hanging="357"/>
        <w:jc w:val="both"/>
        <w:rPr>
          <w:sz w:val="24"/>
          <w:szCs w:val="24"/>
        </w:rPr>
      </w:pPr>
      <w:r w:rsidRPr="0043180A">
        <w:rPr>
          <w:sz w:val="24"/>
          <w:szCs w:val="24"/>
        </w:rPr>
        <w:t xml:space="preserve">Tranzit </w:t>
      </w:r>
    </w:p>
    <w:p w:rsidR="00586B45" w:rsidRPr="0043180A" w:rsidRDefault="00586B45" w:rsidP="0039718D">
      <w:pPr>
        <w:pStyle w:val="Odsekzoznamu"/>
        <w:numPr>
          <w:ilvl w:val="0"/>
          <w:numId w:val="2"/>
        </w:numPr>
        <w:spacing w:before="0" w:after="120"/>
        <w:ind w:left="851" w:right="102" w:hanging="357"/>
        <w:jc w:val="both"/>
        <w:rPr>
          <w:sz w:val="24"/>
          <w:szCs w:val="24"/>
        </w:rPr>
      </w:pPr>
      <w:r w:rsidRPr="0043180A">
        <w:rPr>
          <w:sz w:val="24"/>
          <w:szCs w:val="24"/>
        </w:rPr>
        <w:t>Udržateľný rozvoj a sociálna zodpovednosť podnikov</w:t>
      </w:r>
    </w:p>
    <w:p w:rsidR="00586B45" w:rsidRPr="0043180A" w:rsidRDefault="00586B45" w:rsidP="0039718D">
      <w:pPr>
        <w:pStyle w:val="Odsekzoznamu"/>
        <w:numPr>
          <w:ilvl w:val="0"/>
          <w:numId w:val="2"/>
        </w:numPr>
        <w:spacing w:before="0" w:after="120"/>
        <w:ind w:left="851" w:right="102" w:hanging="357"/>
        <w:jc w:val="both"/>
        <w:rPr>
          <w:sz w:val="24"/>
          <w:szCs w:val="24"/>
        </w:rPr>
      </w:pPr>
      <w:r w:rsidRPr="0043180A">
        <w:rPr>
          <w:sz w:val="24"/>
          <w:szCs w:val="24"/>
        </w:rPr>
        <w:t>Regionálna organiz</w:t>
      </w:r>
      <w:r>
        <w:rPr>
          <w:sz w:val="24"/>
          <w:szCs w:val="24"/>
        </w:rPr>
        <w:t>ácia pre hospodársku integráciu</w:t>
      </w:r>
    </w:p>
    <w:p w:rsidR="00586B45" w:rsidRPr="0043180A" w:rsidRDefault="00586B45" w:rsidP="0039718D">
      <w:pPr>
        <w:pStyle w:val="Odsekzoznamu"/>
        <w:numPr>
          <w:ilvl w:val="0"/>
          <w:numId w:val="2"/>
        </w:numPr>
        <w:spacing w:before="0" w:after="120"/>
        <w:ind w:left="851" w:right="102" w:hanging="357"/>
        <w:jc w:val="both"/>
        <w:rPr>
          <w:sz w:val="24"/>
          <w:szCs w:val="24"/>
        </w:rPr>
      </w:pPr>
      <w:r w:rsidRPr="0043180A">
        <w:rPr>
          <w:sz w:val="24"/>
          <w:szCs w:val="24"/>
        </w:rPr>
        <w:t>Obsolentné ustanovenia</w:t>
      </w:r>
    </w:p>
    <w:p w:rsidR="00586B45" w:rsidRPr="0043180A" w:rsidRDefault="00586B45" w:rsidP="0039718D">
      <w:pPr>
        <w:pStyle w:val="Odsekzoznamu"/>
        <w:numPr>
          <w:ilvl w:val="0"/>
          <w:numId w:val="2"/>
        </w:numPr>
        <w:spacing w:before="0" w:after="120"/>
        <w:ind w:left="851" w:right="102" w:hanging="357"/>
        <w:jc w:val="both"/>
        <w:rPr>
          <w:sz w:val="24"/>
          <w:szCs w:val="24"/>
        </w:rPr>
      </w:pPr>
      <w:proofErr w:type="spellStart"/>
      <w:r w:rsidRPr="0043180A">
        <w:rPr>
          <w:sz w:val="24"/>
          <w:szCs w:val="24"/>
        </w:rPr>
        <w:t>Predinvestičná</w:t>
      </w:r>
      <w:proofErr w:type="spellEnd"/>
      <w:r w:rsidRPr="0043180A">
        <w:rPr>
          <w:sz w:val="24"/>
          <w:szCs w:val="24"/>
        </w:rPr>
        <w:t xml:space="preserve"> stránka</w:t>
      </w:r>
    </w:p>
    <w:p w:rsidR="000A1135" w:rsidRDefault="00586B45" w:rsidP="0039718D">
      <w:pPr>
        <w:pStyle w:val="Normlnywebov"/>
        <w:spacing w:before="0" w:beforeAutospacing="0" w:after="120" w:afterAutospacing="0"/>
        <w:ind w:left="501"/>
        <w:jc w:val="both"/>
      </w:pPr>
      <w:r w:rsidRPr="003F7AD9">
        <w:t xml:space="preserve">Pre SR </w:t>
      </w:r>
      <w:r w:rsidR="007F0632">
        <w:t>bolo</w:t>
      </w:r>
      <w:r w:rsidRPr="003F7AD9">
        <w:t xml:space="preserve"> dôležité dosiahnuť </w:t>
      </w:r>
      <w:r>
        <w:t xml:space="preserve">najmä </w:t>
      </w:r>
      <w:r w:rsidRPr="003F7AD9">
        <w:t>explicit</w:t>
      </w:r>
      <w:r>
        <w:t xml:space="preserve">né vylúčenie </w:t>
      </w:r>
      <w:proofErr w:type="spellStart"/>
      <w:r>
        <w:t>intra</w:t>
      </w:r>
      <w:proofErr w:type="spellEnd"/>
      <w:r>
        <w:t xml:space="preserve">-EÚ arbitráží, </w:t>
      </w:r>
      <w:r w:rsidRPr="003F7AD9">
        <w:t>tzn. medzi členskými štátmi EÚ a investormi z iných členských štátov</w:t>
      </w:r>
      <w:r>
        <w:t xml:space="preserve"> </w:t>
      </w:r>
      <w:r w:rsidRPr="003F7AD9">
        <w:t xml:space="preserve">EÚ. </w:t>
      </w:r>
      <w:r w:rsidRPr="007B4216">
        <w:t xml:space="preserve">Doterajšia rozhodovacia prax arbitrážnych tribunálov totiž preukazuje ich neochotu akceptovať, že </w:t>
      </w:r>
      <w:proofErr w:type="spellStart"/>
      <w:r w:rsidRPr="007B4216">
        <w:t>intra</w:t>
      </w:r>
      <w:proofErr w:type="spellEnd"/>
      <w:r w:rsidRPr="007B4216">
        <w:t>-EÚ arbitráže nie sú v súlade s</w:t>
      </w:r>
      <w:r>
        <w:t> </w:t>
      </w:r>
      <w:r w:rsidRPr="007B4216">
        <w:t>právom EÚ podľa judikatúry Súdneho dvora EÚ</w:t>
      </w:r>
      <w:r>
        <w:t xml:space="preserve"> a</w:t>
      </w:r>
      <w:r w:rsidRPr="007B4216">
        <w:t xml:space="preserve"> tieto tribunály naďalej vydávajú arbitrážne rozhodnutia. S ohľadom na súčasnú situáciu v oblasti energetiky a radikálne zmeny zmluvných </w:t>
      </w:r>
      <w:r>
        <w:t>p</w:t>
      </w:r>
      <w:r w:rsidRPr="007B4216">
        <w:t xml:space="preserve">odmienok </w:t>
      </w:r>
      <w:r>
        <w:t>SR považuje</w:t>
      </w:r>
      <w:r w:rsidRPr="007B4216">
        <w:t xml:space="preserve"> za výhodné zabezpečiť čo najpriaznivejšie procesné arbitrážne pravidlá </w:t>
      </w:r>
      <w:r w:rsidR="005435EC">
        <w:t>Dohovoru energetickej charty</w:t>
      </w:r>
      <w:r w:rsidRPr="007B4216">
        <w:t xml:space="preserve">. </w:t>
      </w:r>
    </w:p>
    <w:p w:rsidR="00586B45" w:rsidRDefault="002E2233" w:rsidP="0039718D">
      <w:pPr>
        <w:pStyle w:val="Normlnywebov"/>
        <w:spacing w:before="0" w:beforeAutospacing="0" w:after="120" w:afterAutospacing="0"/>
        <w:ind w:left="501"/>
        <w:jc w:val="both"/>
      </w:pPr>
      <w:r>
        <w:t>Navyše, j</w:t>
      </w:r>
      <w:r w:rsidR="00586B45" w:rsidRPr="003F7AD9">
        <w:t xml:space="preserve">ednostranné </w:t>
      </w:r>
      <w:r w:rsidR="00586B45">
        <w:t xml:space="preserve">odstúpenie od </w:t>
      </w:r>
      <w:r w:rsidR="005435EC">
        <w:t xml:space="preserve">Dohovoru energetickej charty </w:t>
      </w:r>
      <w:r w:rsidR="00586B45">
        <w:t xml:space="preserve">by </w:t>
      </w:r>
      <w:r w:rsidR="00586B45" w:rsidRPr="003F7AD9">
        <w:t>zach</w:t>
      </w:r>
      <w:r w:rsidR="00586B45">
        <w:t xml:space="preserve">ovalo pre existujúce investície </w:t>
      </w:r>
      <w:r w:rsidR="00586B45" w:rsidRPr="003F7AD9">
        <w:t xml:space="preserve">v platnosti </w:t>
      </w:r>
      <w:r w:rsidR="00586B45">
        <w:t>ustanovenia o ochrane investícií na ďalších 20 rokov (tzv. „</w:t>
      </w:r>
      <w:proofErr w:type="spellStart"/>
      <w:r w:rsidR="00586B45">
        <w:t>s</w:t>
      </w:r>
      <w:r w:rsidR="00586B45" w:rsidRPr="003F7AD9">
        <w:t>unset</w:t>
      </w:r>
      <w:proofErr w:type="spellEnd"/>
      <w:r w:rsidR="00586B45" w:rsidRPr="003F7AD9">
        <w:t xml:space="preserve"> </w:t>
      </w:r>
      <w:proofErr w:type="spellStart"/>
      <w:r w:rsidR="00586B45" w:rsidRPr="003F7AD9">
        <w:t>clause</w:t>
      </w:r>
      <w:proofErr w:type="spellEnd"/>
      <w:r w:rsidR="00586B45" w:rsidRPr="003F7AD9">
        <w:t>“).</w:t>
      </w:r>
      <w:r w:rsidR="00586B45">
        <w:t xml:space="preserve"> </w:t>
      </w:r>
      <w:r w:rsidR="00586B45" w:rsidRPr="00B30AED">
        <w:rPr>
          <w:rFonts w:cstheme="minorHAnsi"/>
        </w:rPr>
        <w:t xml:space="preserve">Vystupujúci štát </w:t>
      </w:r>
      <w:r w:rsidR="00586B45">
        <w:rPr>
          <w:rFonts w:cstheme="minorHAnsi"/>
        </w:rPr>
        <w:t>by bol</w:t>
      </w:r>
      <w:r w:rsidR="00586B45" w:rsidRPr="00B30AED">
        <w:rPr>
          <w:rFonts w:cstheme="minorHAnsi"/>
        </w:rPr>
        <w:t xml:space="preserve"> počas tejto doby žalovateľný za zaobchádzanie so zahraničným investorom </w:t>
      </w:r>
      <w:r w:rsidR="00586B45">
        <w:rPr>
          <w:rFonts w:cstheme="minorHAnsi"/>
        </w:rPr>
        <w:t>podľa nevýhodného textu pôvodného</w:t>
      </w:r>
      <w:r w:rsidR="00586B45" w:rsidRPr="00B30AED">
        <w:rPr>
          <w:rFonts w:cstheme="minorHAnsi"/>
        </w:rPr>
        <w:t xml:space="preserve"> </w:t>
      </w:r>
      <w:r w:rsidR="005435EC">
        <w:t>Dohovoru energetickej charty</w:t>
      </w:r>
      <w:r w:rsidR="00586B45" w:rsidRPr="00B30AED">
        <w:rPr>
          <w:rFonts w:cstheme="minorHAnsi"/>
        </w:rPr>
        <w:t>.</w:t>
      </w:r>
      <w:r w:rsidR="00FE33DA">
        <w:rPr>
          <w:rFonts w:cstheme="minorHAnsi"/>
        </w:rPr>
        <w:t xml:space="preserve"> V</w:t>
      </w:r>
      <w:r w:rsidR="007F0632">
        <w:rPr>
          <w:rFonts w:cstheme="minorHAnsi"/>
        </w:rPr>
        <w:t> </w:t>
      </w:r>
      <w:r w:rsidR="00FE33DA">
        <w:rPr>
          <w:rFonts w:cstheme="minorHAnsi"/>
        </w:rPr>
        <w:t>zmysle</w:t>
      </w:r>
      <w:r w:rsidR="007F0632">
        <w:rPr>
          <w:rFonts w:cstheme="minorHAnsi"/>
        </w:rPr>
        <w:t xml:space="preserve"> ustanovení</w:t>
      </w:r>
      <w:r w:rsidR="00FE33DA">
        <w:rPr>
          <w:rFonts w:cstheme="minorHAnsi"/>
        </w:rPr>
        <w:t xml:space="preserve"> </w:t>
      </w:r>
      <w:r w:rsidR="00FE33DA">
        <w:t xml:space="preserve">Zmien a doplnení </w:t>
      </w:r>
      <w:r w:rsidR="00FE33DA" w:rsidRPr="009B79E3">
        <w:t>Dohovoru energetickej charty</w:t>
      </w:r>
      <w:r w:rsidR="00FE33DA">
        <w:rPr>
          <w:rFonts w:cstheme="minorHAnsi"/>
        </w:rPr>
        <w:t xml:space="preserve"> budú</w:t>
      </w:r>
      <w:r w:rsidR="00FE33DA" w:rsidRPr="00FE33DA">
        <w:rPr>
          <w:rFonts w:cstheme="minorHAnsi"/>
        </w:rPr>
        <w:t xml:space="preserve"> </w:t>
      </w:r>
      <w:r w:rsidR="00FE33DA">
        <w:rPr>
          <w:rFonts w:cstheme="minorHAnsi"/>
        </w:rPr>
        <w:t>investície do fosílnych palív vylúčené spod ochrany</w:t>
      </w:r>
      <w:r w:rsidR="00FE33DA" w:rsidRPr="00FE33DA">
        <w:rPr>
          <w:rFonts w:cstheme="minorHAnsi"/>
        </w:rPr>
        <w:t xml:space="preserve"> </w:t>
      </w:r>
      <w:r w:rsidR="00FE33DA">
        <w:rPr>
          <w:rFonts w:cstheme="minorHAnsi"/>
        </w:rPr>
        <w:t>10</w:t>
      </w:r>
      <w:r w:rsidR="00FE33DA" w:rsidRPr="00FE33DA">
        <w:rPr>
          <w:rFonts w:cstheme="minorHAnsi"/>
        </w:rPr>
        <w:t xml:space="preserve"> rokov po dátume nadobudnutia platnosti</w:t>
      </w:r>
      <w:r>
        <w:rPr>
          <w:rFonts w:cstheme="minorHAnsi"/>
        </w:rPr>
        <w:t xml:space="preserve"> </w:t>
      </w:r>
      <w:r w:rsidR="00FE33DA">
        <w:t xml:space="preserve">Zmien a doplnení </w:t>
      </w:r>
      <w:r w:rsidR="00FE33DA" w:rsidRPr="009B79E3">
        <w:t>Dohovoru energetickej charty</w:t>
      </w:r>
      <w:r w:rsidR="00FE33DA">
        <w:t xml:space="preserve">. </w:t>
      </w:r>
    </w:p>
    <w:p w:rsidR="00453812" w:rsidRDefault="00453812" w:rsidP="0039718D">
      <w:pPr>
        <w:pStyle w:val="Normlnywebov"/>
        <w:spacing w:before="0" w:beforeAutospacing="0" w:after="120" w:afterAutospacing="0"/>
        <w:ind w:left="501"/>
        <w:jc w:val="both"/>
      </w:pPr>
      <w:r w:rsidRPr="00996DEF">
        <w:t xml:space="preserve">V právnom poriadku </w:t>
      </w:r>
      <w:r w:rsidR="0061261A">
        <w:t xml:space="preserve">SR je predmet zmluvy upravený vo viacerých </w:t>
      </w:r>
      <w:r w:rsidRPr="00996DEF">
        <w:t>právnych predpisov v príslušných oblastiach, a to napr. v zákone č.</w:t>
      </w:r>
      <w:r>
        <w:t xml:space="preserve"> 251/2012 Z. z. o</w:t>
      </w:r>
      <w:r w:rsidR="0061261A">
        <w:t> </w:t>
      </w:r>
      <w:r>
        <w:t>energetike</w:t>
      </w:r>
      <w:r w:rsidR="0061261A">
        <w:t xml:space="preserve"> alebo z</w:t>
      </w:r>
      <w:r w:rsidR="0061261A" w:rsidRPr="0061261A">
        <w:t>ákon</w:t>
      </w:r>
      <w:r w:rsidR="0061261A">
        <w:t>e</w:t>
      </w:r>
      <w:r w:rsidR="0061261A" w:rsidRPr="0061261A">
        <w:t xml:space="preserve"> č. 309/2009 Z.</w:t>
      </w:r>
      <w:r w:rsidR="0061261A">
        <w:t xml:space="preserve"> </w:t>
      </w:r>
      <w:r w:rsidR="0061261A" w:rsidRPr="0061261A">
        <w:t>z. o podpore obnoviteľných zdrojov energie</w:t>
      </w:r>
      <w:r w:rsidR="0061261A">
        <w:t xml:space="preserve"> </w:t>
      </w:r>
      <w:r w:rsidR="0061261A" w:rsidRPr="0061261A">
        <w:t>a vysoko účinnej kombinovanej výroby</w:t>
      </w:r>
      <w:r w:rsidR="0061261A">
        <w:t xml:space="preserve">. </w:t>
      </w:r>
    </w:p>
    <w:p w:rsidR="0039718D" w:rsidRDefault="0039718D" w:rsidP="0039718D">
      <w:pPr>
        <w:pStyle w:val="Normlnywebov"/>
        <w:spacing w:before="0" w:beforeAutospacing="0" w:after="120" w:afterAutospacing="0"/>
        <w:ind w:left="501"/>
        <w:jc w:val="both"/>
      </w:pPr>
    </w:p>
    <w:p w:rsidR="0039718D" w:rsidRDefault="00154645" w:rsidP="0039718D">
      <w:pPr>
        <w:pStyle w:val="Nadpis1"/>
        <w:numPr>
          <w:ilvl w:val="0"/>
          <w:numId w:val="1"/>
        </w:numPr>
        <w:tabs>
          <w:tab w:val="left" w:pos="501"/>
        </w:tabs>
        <w:spacing w:before="240" w:after="120"/>
      </w:pPr>
      <w:r>
        <w:lastRenderedPageBreak/>
        <w:t>Priama</w:t>
      </w:r>
      <w:r>
        <w:rPr>
          <w:spacing w:val="-3"/>
        </w:rPr>
        <w:t xml:space="preserve"> </w:t>
      </w:r>
      <w:r>
        <w:t>úprava</w:t>
      </w:r>
      <w:r>
        <w:rPr>
          <w:spacing w:val="-3"/>
        </w:rPr>
        <w:t xml:space="preserve"> </w:t>
      </w:r>
      <w:r>
        <w:t>práv</w:t>
      </w:r>
      <w:r>
        <w:rPr>
          <w:spacing w:val="-3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fyzických</w:t>
      </w:r>
      <w:r>
        <w:rPr>
          <w:spacing w:val="-3"/>
        </w:rPr>
        <w:t xml:space="preserve"> </w:t>
      </w:r>
      <w:r>
        <w:t>osôb</w:t>
      </w:r>
      <w:r>
        <w:rPr>
          <w:spacing w:val="-3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právnických</w:t>
      </w:r>
      <w:r>
        <w:rPr>
          <w:spacing w:val="-2"/>
        </w:rPr>
        <w:t xml:space="preserve"> osôb:</w:t>
      </w:r>
    </w:p>
    <w:p w:rsidR="00696733" w:rsidRDefault="005435EC" w:rsidP="0039718D">
      <w:pPr>
        <w:pStyle w:val="Zkladntext"/>
        <w:spacing w:before="240" w:after="120"/>
        <w:ind w:left="499"/>
      </w:pPr>
      <w:r>
        <w:t>Zmeny a doplnenia</w:t>
      </w:r>
      <w:r w:rsidRPr="009B79E3">
        <w:t xml:space="preserve"> Dohovoru energetickej charty</w:t>
      </w:r>
      <w:r w:rsidRPr="00926135">
        <w:rPr>
          <w:spacing w:val="-2"/>
        </w:rPr>
        <w:t xml:space="preserve"> </w:t>
      </w:r>
      <w:r>
        <w:rPr>
          <w:spacing w:val="-2"/>
        </w:rPr>
        <w:t>priamo zakladajú</w:t>
      </w:r>
      <w:r w:rsidR="00926135" w:rsidRPr="00926135">
        <w:rPr>
          <w:spacing w:val="-2"/>
        </w:rPr>
        <w:t xml:space="preserve"> práva alebo povinnosti fyzický</w:t>
      </w:r>
      <w:r w:rsidR="00926135">
        <w:rPr>
          <w:spacing w:val="-2"/>
        </w:rPr>
        <w:t xml:space="preserve">ch osôb alebo právnických osôb. </w:t>
      </w:r>
      <w:r w:rsidR="00926135" w:rsidRPr="00926135">
        <w:rPr>
          <w:spacing w:val="-2"/>
        </w:rPr>
        <w:t>Práva a povinnosti fyzických osôb alebo právnických osôb zakladajú články:</w:t>
      </w:r>
      <w:r w:rsidR="00462DC2">
        <w:rPr>
          <w:spacing w:val="-2"/>
        </w:rPr>
        <w:t xml:space="preserve"> </w:t>
      </w:r>
      <w:r w:rsidR="00462DC2" w:rsidRPr="00462DC2">
        <w:rPr>
          <w:spacing w:val="-2"/>
        </w:rPr>
        <w:t xml:space="preserve">čl. 28 </w:t>
      </w:r>
      <w:r w:rsidR="00453812">
        <w:t>Z</w:t>
      </w:r>
      <w:r w:rsidR="00462DC2" w:rsidRPr="00462DC2">
        <w:t>ábezpeka na trovy a náklady</w:t>
      </w:r>
      <w:r w:rsidR="00462DC2" w:rsidRPr="00462DC2">
        <w:rPr>
          <w:spacing w:val="-2"/>
        </w:rPr>
        <w:t xml:space="preserve">, </w:t>
      </w:r>
      <w:r w:rsidR="00453812">
        <w:t>čl. 29 F</w:t>
      </w:r>
      <w:r w:rsidR="00462DC2" w:rsidRPr="00462DC2">
        <w:t>inancovanie treťou stranou</w:t>
      </w:r>
      <w:r w:rsidR="0084100C">
        <w:t xml:space="preserve">, </w:t>
      </w:r>
      <w:r w:rsidR="0084100C" w:rsidRPr="0084100C">
        <w:t>PRÍLOHA PD Dlh verejných financií</w:t>
      </w:r>
      <w:r w:rsidR="00ED37F2">
        <w:t>.</w:t>
      </w:r>
    </w:p>
    <w:p w:rsidR="00453812" w:rsidRPr="00926135" w:rsidRDefault="00453812" w:rsidP="0039718D">
      <w:pPr>
        <w:pStyle w:val="Zkladntext"/>
        <w:spacing w:before="0" w:after="120"/>
        <w:ind w:left="499"/>
        <w:rPr>
          <w:spacing w:val="-2"/>
        </w:rPr>
      </w:pPr>
      <w:r>
        <w:rPr>
          <w:spacing w:val="-2"/>
        </w:rPr>
        <w:t xml:space="preserve">Pôvodný </w:t>
      </w:r>
      <w:r>
        <w:t>Dohovor energetickej charty</w:t>
      </w:r>
      <w:r>
        <w:rPr>
          <w:spacing w:val="-2"/>
        </w:rPr>
        <w:t xml:space="preserve"> upravuje túto oblasť nasledovne: v časti III Podpora a ochrana investícií p</w:t>
      </w:r>
      <w:r w:rsidRPr="00926135">
        <w:rPr>
          <w:spacing w:val="-2"/>
        </w:rPr>
        <w:t>ráva a povinnosti fyzických osôb alebo právnických osôb zakladajú</w:t>
      </w:r>
      <w:r>
        <w:rPr>
          <w:spacing w:val="-2"/>
        </w:rPr>
        <w:t xml:space="preserve"> tieto</w:t>
      </w:r>
      <w:r w:rsidRPr="00926135">
        <w:rPr>
          <w:spacing w:val="-2"/>
        </w:rPr>
        <w:t xml:space="preserve"> články:</w:t>
      </w:r>
      <w:r>
        <w:rPr>
          <w:spacing w:val="-2"/>
        </w:rPr>
        <w:t xml:space="preserve"> čl. 10 Ochrana, podpora a zaobchádzanie s investíciami, čl. 11 Kľúčoví zamestnanci, čl. 12 Odškodnenie, čl. 13 Vyvlastnenie,, čl. 14 Voľný prevod kapitálu. S ochranou týchto práv súvisí priamo aj časť V Riešenie sporov. Vzhľadom k tomu, že ide v tejto časti o úpravu procesných pravidiel v arbitrážnych konaniach, táto časť upravuje aj procesné povinnosti fyzických a právnických osôb.  </w:t>
      </w:r>
    </w:p>
    <w:p w:rsidR="0039718D" w:rsidRDefault="00154645" w:rsidP="003A565E">
      <w:pPr>
        <w:pStyle w:val="Nadpis1"/>
        <w:numPr>
          <w:ilvl w:val="0"/>
          <w:numId w:val="1"/>
        </w:numPr>
        <w:tabs>
          <w:tab w:val="left" w:pos="501"/>
        </w:tabs>
        <w:spacing w:before="240" w:after="120"/>
      </w:pPr>
      <w:r>
        <w:t>Úprava</w:t>
      </w:r>
      <w:r>
        <w:rPr>
          <w:spacing w:val="-2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medzinárodnej</w:t>
      </w:r>
      <w:r>
        <w:rPr>
          <w:spacing w:val="-2"/>
        </w:rPr>
        <w:t xml:space="preserve"> </w:t>
      </w:r>
      <w:r>
        <w:t>zmluvy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práve</w:t>
      </w:r>
      <w:r>
        <w:rPr>
          <w:spacing w:val="-3"/>
        </w:rPr>
        <w:t xml:space="preserve"> </w:t>
      </w:r>
      <w:r>
        <w:t>Európskej</w:t>
      </w:r>
      <w:r>
        <w:rPr>
          <w:spacing w:val="-1"/>
        </w:rPr>
        <w:t xml:space="preserve"> </w:t>
      </w:r>
      <w:r>
        <w:rPr>
          <w:spacing w:val="-2"/>
        </w:rPr>
        <w:t>únie:</w:t>
      </w:r>
    </w:p>
    <w:p w:rsidR="0039718D" w:rsidRDefault="00453812" w:rsidP="003A565E">
      <w:pPr>
        <w:pStyle w:val="Zkladntext"/>
        <w:spacing w:before="240" w:after="120" w:line="252" w:lineRule="auto"/>
        <w:ind w:left="499" w:right="136"/>
      </w:pPr>
      <w:r w:rsidRPr="00453812">
        <w:t>Predmet Zmien a doplnení Dohovoru energetickej charty je upravený Zmluvou o fungovaní Európskej únie, predovšetkým jej článkom 194 a článkom</w:t>
      </w:r>
      <w:r w:rsidR="0039718D">
        <w:t xml:space="preserve"> 207 v spojení s článkom 218, pričom je v súlade s cieľmi </w:t>
      </w:r>
      <w:r w:rsidR="0039718D" w:rsidRPr="002D7A0B">
        <w:t>Európskej zelenej dohody</w:t>
      </w:r>
      <w:r w:rsidR="0039718D">
        <w:t xml:space="preserve">. </w:t>
      </w:r>
      <w:r w:rsidRPr="00453812">
        <w:t xml:space="preserve"> </w:t>
      </w:r>
    </w:p>
    <w:p w:rsidR="0039718D" w:rsidRDefault="00453812" w:rsidP="003A565E">
      <w:pPr>
        <w:pStyle w:val="Zkladntext"/>
        <w:spacing w:before="0" w:after="120" w:line="252" w:lineRule="auto"/>
        <w:ind w:left="499" w:right="136"/>
      </w:pPr>
      <w:r w:rsidRPr="00453812">
        <w:t>Pôvodný Dohovor energetickej charty vychádzal z čl</w:t>
      </w:r>
      <w:r w:rsidR="0039718D">
        <w:t>ánku</w:t>
      </w:r>
      <w:r w:rsidRPr="00453812">
        <w:t xml:space="preserve"> 95 Zmluvy o založení Európskeho spoločenstva uhlia o ocele.</w:t>
      </w:r>
    </w:p>
    <w:p w:rsidR="00453812" w:rsidRPr="00F12199" w:rsidRDefault="00453812" w:rsidP="003A565E">
      <w:pPr>
        <w:pStyle w:val="Zkladntext"/>
        <w:spacing w:before="120" w:after="240" w:line="252" w:lineRule="auto"/>
        <w:ind w:left="499" w:right="136"/>
      </w:pPr>
      <w:r w:rsidRPr="00453812">
        <w:t>Súlad medzinárodnej zmluvy s právom EÚ: úplná zhoda.</w:t>
      </w:r>
    </w:p>
    <w:p w:rsidR="00696733" w:rsidRDefault="00154645" w:rsidP="0039718D">
      <w:pPr>
        <w:pStyle w:val="Nadpis1"/>
        <w:numPr>
          <w:ilvl w:val="0"/>
          <w:numId w:val="1"/>
        </w:numPr>
        <w:tabs>
          <w:tab w:val="left" w:pos="501"/>
        </w:tabs>
        <w:spacing w:before="240" w:line="252" w:lineRule="auto"/>
        <w:ind w:left="499" w:right="145"/>
        <w:jc w:val="both"/>
      </w:pPr>
      <w:r>
        <w:t>Kategória zmluvy podľa čl. 7 ods. 4 Ústavy Slovenskej republiky (vyžaduje pred ratifikáciou súhlas Národnej rady Slovenskej republiky):</w:t>
      </w:r>
    </w:p>
    <w:p w:rsidR="00696733" w:rsidRDefault="00154645" w:rsidP="0039718D">
      <w:pPr>
        <w:pStyle w:val="Zkladntext"/>
        <w:spacing w:before="240" w:after="240" w:line="252" w:lineRule="auto"/>
        <w:ind w:left="499" w:right="147"/>
      </w:pPr>
      <w:r>
        <w:t>Z kategórií vymedzených čl. 7 ods. 4 Ústavy Slovenskej republiky ide o</w:t>
      </w:r>
      <w:r w:rsidR="004D620B">
        <w:t xml:space="preserve"> </w:t>
      </w:r>
      <w:r w:rsidR="00926135">
        <w:t>medzinárodnú zmluvu, ktorá priamo zakladá práva alebo povinnosti fyzických osôb alebo právnických osôb, preto sa vyžaduje súhlas Národnej rady Slovenskej republiky.</w:t>
      </w:r>
    </w:p>
    <w:p w:rsidR="00696733" w:rsidRDefault="00154645">
      <w:pPr>
        <w:pStyle w:val="Nadpis1"/>
        <w:numPr>
          <w:ilvl w:val="0"/>
          <w:numId w:val="1"/>
        </w:numPr>
        <w:tabs>
          <w:tab w:val="left" w:pos="501"/>
        </w:tabs>
        <w:spacing w:before="162" w:line="252" w:lineRule="auto"/>
        <w:ind w:right="146"/>
        <w:jc w:val="both"/>
      </w:pPr>
      <w:r>
        <w:t xml:space="preserve">Kategória zmluvy podľa čl. 7 ods. 5 Ústavy Slovenskej republiky (má prednosť pred </w:t>
      </w:r>
      <w:r>
        <w:rPr>
          <w:spacing w:val="-2"/>
        </w:rPr>
        <w:t>zákonmi):</w:t>
      </w:r>
    </w:p>
    <w:p w:rsidR="00926135" w:rsidRPr="00926135" w:rsidRDefault="00154645" w:rsidP="0039718D">
      <w:pPr>
        <w:pStyle w:val="Zkladntext"/>
        <w:spacing w:before="240" w:after="240"/>
        <w:ind w:left="499"/>
        <w:rPr>
          <w:spacing w:val="-2"/>
        </w:rPr>
      </w:pPr>
      <w:r>
        <w:t>Z</w:t>
      </w:r>
      <w:r>
        <w:rPr>
          <w:spacing w:val="10"/>
        </w:rPr>
        <w:t xml:space="preserve"> </w:t>
      </w:r>
      <w:r>
        <w:t>kategórií</w:t>
      </w:r>
      <w:r>
        <w:rPr>
          <w:spacing w:val="13"/>
        </w:rPr>
        <w:t xml:space="preserve"> </w:t>
      </w:r>
      <w:r>
        <w:t>vymedzených</w:t>
      </w:r>
      <w:r>
        <w:rPr>
          <w:spacing w:val="1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čl.</w:t>
      </w:r>
      <w:r>
        <w:rPr>
          <w:spacing w:val="13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ods.</w:t>
      </w:r>
      <w:r>
        <w:rPr>
          <w:spacing w:val="12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Ústavy</w:t>
      </w:r>
      <w:r>
        <w:rPr>
          <w:spacing w:val="11"/>
        </w:rPr>
        <w:t xml:space="preserve"> </w:t>
      </w:r>
      <w:r>
        <w:t>Slovenskej</w:t>
      </w:r>
      <w:r>
        <w:rPr>
          <w:spacing w:val="13"/>
        </w:rPr>
        <w:t xml:space="preserve"> </w:t>
      </w:r>
      <w:r>
        <w:t>republiky</w:t>
      </w:r>
      <w:r>
        <w:rPr>
          <w:spacing w:val="12"/>
        </w:rPr>
        <w:t xml:space="preserve"> </w:t>
      </w:r>
      <w:r>
        <w:t>ide</w:t>
      </w:r>
      <w:r>
        <w:rPr>
          <w:spacing w:val="11"/>
        </w:rPr>
        <w:t xml:space="preserve"> </w:t>
      </w:r>
      <w:r>
        <w:t>o</w:t>
      </w:r>
      <w:r w:rsidR="0083367A">
        <w:rPr>
          <w:spacing w:val="13"/>
        </w:rPr>
        <w:t> </w:t>
      </w:r>
      <w:r>
        <w:rPr>
          <w:spacing w:val="-2"/>
        </w:rPr>
        <w:t>medzinárodnú</w:t>
      </w:r>
      <w:r w:rsidR="0083367A">
        <w:rPr>
          <w:spacing w:val="-2"/>
        </w:rPr>
        <w:t xml:space="preserve"> </w:t>
      </w:r>
      <w:r>
        <w:t>zmluvu,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ktorej vykonanie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 xml:space="preserve">potrebný </w:t>
      </w:r>
      <w:r>
        <w:rPr>
          <w:spacing w:val="-2"/>
        </w:rPr>
        <w:t>zákon</w:t>
      </w:r>
      <w:r w:rsidR="00F3216F">
        <w:rPr>
          <w:spacing w:val="-2"/>
        </w:rPr>
        <w:t xml:space="preserve"> a zároveň o</w:t>
      </w:r>
      <w:r w:rsidR="002170A2">
        <w:rPr>
          <w:spacing w:val="-2"/>
        </w:rPr>
        <w:t xml:space="preserve"> </w:t>
      </w:r>
      <w:r w:rsidR="00F3216F">
        <w:rPr>
          <w:noProof/>
        </w:rPr>
        <w:t>medzinárodnú zmluvu, ktorá priamo zakladá práva alebo povinnosti fyzických alebo právnických osôb</w:t>
      </w:r>
      <w:r w:rsidR="002170A2">
        <w:rPr>
          <w:noProof/>
        </w:rPr>
        <w:t>.</w:t>
      </w:r>
      <w:r w:rsidR="00926135">
        <w:rPr>
          <w:spacing w:val="-2"/>
        </w:rPr>
        <w:t xml:space="preserve"> </w:t>
      </w:r>
      <w:r w:rsidR="00926135" w:rsidRPr="00926135">
        <w:t>Po ratifikácii a vyhlásení s</w:t>
      </w:r>
      <w:r w:rsidR="007F0632">
        <w:t>pôsobom ustanoveným zákonom budú</w:t>
      </w:r>
      <w:r w:rsidR="00926135" w:rsidRPr="00926135">
        <w:t xml:space="preserve"> mať</w:t>
      </w:r>
      <w:r w:rsidR="00926135">
        <w:rPr>
          <w:spacing w:val="-2"/>
        </w:rPr>
        <w:t xml:space="preserve"> </w:t>
      </w:r>
      <w:r w:rsidR="00926135">
        <w:t xml:space="preserve">Zmeny a doplnenia </w:t>
      </w:r>
      <w:r w:rsidR="00926135" w:rsidRPr="009B79E3">
        <w:t>Dohovoru energetickej charty</w:t>
      </w:r>
      <w:r w:rsidR="00926135">
        <w:rPr>
          <w:spacing w:val="-15"/>
        </w:rPr>
        <w:t xml:space="preserve"> </w:t>
      </w:r>
      <w:r w:rsidR="00926135" w:rsidRPr="00926135">
        <w:t>prednosť pred zákonmi.</w:t>
      </w:r>
    </w:p>
    <w:p w:rsidR="00696733" w:rsidRDefault="0084100C" w:rsidP="0084100C">
      <w:pPr>
        <w:pStyle w:val="Nadpis1"/>
        <w:numPr>
          <w:ilvl w:val="0"/>
          <w:numId w:val="1"/>
        </w:numPr>
        <w:tabs>
          <w:tab w:val="left" w:pos="501"/>
        </w:tabs>
        <w:spacing w:before="175" w:line="252" w:lineRule="auto"/>
        <w:ind w:right="147"/>
        <w:jc w:val="both"/>
      </w:pPr>
      <w:r>
        <w:t>Vplyvy prijatia medzinárodnej zmluvy, ktorá má prednosť pred zákonmi, na slovenský právny poriadok (uvedú sa právne predpisy alebo ich jednotlivé ustanovenia, ktorých sa medzinárodná zmluva týka; potreba ich zrušenia alebo adaptácie z dôvodu duplicity):</w:t>
      </w:r>
    </w:p>
    <w:p w:rsidR="00696733" w:rsidRDefault="00154645" w:rsidP="0039718D">
      <w:pPr>
        <w:pStyle w:val="Zkladntext"/>
        <w:spacing w:before="240" w:line="252" w:lineRule="auto"/>
        <w:ind w:left="499"/>
        <w:jc w:val="left"/>
      </w:pPr>
      <w:r>
        <w:t>Vzhľadom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prednosť</w:t>
      </w:r>
      <w:r>
        <w:rPr>
          <w:spacing w:val="40"/>
        </w:rPr>
        <w:t xml:space="preserve"> </w:t>
      </w:r>
      <w:r>
        <w:t>medzinárodnej</w:t>
      </w:r>
      <w:r>
        <w:rPr>
          <w:spacing w:val="40"/>
        </w:rPr>
        <w:t xml:space="preserve"> </w:t>
      </w:r>
      <w:r>
        <w:t>zmluvy</w:t>
      </w:r>
      <w:r>
        <w:rPr>
          <w:spacing w:val="40"/>
        </w:rPr>
        <w:t xml:space="preserve"> </w:t>
      </w:r>
      <w:r>
        <w:t>pred</w:t>
      </w:r>
      <w:r>
        <w:rPr>
          <w:spacing w:val="40"/>
        </w:rPr>
        <w:t xml:space="preserve"> </w:t>
      </w:r>
      <w:r>
        <w:t>zákonmi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potrebné</w:t>
      </w:r>
      <w:r>
        <w:rPr>
          <w:spacing w:val="40"/>
        </w:rPr>
        <w:t xml:space="preserve"> </w:t>
      </w:r>
      <w:r>
        <w:t>zrušiť</w:t>
      </w:r>
      <w:r>
        <w:rPr>
          <w:spacing w:val="80"/>
        </w:rPr>
        <w:t xml:space="preserve"> </w:t>
      </w:r>
      <w:r>
        <w:t>alebo zmeniť z dôvodu duplicity žiadny právny predpis.</w:t>
      </w:r>
    </w:p>
    <w:sectPr w:rsidR="00696733">
      <w:footerReference w:type="default" r:id="rId8"/>
      <w:pgSz w:w="11910" w:h="16840"/>
      <w:pgMar w:top="1320" w:right="1275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5C" w:rsidRDefault="005A3A5C" w:rsidP="00586B45">
      <w:r>
        <w:separator/>
      </w:r>
    </w:p>
  </w:endnote>
  <w:endnote w:type="continuationSeparator" w:id="0">
    <w:p w:rsidR="005A3A5C" w:rsidRDefault="005A3A5C" w:rsidP="0058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D8" w:rsidRDefault="007C79D8">
    <w:pPr>
      <w:pStyle w:val="Pta"/>
    </w:pPr>
  </w:p>
  <w:p w:rsidR="007C79D8" w:rsidRDefault="007C79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5C" w:rsidRDefault="005A3A5C" w:rsidP="00586B45">
      <w:r>
        <w:separator/>
      </w:r>
    </w:p>
  </w:footnote>
  <w:footnote w:type="continuationSeparator" w:id="0">
    <w:p w:rsidR="005A3A5C" w:rsidRDefault="005A3A5C" w:rsidP="00586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2AF6"/>
    <w:multiLevelType w:val="hybridMultilevel"/>
    <w:tmpl w:val="D3842A1C"/>
    <w:lvl w:ilvl="0" w:tplc="041B0017">
      <w:start w:val="1"/>
      <w:numFmt w:val="lowerLetter"/>
      <w:lvlText w:val="%1)"/>
      <w:lvlJc w:val="left"/>
      <w:pPr>
        <w:ind w:left="1221" w:hanging="360"/>
      </w:pPr>
    </w:lvl>
    <w:lvl w:ilvl="1" w:tplc="041B0019" w:tentative="1">
      <w:start w:val="1"/>
      <w:numFmt w:val="lowerLetter"/>
      <w:lvlText w:val="%2."/>
      <w:lvlJc w:val="left"/>
      <w:pPr>
        <w:ind w:left="1941" w:hanging="360"/>
      </w:pPr>
    </w:lvl>
    <w:lvl w:ilvl="2" w:tplc="041B001B" w:tentative="1">
      <w:start w:val="1"/>
      <w:numFmt w:val="lowerRoman"/>
      <w:lvlText w:val="%3."/>
      <w:lvlJc w:val="right"/>
      <w:pPr>
        <w:ind w:left="2661" w:hanging="180"/>
      </w:pPr>
    </w:lvl>
    <w:lvl w:ilvl="3" w:tplc="041B000F" w:tentative="1">
      <w:start w:val="1"/>
      <w:numFmt w:val="decimal"/>
      <w:lvlText w:val="%4."/>
      <w:lvlJc w:val="left"/>
      <w:pPr>
        <w:ind w:left="3381" w:hanging="360"/>
      </w:pPr>
    </w:lvl>
    <w:lvl w:ilvl="4" w:tplc="041B0019" w:tentative="1">
      <w:start w:val="1"/>
      <w:numFmt w:val="lowerLetter"/>
      <w:lvlText w:val="%5."/>
      <w:lvlJc w:val="left"/>
      <w:pPr>
        <w:ind w:left="4101" w:hanging="360"/>
      </w:pPr>
    </w:lvl>
    <w:lvl w:ilvl="5" w:tplc="041B001B" w:tentative="1">
      <w:start w:val="1"/>
      <w:numFmt w:val="lowerRoman"/>
      <w:lvlText w:val="%6."/>
      <w:lvlJc w:val="right"/>
      <w:pPr>
        <w:ind w:left="4821" w:hanging="180"/>
      </w:pPr>
    </w:lvl>
    <w:lvl w:ilvl="6" w:tplc="041B000F" w:tentative="1">
      <w:start w:val="1"/>
      <w:numFmt w:val="decimal"/>
      <w:lvlText w:val="%7."/>
      <w:lvlJc w:val="left"/>
      <w:pPr>
        <w:ind w:left="5541" w:hanging="360"/>
      </w:pPr>
    </w:lvl>
    <w:lvl w:ilvl="7" w:tplc="041B0019" w:tentative="1">
      <w:start w:val="1"/>
      <w:numFmt w:val="lowerLetter"/>
      <w:lvlText w:val="%8."/>
      <w:lvlJc w:val="left"/>
      <w:pPr>
        <w:ind w:left="6261" w:hanging="360"/>
      </w:pPr>
    </w:lvl>
    <w:lvl w:ilvl="8" w:tplc="041B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0F130322"/>
    <w:multiLevelType w:val="hybridMultilevel"/>
    <w:tmpl w:val="C7B2B4FE"/>
    <w:lvl w:ilvl="0" w:tplc="0576F17A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59A6C736">
      <w:numFmt w:val="bullet"/>
      <w:lvlText w:val="•"/>
      <w:lvlJc w:val="left"/>
      <w:pPr>
        <w:ind w:left="1385" w:hanging="360"/>
      </w:pPr>
      <w:rPr>
        <w:rFonts w:hint="default"/>
        <w:lang w:val="sk-SK" w:eastAsia="en-US" w:bidi="ar-SA"/>
      </w:rPr>
    </w:lvl>
    <w:lvl w:ilvl="2" w:tplc="EEC4587E">
      <w:numFmt w:val="bullet"/>
      <w:lvlText w:val="•"/>
      <w:lvlJc w:val="left"/>
      <w:pPr>
        <w:ind w:left="2271" w:hanging="360"/>
      </w:pPr>
      <w:rPr>
        <w:rFonts w:hint="default"/>
        <w:lang w:val="sk-SK" w:eastAsia="en-US" w:bidi="ar-SA"/>
      </w:rPr>
    </w:lvl>
    <w:lvl w:ilvl="3" w:tplc="5414DF58">
      <w:numFmt w:val="bullet"/>
      <w:lvlText w:val="•"/>
      <w:lvlJc w:val="left"/>
      <w:pPr>
        <w:ind w:left="3156" w:hanging="360"/>
      </w:pPr>
      <w:rPr>
        <w:rFonts w:hint="default"/>
        <w:lang w:val="sk-SK" w:eastAsia="en-US" w:bidi="ar-SA"/>
      </w:rPr>
    </w:lvl>
    <w:lvl w:ilvl="4" w:tplc="E176FF46">
      <w:numFmt w:val="bullet"/>
      <w:lvlText w:val="•"/>
      <w:lvlJc w:val="left"/>
      <w:pPr>
        <w:ind w:left="4042" w:hanging="360"/>
      </w:pPr>
      <w:rPr>
        <w:rFonts w:hint="default"/>
        <w:lang w:val="sk-SK" w:eastAsia="en-US" w:bidi="ar-SA"/>
      </w:rPr>
    </w:lvl>
    <w:lvl w:ilvl="5" w:tplc="C3F2CAF8">
      <w:numFmt w:val="bullet"/>
      <w:lvlText w:val="•"/>
      <w:lvlJc w:val="left"/>
      <w:pPr>
        <w:ind w:left="4928" w:hanging="360"/>
      </w:pPr>
      <w:rPr>
        <w:rFonts w:hint="default"/>
        <w:lang w:val="sk-SK" w:eastAsia="en-US" w:bidi="ar-SA"/>
      </w:rPr>
    </w:lvl>
    <w:lvl w:ilvl="6" w:tplc="FFF87160">
      <w:numFmt w:val="bullet"/>
      <w:lvlText w:val="•"/>
      <w:lvlJc w:val="left"/>
      <w:pPr>
        <w:ind w:left="5813" w:hanging="360"/>
      </w:pPr>
      <w:rPr>
        <w:rFonts w:hint="default"/>
        <w:lang w:val="sk-SK" w:eastAsia="en-US" w:bidi="ar-SA"/>
      </w:rPr>
    </w:lvl>
    <w:lvl w:ilvl="7" w:tplc="0ACED450">
      <w:numFmt w:val="bullet"/>
      <w:lvlText w:val="•"/>
      <w:lvlJc w:val="left"/>
      <w:pPr>
        <w:ind w:left="6699" w:hanging="360"/>
      </w:pPr>
      <w:rPr>
        <w:rFonts w:hint="default"/>
        <w:lang w:val="sk-SK" w:eastAsia="en-US" w:bidi="ar-SA"/>
      </w:rPr>
    </w:lvl>
    <w:lvl w:ilvl="8" w:tplc="AABA2F92">
      <w:numFmt w:val="bullet"/>
      <w:lvlText w:val="•"/>
      <w:lvlJc w:val="left"/>
      <w:pPr>
        <w:ind w:left="7585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123535AA"/>
    <w:multiLevelType w:val="hybridMultilevel"/>
    <w:tmpl w:val="07F0CB20"/>
    <w:lvl w:ilvl="0" w:tplc="041B000F">
      <w:start w:val="1"/>
      <w:numFmt w:val="decimal"/>
      <w:lvlText w:val="%1."/>
      <w:lvlJc w:val="left"/>
      <w:pPr>
        <w:ind w:left="854" w:hanging="360"/>
      </w:pPr>
    </w:lvl>
    <w:lvl w:ilvl="1" w:tplc="041B0019" w:tentative="1">
      <w:start w:val="1"/>
      <w:numFmt w:val="lowerLetter"/>
      <w:lvlText w:val="%2."/>
      <w:lvlJc w:val="left"/>
      <w:pPr>
        <w:ind w:left="1574" w:hanging="360"/>
      </w:pPr>
    </w:lvl>
    <w:lvl w:ilvl="2" w:tplc="041B001B" w:tentative="1">
      <w:start w:val="1"/>
      <w:numFmt w:val="lowerRoman"/>
      <w:lvlText w:val="%3."/>
      <w:lvlJc w:val="right"/>
      <w:pPr>
        <w:ind w:left="2294" w:hanging="180"/>
      </w:pPr>
    </w:lvl>
    <w:lvl w:ilvl="3" w:tplc="041B000F" w:tentative="1">
      <w:start w:val="1"/>
      <w:numFmt w:val="decimal"/>
      <w:lvlText w:val="%4."/>
      <w:lvlJc w:val="left"/>
      <w:pPr>
        <w:ind w:left="3014" w:hanging="360"/>
      </w:pPr>
    </w:lvl>
    <w:lvl w:ilvl="4" w:tplc="041B0019" w:tentative="1">
      <w:start w:val="1"/>
      <w:numFmt w:val="lowerLetter"/>
      <w:lvlText w:val="%5."/>
      <w:lvlJc w:val="left"/>
      <w:pPr>
        <w:ind w:left="3734" w:hanging="360"/>
      </w:pPr>
    </w:lvl>
    <w:lvl w:ilvl="5" w:tplc="041B001B" w:tentative="1">
      <w:start w:val="1"/>
      <w:numFmt w:val="lowerRoman"/>
      <w:lvlText w:val="%6."/>
      <w:lvlJc w:val="right"/>
      <w:pPr>
        <w:ind w:left="4454" w:hanging="180"/>
      </w:pPr>
    </w:lvl>
    <w:lvl w:ilvl="6" w:tplc="041B000F" w:tentative="1">
      <w:start w:val="1"/>
      <w:numFmt w:val="decimal"/>
      <w:lvlText w:val="%7."/>
      <w:lvlJc w:val="left"/>
      <w:pPr>
        <w:ind w:left="5174" w:hanging="360"/>
      </w:pPr>
    </w:lvl>
    <w:lvl w:ilvl="7" w:tplc="041B0019" w:tentative="1">
      <w:start w:val="1"/>
      <w:numFmt w:val="lowerLetter"/>
      <w:lvlText w:val="%8."/>
      <w:lvlJc w:val="left"/>
      <w:pPr>
        <w:ind w:left="5894" w:hanging="360"/>
      </w:pPr>
    </w:lvl>
    <w:lvl w:ilvl="8" w:tplc="041B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33"/>
    <w:rsid w:val="00035D9E"/>
    <w:rsid w:val="000A1135"/>
    <w:rsid w:val="000D3A99"/>
    <w:rsid w:val="00154645"/>
    <w:rsid w:val="00176AB3"/>
    <w:rsid w:val="001777AE"/>
    <w:rsid w:val="002008B9"/>
    <w:rsid w:val="002170A2"/>
    <w:rsid w:val="002B1924"/>
    <w:rsid w:val="002E2233"/>
    <w:rsid w:val="003220D1"/>
    <w:rsid w:val="0039718D"/>
    <w:rsid w:val="003A565E"/>
    <w:rsid w:val="003D58C7"/>
    <w:rsid w:val="00453812"/>
    <w:rsid w:val="00462DC2"/>
    <w:rsid w:val="004D620B"/>
    <w:rsid w:val="004F436D"/>
    <w:rsid w:val="005435EC"/>
    <w:rsid w:val="00586B45"/>
    <w:rsid w:val="005A3A5C"/>
    <w:rsid w:val="0061261A"/>
    <w:rsid w:val="0063364A"/>
    <w:rsid w:val="00656B46"/>
    <w:rsid w:val="00696733"/>
    <w:rsid w:val="006C304A"/>
    <w:rsid w:val="0070389D"/>
    <w:rsid w:val="007C79D8"/>
    <w:rsid w:val="007F0632"/>
    <w:rsid w:val="0083367A"/>
    <w:rsid w:val="0084100C"/>
    <w:rsid w:val="008A40E3"/>
    <w:rsid w:val="008F5694"/>
    <w:rsid w:val="00926135"/>
    <w:rsid w:val="009B79E3"/>
    <w:rsid w:val="00AA5932"/>
    <w:rsid w:val="00B32099"/>
    <w:rsid w:val="00B61D34"/>
    <w:rsid w:val="00BD5568"/>
    <w:rsid w:val="00BD6961"/>
    <w:rsid w:val="00C234AD"/>
    <w:rsid w:val="00D31AD2"/>
    <w:rsid w:val="00E252FE"/>
    <w:rsid w:val="00E61553"/>
    <w:rsid w:val="00ED37F2"/>
    <w:rsid w:val="00F10F6E"/>
    <w:rsid w:val="00F12199"/>
    <w:rsid w:val="00F3216F"/>
    <w:rsid w:val="00FE33DA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B3E38-F646-40B8-8623-3BF34A21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173"/>
      <w:ind w:left="501" w:hanging="360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239"/>
      <w:ind w:left="501"/>
      <w:jc w:val="both"/>
    </w:pPr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77"/>
      <w:ind w:right="32"/>
      <w:jc w:val="center"/>
    </w:pPr>
    <w:rPr>
      <w:b/>
      <w:bCs/>
      <w:sz w:val="25"/>
      <w:szCs w:val="25"/>
    </w:rPr>
  </w:style>
  <w:style w:type="paragraph" w:styleId="Odsekzoznamu">
    <w:name w:val="List Paragraph"/>
    <w:aliases w:val="body,Dot pt,No Spacing1,List Paragraph Char Char Char,Indicator Text,Numbered Para 1,List Paragraph à moi,LISTA,List Paragraph1,Listaszerű bekezdés2,Listaszerű bekezdés3,Listaszerű bekezdés1,Odsek zoznamu4,F5 List Paragraph,Bullet 1,3,bo,L"/>
    <w:basedOn w:val="Normlny"/>
    <w:link w:val="OdsekzoznamuChar"/>
    <w:uiPriority w:val="34"/>
    <w:qFormat/>
    <w:pPr>
      <w:spacing w:before="173"/>
      <w:ind w:left="501" w:hanging="360"/>
    </w:pPr>
  </w:style>
  <w:style w:type="paragraph" w:customStyle="1" w:styleId="TableParagraph">
    <w:name w:val="Table Paragraph"/>
    <w:basedOn w:val="Normlny"/>
    <w:uiPriority w:val="1"/>
    <w:qFormat/>
  </w:style>
  <w:style w:type="paragraph" w:styleId="Normlnywebov">
    <w:name w:val="Normal (Web)"/>
    <w:basedOn w:val="Normlny"/>
    <w:uiPriority w:val="99"/>
    <w:unhideWhenUsed/>
    <w:rsid w:val="00586B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6B4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6B45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6B45"/>
    <w:rPr>
      <w:vertAlign w:val="superscript"/>
    </w:rPr>
  </w:style>
  <w:style w:type="character" w:customStyle="1" w:styleId="OdsekzoznamuChar">
    <w:name w:val="Odsek zoznamu Char"/>
    <w:aliases w:val="body Char,Dot pt Char,No Spacing1 Char,List Paragraph Char Char Char Char,Indicator Text Char,Numbered Para 1 Char,List Paragraph à moi Char,LISTA Char,List Paragraph1 Char,Listaszerű bekezdés2 Char,Listaszerű bekezdés3 Char,3 Char"/>
    <w:link w:val="Odsekzoznamu"/>
    <w:uiPriority w:val="34"/>
    <w:qFormat/>
    <w:locked/>
    <w:rsid w:val="00586B45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C79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79D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C79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79D8"/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79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79D8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95943-18E3-4D3C-A046-872D9A34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Simkova Martina /MEPO/MZV</dc:creator>
  <cp:lastModifiedBy>Carna Veronika</cp:lastModifiedBy>
  <cp:revision>2</cp:revision>
  <cp:lastPrinted>2025-05-13T13:18:00Z</cp:lastPrinted>
  <dcterms:created xsi:type="dcterms:W3CDTF">2025-06-27T11:49:00Z</dcterms:created>
  <dcterms:modified xsi:type="dcterms:W3CDTF">2025-06-27T11:49:00Z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2025-05-07T00:00:00Z</vt:filetime>
  </property>
  <property fmtid="{D5CDD505-2E9C-101B-9397-08002B2CF9AE}" pid="5" name="MSIP_Label_8411ea1f-1665-4a34-a3d8-210cc7d6932e_ActionId">
    <vt:lpwstr>8768fe74-16a9-4730-90b9-13722b87f1cf</vt:lpwstr>
  </property>
  <property fmtid="{D5CDD505-2E9C-101B-9397-08002B2CF9AE}" pid="6" name="MSIP_Label_8411ea1f-1665-4a34-a3d8-210cc7d6932e_ContentBits">
    <vt:lpwstr>3</vt:lpwstr>
  </property>
  <property fmtid="{D5CDD505-2E9C-101B-9397-08002B2CF9AE}" pid="7" name="MSIP_Label_8411ea1f-1665-4a34-a3d8-210cc7d6932e_Enabled">
    <vt:lpwstr>true</vt:lpwstr>
  </property>
  <property fmtid="{D5CDD505-2E9C-101B-9397-08002B2CF9AE}" pid="8" name="MSIP_Label_8411ea1f-1665-4a34-a3d8-210cc7d6932e_Method">
    <vt:lpwstr>Standard</vt:lpwstr>
  </property>
  <property fmtid="{D5CDD505-2E9C-101B-9397-08002B2CF9AE}" pid="9" name="MSIP_Label_8411ea1f-1665-4a34-a3d8-210cc7d6932e_Name">
    <vt:lpwstr>Interné</vt:lpwstr>
  </property>
  <property fmtid="{D5CDD505-2E9C-101B-9397-08002B2CF9AE}" pid="10" name="MSIP_Label_8411ea1f-1665-4a34-a3d8-210cc7d6932e_SetDate">
    <vt:lpwstr>2025-04-02T08:48:22Z</vt:lpwstr>
  </property>
  <property fmtid="{D5CDD505-2E9C-101B-9397-08002B2CF9AE}" pid="11" name="MSIP_Label_8411ea1f-1665-4a34-a3d8-210cc7d6932e_SiteId">
    <vt:lpwstr>8fe5905d-1a8a-4469-a0d9-11f2c367f0ac</vt:lpwstr>
  </property>
  <property fmtid="{D5CDD505-2E9C-101B-9397-08002B2CF9AE}" pid="12" name="MSIP_Label_8411ea1f-1665-4a34-a3d8-210cc7d6932e_Tag">
    <vt:lpwstr>10, 3, 0, 1</vt:lpwstr>
  </property>
  <property fmtid="{D5CDD505-2E9C-101B-9397-08002B2CF9AE}" pid="13" name="Producer">
    <vt:lpwstr>Microsoft® Word pre Microsoft 365</vt:lpwstr>
  </property>
</Properties>
</file>