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3548" w14:textId="77777777" w:rsidR="000047D1" w:rsidRPr="00BB50D2" w:rsidRDefault="000047D1" w:rsidP="00E45666">
      <w:pPr>
        <w:pStyle w:val="Default"/>
        <w:ind w:left="360"/>
        <w:jc w:val="center"/>
      </w:pPr>
      <w:r w:rsidRPr="00BB50D2">
        <w:rPr>
          <w:b/>
          <w:bCs/>
        </w:rPr>
        <w:t>DOLOŽKA ZLUČITEĽNOSTI</w:t>
      </w:r>
    </w:p>
    <w:p w14:paraId="362DF136" w14:textId="77777777" w:rsidR="000047D1" w:rsidRPr="00BB50D2" w:rsidRDefault="00D56435" w:rsidP="00E45666">
      <w:pPr>
        <w:pStyle w:val="Default"/>
        <w:pBdr>
          <w:bottom w:val="single" w:sz="12" w:space="1" w:color="auto"/>
        </w:pBdr>
        <w:ind w:left="426"/>
        <w:jc w:val="center"/>
        <w:rPr>
          <w:b/>
          <w:bCs/>
        </w:rPr>
      </w:pPr>
      <w:r w:rsidRPr="00BB50D2">
        <w:rPr>
          <w:b/>
          <w:bCs/>
        </w:rPr>
        <w:t xml:space="preserve"> </w:t>
      </w:r>
      <w:r w:rsidR="000047D1" w:rsidRPr="00BB50D2">
        <w:rPr>
          <w:b/>
          <w:bCs/>
        </w:rPr>
        <w:t>návrhu zákona</w:t>
      </w:r>
      <w:r w:rsidR="00C20A19" w:rsidRPr="00BB50D2">
        <w:rPr>
          <w:b/>
          <w:lang w:eastAsia="sk-SK"/>
        </w:rPr>
        <w:t xml:space="preserve"> </w:t>
      </w:r>
      <w:r w:rsidR="00D11610" w:rsidRPr="00BB50D2">
        <w:rPr>
          <w:b/>
          <w:bCs/>
        </w:rPr>
        <w:t>s právom Európskej únie</w:t>
      </w:r>
    </w:p>
    <w:p w14:paraId="1B8B673B" w14:textId="77777777" w:rsidR="00C01D0C" w:rsidRPr="00BB50D2" w:rsidRDefault="00C01D0C" w:rsidP="00E45666">
      <w:pPr>
        <w:pStyle w:val="Default"/>
        <w:ind w:left="426"/>
        <w:jc w:val="center"/>
        <w:rPr>
          <w:b/>
          <w:bCs/>
        </w:rPr>
      </w:pPr>
    </w:p>
    <w:p w14:paraId="4E040844" w14:textId="77777777" w:rsidR="000047D1" w:rsidRPr="00BB50D2" w:rsidRDefault="000047D1" w:rsidP="00E45666">
      <w:pPr>
        <w:pStyle w:val="Default"/>
        <w:jc w:val="center"/>
      </w:pPr>
    </w:p>
    <w:p w14:paraId="0BBDFDA3" w14:textId="77777777" w:rsidR="00FD020C" w:rsidRPr="00BB50D2" w:rsidRDefault="00FD020C" w:rsidP="00E45666">
      <w:pPr>
        <w:pStyle w:val="Default"/>
        <w:jc w:val="center"/>
      </w:pPr>
    </w:p>
    <w:p w14:paraId="12B7FD08" w14:textId="77777777" w:rsidR="00231801" w:rsidRPr="00BB50D2" w:rsidRDefault="000047D1" w:rsidP="002D3B52">
      <w:pPr>
        <w:pStyle w:val="Default"/>
        <w:numPr>
          <w:ilvl w:val="0"/>
          <w:numId w:val="11"/>
        </w:numPr>
        <w:ind w:left="709" w:hanging="283"/>
      </w:pPr>
      <w:r w:rsidRPr="00BB50D2">
        <w:rPr>
          <w:b/>
        </w:rPr>
        <w:t>Navrhovateľ zákona</w:t>
      </w:r>
      <w:r w:rsidRPr="00BB50D2">
        <w:t>:</w:t>
      </w:r>
    </w:p>
    <w:p w14:paraId="3772D2D4" w14:textId="77777777" w:rsidR="000047D1" w:rsidRPr="00BB50D2" w:rsidRDefault="00170C31" w:rsidP="002D3B52">
      <w:pPr>
        <w:pStyle w:val="Default"/>
        <w:ind w:left="709"/>
      </w:pPr>
      <w:r w:rsidRPr="00BB50D2">
        <w:t>Vláda</w:t>
      </w:r>
      <w:r w:rsidR="00EB18B8" w:rsidRPr="00BB50D2">
        <w:t xml:space="preserve"> </w:t>
      </w:r>
      <w:r w:rsidRPr="00BB50D2">
        <w:t>Slovenskej republiky</w:t>
      </w:r>
      <w:r w:rsidR="00231801" w:rsidRPr="00BB50D2">
        <w:t>.</w:t>
      </w:r>
    </w:p>
    <w:p w14:paraId="4B0EEE53" w14:textId="77777777" w:rsidR="000047D1" w:rsidRPr="00BB50D2" w:rsidRDefault="000047D1" w:rsidP="00E45666">
      <w:pPr>
        <w:pStyle w:val="Default"/>
        <w:ind w:firstLine="426"/>
      </w:pPr>
    </w:p>
    <w:p w14:paraId="16D9C1CB" w14:textId="77777777" w:rsidR="000047D1" w:rsidRPr="00BB50D2" w:rsidRDefault="000047D1" w:rsidP="00E45666">
      <w:pPr>
        <w:pStyle w:val="Default"/>
        <w:ind w:firstLine="426"/>
      </w:pPr>
      <w:r w:rsidRPr="00BB50D2">
        <w:t xml:space="preserve">2. </w:t>
      </w:r>
      <w:r w:rsidRPr="00BB50D2">
        <w:rPr>
          <w:b/>
        </w:rPr>
        <w:t>Názov návrhu zákona</w:t>
      </w:r>
      <w:r w:rsidRPr="00BB50D2">
        <w:t xml:space="preserve">: </w:t>
      </w:r>
    </w:p>
    <w:p w14:paraId="3AEC41D8" w14:textId="77777777" w:rsidR="000047D1" w:rsidRPr="00BB50D2" w:rsidRDefault="00874683" w:rsidP="007261B1">
      <w:pPr>
        <w:pStyle w:val="Default"/>
        <w:ind w:left="708"/>
        <w:jc w:val="both"/>
      </w:pPr>
      <w:r w:rsidRPr="00BB50D2">
        <w:t>Návrh zákona, ktorým sa mení a dopĺňa zákon č. 357/2015 Z. z. o finančnej kontrole a audite a o zmene a doplnení niektorých zákonov v znení neskorších predpisov</w:t>
      </w:r>
      <w:r w:rsidR="00C20A19" w:rsidRPr="00BB50D2">
        <w:rPr>
          <w:lang w:eastAsia="sk-SK"/>
        </w:rPr>
        <w:t xml:space="preserve"> a ktorým sa menia a dopĺňajú niektoré zákony.</w:t>
      </w:r>
    </w:p>
    <w:p w14:paraId="14A6BEAF" w14:textId="77777777" w:rsidR="007261B1" w:rsidRPr="00BB50D2" w:rsidRDefault="007261B1" w:rsidP="00E45666">
      <w:pPr>
        <w:pStyle w:val="Default"/>
        <w:ind w:firstLine="426"/>
      </w:pPr>
    </w:p>
    <w:p w14:paraId="5BEDF06D" w14:textId="77777777" w:rsidR="000047D1" w:rsidRPr="00BB50D2" w:rsidRDefault="000047D1" w:rsidP="00E45666">
      <w:pPr>
        <w:pStyle w:val="Default"/>
        <w:ind w:firstLine="426"/>
      </w:pPr>
      <w:r w:rsidRPr="00BB50D2">
        <w:t xml:space="preserve">3. </w:t>
      </w:r>
      <w:r w:rsidRPr="00BB50D2">
        <w:rPr>
          <w:b/>
          <w:bCs/>
        </w:rPr>
        <w:t>Predmet návrhu zákona je upravený v práve Európskej únie</w:t>
      </w:r>
      <w:r w:rsidRPr="00BB50D2">
        <w:t xml:space="preserve">: </w:t>
      </w:r>
    </w:p>
    <w:p w14:paraId="522D6FEC" w14:textId="77777777" w:rsidR="00170C31" w:rsidRPr="00BB50D2" w:rsidRDefault="00170C31" w:rsidP="00E45666">
      <w:pPr>
        <w:pStyle w:val="Default"/>
        <w:ind w:firstLine="426"/>
      </w:pPr>
    </w:p>
    <w:p w14:paraId="342B80E9" w14:textId="77777777" w:rsidR="007261B1" w:rsidRPr="00BB50D2" w:rsidRDefault="000047D1" w:rsidP="007261B1">
      <w:pPr>
        <w:pStyle w:val="Default"/>
        <w:ind w:left="993"/>
        <w:jc w:val="both"/>
      </w:pPr>
      <w:r w:rsidRPr="00BB50D2">
        <w:t>a) v primárnom práve</w:t>
      </w:r>
      <w:r w:rsidR="007261B1" w:rsidRPr="00BB50D2">
        <w:t xml:space="preserve"> </w:t>
      </w:r>
    </w:p>
    <w:p w14:paraId="03FD2BC3" w14:textId="77777777" w:rsidR="007261B1" w:rsidRPr="00BB50D2" w:rsidRDefault="00170C31" w:rsidP="00E45666">
      <w:pPr>
        <w:pStyle w:val="Default"/>
        <w:ind w:left="1276" w:hanging="283"/>
        <w:jc w:val="both"/>
      </w:pPr>
      <w:r w:rsidRPr="00BB50D2">
        <w:t>-</w:t>
      </w:r>
      <w:r w:rsidRPr="00BB50D2">
        <w:tab/>
        <w:t xml:space="preserve">čl. 4, </w:t>
      </w:r>
      <w:r w:rsidR="00726F11" w:rsidRPr="00BB50D2">
        <w:t>38 až 44,</w:t>
      </w:r>
      <w:r w:rsidR="00916FEB" w:rsidRPr="00BB50D2">
        <w:t xml:space="preserve"> </w:t>
      </w:r>
      <w:r w:rsidR="00726F11" w:rsidRPr="00BB50D2">
        <w:t>49,</w:t>
      </w:r>
      <w:r w:rsidR="00916FEB" w:rsidRPr="00BB50D2">
        <w:t xml:space="preserve"> </w:t>
      </w:r>
      <w:r w:rsidR="00726F11" w:rsidRPr="00BB50D2">
        <w:t xml:space="preserve">53, </w:t>
      </w:r>
      <w:r w:rsidR="00916FEB" w:rsidRPr="00BB50D2">
        <w:t>56</w:t>
      </w:r>
      <w:r w:rsidR="00FA3103" w:rsidRPr="00BB50D2">
        <w:t xml:space="preserve"> a</w:t>
      </w:r>
      <w:r w:rsidR="00916FEB" w:rsidRPr="00BB50D2">
        <w:t xml:space="preserve"> </w:t>
      </w:r>
      <w:r w:rsidR="00726F11" w:rsidRPr="00BB50D2">
        <w:t>57</w:t>
      </w:r>
      <w:r w:rsidR="002A7DD8" w:rsidRPr="00BB50D2">
        <w:t>,</w:t>
      </w:r>
      <w:r w:rsidR="00805705" w:rsidRPr="00BB50D2">
        <w:t xml:space="preserve"> 107, </w:t>
      </w:r>
      <w:r w:rsidR="00545CCD" w:rsidRPr="00BB50D2">
        <w:t>108</w:t>
      </w:r>
      <w:r w:rsidR="00805705" w:rsidRPr="00BB50D2">
        <w:t xml:space="preserve">, </w:t>
      </w:r>
      <w:r w:rsidR="00F13306" w:rsidRPr="00BB50D2">
        <w:t>114, 162 až 164, 17</w:t>
      </w:r>
      <w:r w:rsidR="00070897" w:rsidRPr="00BB50D2">
        <w:t>4</w:t>
      </w:r>
      <w:r w:rsidR="00F13306" w:rsidRPr="00BB50D2">
        <w:t xml:space="preserve"> až 178</w:t>
      </w:r>
      <w:r w:rsidR="002A7DD8" w:rsidRPr="00BB50D2">
        <w:t xml:space="preserve">, </w:t>
      </w:r>
      <w:r w:rsidR="00FA3103" w:rsidRPr="00BB50D2">
        <w:t>217 a 218</w:t>
      </w:r>
      <w:r w:rsidR="00726F11" w:rsidRPr="00BB50D2">
        <w:t>, 287,</w:t>
      </w:r>
      <w:r w:rsidR="00F13306" w:rsidRPr="00BB50D2">
        <w:t xml:space="preserve"> </w:t>
      </w:r>
      <w:r w:rsidR="00726F11" w:rsidRPr="00BB50D2">
        <w:t>317, 320 až 32</w:t>
      </w:r>
      <w:r w:rsidR="00C26314" w:rsidRPr="00BB50D2">
        <w:t>5</w:t>
      </w:r>
      <w:r w:rsidR="00726F11" w:rsidRPr="00BB50D2">
        <w:t xml:space="preserve"> a 349 Zmluvy o fungovaní Európskej únie</w:t>
      </w:r>
      <w:r w:rsidR="006B64EC" w:rsidRPr="00BB50D2">
        <w:t xml:space="preserve"> (</w:t>
      </w:r>
      <w:r w:rsidR="006B64EC" w:rsidRPr="00BB50D2">
        <w:rPr>
          <w:rStyle w:val="awspan1"/>
        </w:rPr>
        <w:t xml:space="preserve">Ú. v. </w:t>
      </w:r>
      <w:r w:rsidR="00563F5A" w:rsidRPr="00BB50D2">
        <w:rPr>
          <w:rStyle w:val="awspan1"/>
        </w:rPr>
        <w:t xml:space="preserve">ES </w:t>
      </w:r>
      <w:r w:rsidR="006B64EC" w:rsidRPr="00BB50D2">
        <w:rPr>
          <w:rStyle w:val="awspan1"/>
        </w:rPr>
        <w:t>C 202, 7.6.2016)</w:t>
      </w:r>
      <w:r w:rsidR="00C32759" w:rsidRPr="00BB50D2">
        <w:t>.</w:t>
      </w:r>
    </w:p>
    <w:p w14:paraId="22848566" w14:textId="77777777" w:rsidR="00726F11" w:rsidRPr="00BB50D2" w:rsidRDefault="00726F11" w:rsidP="00E45666">
      <w:pPr>
        <w:pStyle w:val="Default"/>
        <w:ind w:left="1276" w:hanging="283"/>
        <w:jc w:val="both"/>
      </w:pPr>
    </w:p>
    <w:p w14:paraId="50FE5E50" w14:textId="77777777" w:rsidR="007261B1" w:rsidRPr="00BB50D2" w:rsidRDefault="000047D1" w:rsidP="00E45666">
      <w:pPr>
        <w:pStyle w:val="Default"/>
        <w:ind w:left="1276" w:hanging="283"/>
        <w:jc w:val="both"/>
      </w:pPr>
      <w:r w:rsidRPr="00BB50D2">
        <w:t xml:space="preserve">b) v sekundárnom práve </w:t>
      </w:r>
    </w:p>
    <w:p w14:paraId="49750F1C" w14:textId="77777777" w:rsidR="004B460D" w:rsidRPr="00BB50D2" w:rsidRDefault="004B460D" w:rsidP="00D50853">
      <w:pPr>
        <w:pStyle w:val="Default"/>
        <w:jc w:val="both"/>
      </w:pPr>
    </w:p>
    <w:p w14:paraId="2AD17C2A" w14:textId="77777777" w:rsidR="001464F6" w:rsidRPr="00BB50D2" w:rsidRDefault="0016604F" w:rsidP="0016604F">
      <w:pPr>
        <w:pStyle w:val="Default"/>
        <w:numPr>
          <w:ilvl w:val="0"/>
          <w:numId w:val="9"/>
        </w:numPr>
        <w:jc w:val="both"/>
        <w:rPr>
          <w:rStyle w:val="Zvraznenie"/>
          <w:iCs w:val="0"/>
          <w:color w:val="auto"/>
        </w:rPr>
      </w:pPr>
      <w:r w:rsidRPr="00BB50D2">
        <w:rPr>
          <w:color w:val="auto"/>
          <w:shd w:val="clear" w:color="auto" w:fill="FFFFFF"/>
        </w:rPr>
        <w:t xml:space="preserve">nariadenie Európskeho parlamentu a Rady (EÚ, </w:t>
      </w:r>
      <w:proofErr w:type="spellStart"/>
      <w:r w:rsidRPr="00BB50D2">
        <w:rPr>
          <w:color w:val="auto"/>
          <w:shd w:val="clear" w:color="auto" w:fill="FFFFFF"/>
        </w:rPr>
        <w:t>Euratom</w:t>
      </w:r>
      <w:proofErr w:type="spellEnd"/>
      <w:r w:rsidRPr="00BB50D2">
        <w:rPr>
          <w:color w:val="auto"/>
          <w:shd w:val="clear" w:color="auto" w:fill="FFFFFF"/>
        </w:rPr>
        <w:t xml:space="preserve">) 2024/2509 z 23. septembra 2024 o rozpočtových pravidlách, ktoré sa vzťahujú na všeobecný rozpočet Únie (prepracované znenie) </w:t>
      </w:r>
      <w:r w:rsidR="001464F6" w:rsidRPr="00BB50D2">
        <w:rPr>
          <w:color w:val="auto"/>
          <w:shd w:val="clear" w:color="auto" w:fill="FFFFFF"/>
        </w:rPr>
        <w:t>(</w:t>
      </w:r>
      <w:r w:rsidRPr="00BB50D2">
        <w:rPr>
          <w:rStyle w:val="Zvraznenie"/>
          <w:rFonts w:eastAsiaTheme="majorEastAsia"/>
          <w:i w:val="0"/>
          <w:color w:val="auto"/>
          <w:shd w:val="clear" w:color="auto" w:fill="FFFFFF"/>
        </w:rPr>
        <w:t>Ú. v. EÚ L, 2024/2509, 26.9.2024</w:t>
      </w:r>
      <w:r w:rsidR="001464F6" w:rsidRPr="00BB50D2">
        <w:rPr>
          <w:rStyle w:val="Zvraznenie"/>
          <w:rFonts w:eastAsiaTheme="majorEastAsia"/>
          <w:i w:val="0"/>
          <w:color w:val="auto"/>
          <w:shd w:val="clear" w:color="auto" w:fill="FFFFFF"/>
        </w:rPr>
        <w:t xml:space="preserve">), </w:t>
      </w:r>
      <w:r w:rsidRPr="00BB50D2">
        <w:rPr>
          <w:rStyle w:val="Zvraznenie"/>
          <w:rFonts w:eastAsiaTheme="majorEastAsia"/>
          <w:i w:val="0"/>
          <w:color w:val="auto"/>
          <w:shd w:val="clear" w:color="auto" w:fill="FFFFFF"/>
        </w:rPr>
        <w:t xml:space="preserve">gestor: </w:t>
      </w:r>
      <w:r w:rsidR="005B713A">
        <w:rPr>
          <w:rStyle w:val="Zvraznenie"/>
          <w:rFonts w:eastAsiaTheme="majorEastAsia"/>
          <w:i w:val="0"/>
          <w:color w:val="auto"/>
          <w:shd w:val="clear" w:color="auto" w:fill="FFFFFF"/>
        </w:rPr>
        <w:t>MF SR</w:t>
      </w:r>
      <w:r w:rsidR="00C152C8" w:rsidRPr="00BB50D2">
        <w:rPr>
          <w:rStyle w:val="Zvraznenie"/>
          <w:rFonts w:eastAsiaTheme="majorEastAsia"/>
          <w:i w:val="0"/>
          <w:color w:val="auto"/>
          <w:shd w:val="clear" w:color="auto" w:fill="FFFFFF"/>
        </w:rPr>
        <w:t>,</w:t>
      </w:r>
    </w:p>
    <w:p w14:paraId="41952CAD" w14:textId="77777777" w:rsidR="009C4012" w:rsidRPr="00BB50D2" w:rsidRDefault="00F13306" w:rsidP="009C4012">
      <w:pPr>
        <w:pStyle w:val="Default"/>
        <w:numPr>
          <w:ilvl w:val="0"/>
          <w:numId w:val="9"/>
        </w:numPr>
        <w:jc w:val="both"/>
        <w:rPr>
          <w:rStyle w:val="Zvraznenie"/>
          <w:i w:val="0"/>
          <w:iCs w:val="0"/>
          <w:color w:val="auto"/>
        </w:rPr>
      </w:pPr>
      <w:r w:rsidRPr="00BB50D2">
        <w:rPr>
          <w:rStyle w:val="Zvraznenie"/>
          <w:i w:val="0"/>
          <w:iCs w:val="0"/>
          <w:color w:val="auto"/>
        </w:rPr>
        <w:t>nariadenie</w:t>
      </w:r>
      <w:r w:rsidR="009C4012" w:rsidRPr="00BB50D2">
        <w:rPr>
          <w:rStyle w:val="Zvraznenie"/>
          <w:i w:val="0"/>
          <w:iCs w:val="0"/>
          <w:color w:val="auto"/>
        </w:rPr>
        <w:t xml:space="preserve"> Európskeho parlamentu a Rady (EÚ) 2021/1059 z 24. júna 2021 o osobitných ustanoveniach týkajúcich sa cieľa Európska územná spolupráca (</w:t>
      </w:r>
      <w:proofErr w:type="spellStart"/>
      <w:r w:rsidR="009C4012" w:rsidRPr="00BB50D2">
        <w:rPr>
          <w:rStyle w:val="Zvraznenie"/>
          <w:i w:val="0"/>
          <w:iCs w:val="0"/>
          <w:color w:val="auto"/>
        </w:rPr>
        <w:t>Interreg</w:t>
      </w:r>
      <w:proofErr w:type="spellEnd"/>
      <w:r w:rsidR="009C4012" w:rsidRPr="00BB50D2">
        <w:rPr>
          <w:rStyle w:val="Zvraznenie"/>
          <w:i w:val="0"/>
          <w:iCs w:val="0"/>
          <w:color w:val="auto"/>
        </w:rPr>
        <w:t>) podporovaného z Európskeho fondu regionálneho rozvoja a vonkajších finančných nástrojov (Ú.</w:t>
      </w:r>
      <w:r w:rsidR="00A520AB" w:rsidRPr="00BB50D2">
        <w:rPr>
          <w:rStyle w:val="Zvraznenie"/>
          <w:i w:val="0"/>
          <w:iCs w:val="0"/>
          <w:color w:val="auto"/>
        </w:rPr>
        <w:t xml:space="preserve"> </w:t>
      </w:r>
      <w:r w:rsidR="009C4012" w:rsidRPr="00BB50D2">
        <w:rPr>
          <w:rStyle w:val="Zvraznenie"/>
          <w:i w:val="0"/>
          <w:iCs w:val="0"/>
          <w:color w:val="auto"/>
        </w:rPr>
        <w:t>v. EÚ L 231, 30.6.2021), gestori:</w:t>
      </w:r>
      <w:r w:rsidR="009C4012" w:rsidRPr="00BB50D2">
        <w:t xml:space="preserve"> </w:t>
      </w:r>
      <w:r w:rsidR="009C4012" w:rsidRPr="00BB50D2">
        <w:rPr>
          <w:rStyle w:val="Zvraznenie"/>
          <w:i w:val="0"/>
          <w:iCs w:val="0"/>
          <w:color w:val="auto"/>
        </w:rPr>
        <w:t>MIRRI SR, MF SR,</w:t>
      </w:r>
    </w:p>
    <w:p w14:paraId="12DFC563" w14:textId="77777777" w:rsidR="005D5F4F" w:rsidRPr="00BB50D2" w:rsidRDefault="005D5F4F" w:rsidP="00EB1FA6">
      <w:pPr>
        <w:pStyle w:val="Default"/>
        <w:numPr>
          <w:ilvl w:val="0"/>
          <w:numId w:val="9"/>
        </w:numPr>
        <w:jc w:val="both"/>
        <w:rPr>
          <w:rStyle w:val="Zvraznenie"/>
          <w:i w:val="0"/>
          <w:iCs w:val="0"/>
          <w:color w:val="auto"/>
        </w:rPr>
      </w:pPr>
      <w:r w:rsidRPr="00BB50D2">
        <w:rPr>
          <w:rStyle w:val="Zvraznenie"/>
          <w:i w:val="0"/>
          <w:iCs w:val="0"/>
          <w:color w:val="auto"/>
        </w:rPr>
        <w:t xml:space="preserve">delegované nariadenie Komisie (EÚ) 2022/127 zo 7. decembra 2021, ktorým sa dopĺňa nariadenie Európskeho parlamentu a Rady (EÚ) 2021/2116 o pravidlá platné pre platobné agentúry a iné orgány, finančné riadenie, schvaľovanie účtov, zábezpeky a používanie eura (Ú. v. EÚ L 20, 31.1.2022) </w:t>
      </w:r>
      <w:r w:rsidR="00EB1FA6" w:rsidRPr="00BB50D2">
        <w:t>v platnom znení</w:t>
      </w:r>
      <w:r w:rsidR="00EB1FA6" w:rsidRPr="00BB50D2">
        <w:rPr>
          <w:rStyle w:val="Zvraznenie"/>
          <w:i w:val="0"/>
          <w:iCs w:val="0"/>
          <w:color w:val="auto"/>
        </w:rPr>
        <w:t>, gestor:</w:t>
      </w:r>
      <w:r w:rsidR="00EB1FA6" w:rsidRPr="00BB50D2">
        <w:t xml:space="preserve"> </w:t>
      </w:r>
      <w:r w:rsidR="00EB1FA6" w:rsidRPr="00BB50D2">
        <w:rPr>
          <w:rStyle w:val="Zvraznenie"/>
          <w:i w:val="0"/>
          <w:iCs w:val="0"/>
          <w:color w:val="auto"/>
        </w:rPr>
        <w:t>MPRV SR,</w:t>
      </w:r>
    </w:p>
    <w:p w14:paraId="2DA426F4" w14:textId="77777777" w:rsidR="000F4FD2" w:rsidRPr="00BB50D2" w:rsidRDefault="000F4FD2" w:rsidP="000F4FD2">
      <w:pPr>
        <w:pStyle w:val="Default"/>
        <w:numPr>
          <w:ilvl w:val="0"/>
          <w:numId w:val="9"/>
        </w:numPr>
        <w:jc w:val="both"/>
        <w:rPr>
          <w:rStyle w:val="Zvraznenie"/>
          <w:i w:val="0"/>
          <w:iCs w:val="0"/>
          <w:color w:val="auto"/>
        </w:rPr>
      </w:pPr>
      <w:r w:rsidRPr="00BB50D2">
        <w:rPr>
          <w:rStyle w:val="Zvraznenie"/>
          <w:i w:val="0"/>
          <w:iCs w:val="0"/>
          <w:color w:val="auto"/>
        </w:rPr>
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</w:t>
      </w:r>
      <w:r w:rsidRPr="00BB50D2">
        <w:t xml:space="preserve"> (</w:t>
      </w:r>
      <w:r w:rsidRPr="00BB50D2">
        <w:rPr>
          <w:rStyle w:val="Zvraznenie"/>
          <w:i w:val="0"/>
          <w:iCs w:val="0"/>
          <w:color w:val="auto"/>
        </w:rPr>
        <w:t>Ú. v. EÚ L 435, 6.12.2021)</w:t>
      </w:r>
      <w:r w:rsidRPr="00BB50D2">
        <w:t xml:space="preserve"> v platnom znení</w:t>
      </w:r>
      <w:r w:rsidRPr="00BB50D2">
        <w:rPr>
          <w:rStyle w:val="Zvraznenie"/>
          <w:i w:val="0"/>
          <w:iCs w:val="0"/>
          <w:color w:val="auto"/>
        </w:rPr>
        <w:t>, gestor:</w:t>
      </w:r>
      <w:r w:rsidRPr="00BB50D2">
        <w:t xml:space="preserve"> </w:t>
      </w:r>
      <w:r w:rsidRPr="00BB50D2">
        <w:rPr>
          <w:rStyle w:val="Zvraznenie"/>
          <w:i w:val="0"/>
          <w:iCs w:val="0"/>
          <w:color w:val="auto"/>
        </w:rPr>
        <w:t>MPRV SR,</w:t>
      </w:r>
    </w:p>
    <w:p w14:paraId="0D773D21" w14:textId="77777777" w:rsidR="00F078FC" w:rsidRPr="00BB50D2" w:rsidRDefault="006A5395" w:rsidP="00F078FC">
      <w:pPr>
        <w:pStyle w:val="Default"/>
        <w:numPr>
          <w:ilvl w:val="0"/>
          <w:numId w:val="9"/>
        </w:numPr>
        <w:jc w:val="both"/>
        <w:rPr>
          <w:rStyle w:val="Zvraznenie"/>
          <w:i w:val="0"/>
          <w:iCs w:val="0"/>
          <w:color w:val="auto"/>
        </w:rPr>
      </w:pPr>
      <w:r w:rsidRPr="00BB50D2">
        <w:rPr>
          <w:rStyle w:val="Zvraznenie"/>
          <w:i w:val="0"/>
          <w:iCs w:val="0"/>
          <w:color w:val="auto"/>
        </w:rPr>
        <w:t>nariadenie Európskeho parlamentu a Rady (EÚ) 2021/2116 z 2. decembra 2021 o financovaní, riadení a monitorovaní spoločnej poľnohospodárskej politiky a o zrušení nariadenia (EÚ) č. 1306/2013 (Ú. v. EÚ L 435, 6.12.2021)</w:t>
      </w:r>
      <w:r w:rsidRPr="00BB50D2">
        <w:t xml:space="preserve"> v platnom znení</w:t>
      </w:r>
      <w:r w:rsidRPr="00BB50D2">
        <w:rPr>
          <w:rStyle w:val="Zvraznenie"/>
          <w:i w:val="0"/>
          <w:iCs w:val="0"/>
          <w:color w:val="auto"/>
        </w:rPr>
        <w:t>, gestor:</w:t>
      </w:r>
      <w:r w:rsidRPr="00BB50D2">
        <w:t xml:space="preserve"> </w:t>
      </w:r>
      <w:r w:rsidRPr="00BB50D2">
        <w:rPr>
          <w:rStyle w:val="Zvraznenie"/>
          <w:i w:val="0"/>
          <w:iCs w:val="0"/>
          <w:color w:val="auto"/>
        </w:rPr>
        <w:t xml:space="preserve">MPRV SR, </w:t>
      </w:r>
    </w:p>
    <w:p w14:paraId="3270D057" w14:textId="77777777" w:rsidR="00977C56" w:rsidRPr="00BB50D2" w:rsidRDefault="006C4AC3" w:rsidP="00977C56">
      <w:pPr>
        <w:pStyle w:val="Default"/>
        <w:numPr>
          <w:ilvl w:val="0"/>
          <w:numId w:val="9"/>
        </w:numPr>
        <w:jc w:val="both"/>
        <w:rPr>
          <w:rStyle w:val="Zvraznenie"/>
          <w:i w:val="0"/>
          <w:iCs w:val="0"/>
          <w:color w:val="auto"/>
        </w:rPr>
      </w:pPr>
      <w:r w:rsidRPr="00BB50D2">
        <w:t>nariadenie Európskeho parlamentu a Rady (EÚ) 2021/1060 z 24. júna 2021, ktorým sa stanovujú spoločné ustanovenia o Európskom fonde regionálneho rozvoja, Európskom sociálnom fonde plus, Kohéznom fonde, Fonde na spravodlivú transformáciu a Európskom námornom a rybolovnom a </w:t>
      </w:r>
      <w:proofErr w:type="spellStart"/>
      <w:r w:rsidRPr="00BB50D2">
        <w:t>akvakulturálnom</w:t>
      </w:r>
      <w:proofErr w:type="spellEnd"/>
      <w:r w:rsidRPr="00BB50D2">
        <w:t xml:space="preserve"> fonde a rozpočtové pravidlá pre uvedené fondy, ako </w:t>
      </w:r>
      <w:r w:rsidRPr="00BB50D2">
        <w:lastRenderedPageBreak/>
        <w:t xml:space="preserve">aj pre Fond pre azyl,  migráciu a integráciu, Fond pre vnútornú bezpečnosť a Nástroj finančnej podpory na riadenie hraníc a vízovú politiku </w:t>
      </w:r>
      <w:r w:rsidRPr="00BB50D2">
        <w:rPr>
          <w:color w:val="auto"/>
          <w:shd w:val="clear" w:color="auto" w:fill="FFFFFF"/>
        </w:rPr>
        <w:t>(</w:t>
      </w:r>
      <w:r w:rsidRPr="00BB50D2">
        <w:rPr>
          <w:rStyle w:val="Zvraznenie"/>
          <w:rFonts w:eastAsiaTheme="majorEastAsia"/>
          <w:i w:val="0"/>
          <w:color w:val="auto"/>
          <w:shd w:val="clear" w:color="auto" w:fill="FFFFFF"/>
        </w:rPr>
        <w:t>Ú. v. EÚ L 231, 30.6.2021)</w:t>
      </w:r>
      <w:r w:rsidR="009945EE" w:rsidRPr="00BB50D2">
        <w:t xml:space="preserve"> v platnom znení</w:t>
      </w:r>
      <w:r w:rsidRPr="00BB50D2">
        <w:rPr>
          <w:rStyle w:val="Zvraznenie"/>
          <w:rFonts w:eastAsiaTheme="majorEastAsia"/>
          <w:i w:val="0"/>
          <w:color w:val="auto"/>
          <w:shd w:val="clear" w:color="auto" w:fill="FFFFFF"/>
        </w:rPr>
        <w:t xml:space="preserve">, </w:t>
      </w:r>
      <w:r w:rsidRPr="00BB50D2">
        <w:rPr>
          <w:rStyle w:val="Zvraznenie"/>
          <w:i w:val="0"/>
          <w:iCs w:val="0"/>
          <w:color w:val="auto"/>
        </w:rPr>
        <w:t>gestori</w:t>
      </w:r>
      <w:r w:rsidR="00977C56" w:rsidRPr="00BB50D2">
        <w:rPr>
          <w:rStyle w:val="Zvraznenie"/>
          <w:rFonts w:eastAsiaTheme="majorEastAsia"/>
          <w:i w:val="0"/>
          <w:color w:val="auto"/>
          <w:shd w:val="clear" w:color="auto" w:fill="FFFFFF"/>
        </w:rPr>
        <w:t xml:space="preserve">: </w:t>
      </w:r>
      <w:r w:rsidR="009F70F1" w:rsidRPr="00BB50D2">
        <w:rPr>
          <w:rStyle w:val="Zvraznenie"/>
          <w:rFonts w:eastAsiaTheme="majorEastAsia"/>
          <w:i w:val="0"/>
          <w:color w:val="auto"/>
          <w:shd w:val="clear" w:color="auto" w:fill="FFFFFF"/>
        </w:rPr>
        <w:t xml:space="preserve">MIRRI SR, </w:t>
      </w:r>
      <w:r w:rsidRPr="00BB50D2">
        <w:rPr>
          <w:rStyle w:val="Zvraznenie"/>
          <w:rFonts w:eastAsiaTheme="majorEastAsia"/>
          <w:i w:val="0"/>
          <w:color w:val="auto"/>
          <w:shd w:val="clear" w:color="auto" w:fill="FFFFFF"/>
        </w:rPr>
        <w:t>MF SR, MV SR,</w:t>
      </w:r>
      <w:r w:rsidR="00977C56" w:rsidRPr="00BB50D2">
        <w:rPr>
          <w:rStyle w:val="Zvraznenie"/>
          <w:i w:val="0"/>
          <w:iCs w:val="0"/>
          <w:color w:val="auto"/>
        </w:rPr>
        <w:t xml:space="preserve"> MPSVR SR, MH SR, MŽP SR, </w:t>
      </w:r>
      <w:r w:rsidR="005F2E8E" w:rsidRPr="00BB50D2">
        <w:rPr>
          <w:rStyle w:val="Zvraznenie"/>
          <w:i w:val="0"/>
          <w:iCs w:val="0"/>
          <w:color w:val="auto"/>
        </w:rPr>
        <w:t>MPRV SR,</w:t>
      </w:r>
    </w:p>
    <w:p w14:paraId="2CF559AC" w14:textId="77777777" w:rsidR="00C01D0C" w:rsidRPr="00BB50D2" w:rsidRDefault="009C4012" w:rsidP="002D3B52">
      <w:pPr>
        <w:pStyle w:val="Default"/>
        <w:numPr>
          <w:ilvl w:val="0"/>
          <w:numId w:val="9"/>
        </w:numPr>
        <w:ind w:left="1276" w:hanging="284"/>
        <w:jc w:val="both"/>
      </w:pPr>
      <w:r w:rsidRPr="00BB50D2">
        <w:t xml:space="preserve"> </w:t>
      </w:r>
      <w:r w:rsidR="006779DA" w:rsidRPr="00BB50D2">
        <w:t>nariadenie Komisie (EÚ) č. 651/2014 zo 17. júna 2014 o vyhlásení určitých kategórií pomoci za zlučiteľné s vnútorným trhom podľa článkov 107 a 108 zmluvy (Ú. v. EÚ L 187, 26.6.2014) v platnom znení,</w:t>
      </w:r>
      <w:r w:rsidR="00C01D0C" w:rsidRPr="00BB50D2">
        <w:t xml:space="preserve"> </w:t>
      </w:r>
      <w:r w:rsidRPr="00BB50D2">
        <w:rPr>
          <w:rStyle w:val="Zvraznenie"/>
          <w:i w:val="0"/>
          <w:iCs w:val="0"/>
          <w:color w:val="auto"/>
        </w:rPr>
        <w:t>gestori</w:t>
      </w:r>
      <w:r w:rsidR="00C01D0C" w:rsidRPr="00BB50D2">
        <w:t xml:space="preserve">: </w:t>
      </w:r>
      <w:r w:rsidR="009673B3" w:rsidRPr="00BB50D2">
        <w:t xml:space="preserve">PÚ SR, MH SR, MPRV SR, MPSVR SR, </w:t>
      </w:r>
      <w:r w:rsidR="00824C38" w:rsidRPr="00BB50D2">
        <w:rPr>
          <w:rStyle w:val="Vrazn"/>
          <w:rFonts w:eastAsiaTheme="majorEastAsia"/>
          <w:b w:val="0"/>
          <w:bCs w:val="0"/>
        </w:rPr>
        <w:t>MŠVVM</w:t>
      </w:r>
      <w:r w:rsidR="009673B3" w:rsidRPr="00BB50D2">
        <w:t xml:space="preserve"> SR, MŽP SR, </w:t>
      </w:r>
      <w:r w:rsidR="002E1642" w:rsidRPr="00BB50D2">
        <w:rPr>
          <w:rStyle w:val="Vrazn"/>
          <w:rFonts w:eastAsiaTheme="majorEastAsia"/>
          <w:b w:val="0"/>
          <w:bCs w:val="0"/>
        </w:rPr>
        <w:t>MD</w:t>
      </w:r>
      <w:r w:rsidR="009673B3" w:rsidRPr="00BB50D2">
        <w:t xml:space="preserve"> SR, MK SR,</w:t>
      </w:r>
    </w:p>
    <w:p w14:paraId="5B7DDA93" w14:textId="77777777" w:rsidR="002D3B52" w:rsidRPr="00BB50D2" w:rsidRDefault="002D3B52" w:rsidP="002D3B52">
      <w:pPr>
        <w:pStyle w:val="Default"/>
        <w:numPr>
          <w:ilvl w:val="0"/>
          <w:numId w:val="9"/>
        </w:numPr>
        <w:ind w:left="1276" w:hanging="284"/>
        <w:jc w:val="both"/>
        <w:rPr>
          <w:iCs/>
        </w:rPr>
      </w:pPr>
      <w:r w:rsidRPr="00BB50D2">
        <w:rPr>
          <w:bCs/>
          <w:iCs/>
        </w:rPr>
        <w:t>nariadenie Európskeho parlamentu a Rady (EÚ) č. 508/2014 z  15. mája 2014 o Európskom námornom a rybárskom fonde, ktorým sa zrušujú nariadenia Rady (ES) č. 2328/2003, (ES) č. 861/2006, (ES) č. 1198/2006 a (ES) č. 791/2007 a nariadenie Európskeho parlamentu a Rady (EÚ) č. 1255/2011 (Ú. v. EÚ L 149, 20.5.2014) v platnom znení,</w:t>
      </w:r>
      <w:r w:rsidR="0099117E" w:rsidRPr="00BB50D2">
        <w:rPr>
          <w:bCs/>
          <w:iCs/>
        </w:rPr>
        <w:t xml:space="preserve"> </w:t>
      </w:r>
      <w:r w:rsidR="0099117E" w:rsidRPr="00BB50D2">
        <w:t>gestor: MPRV SR,</w:t>
      </w:r>
    </w:p>
    <w:p w14:paraId="063710FF" w14:textId="77777777" w:rsidR="002D3B52" w:rsidRPr="00BB50D2" w:rsidRDefault="002D3B52" w:rsidP="002D3B52">
      <w:pPr>
        <w:pStyle w:val="Default"/>
        <w:ind w:left="1276" w:hanging="283"/>
        <w:jc w:val="both"/>
      </w:pPr>
      <w:r w:rsidRPr="00BB50D2">
        <w:t>-</w:t>
      </w:r>
      <w:r w:rsidRPr="00BB50D2">
        <w:tab/>
        <w:t xml:space="preserve">nariadenie Európskeho parlamentu a Rady (EÚ) č. 514/2014 zo 16. apríla 2014, ktorým sa stanovujú všeobecné ustanovenia o Fonde pre azyl, migráciu </w:t>
      </w:r>
      <w:r w:rsidRPr="00BB50D2">
        <w:br/>
        <w:t>a integráciu a o nástroji pre finančnú podporu v oblasti policajnej spolupráce, predchádzania trestnej činnosti, boja proti trestnej činnosti a krízového riadenia (Ú. v. EÚ L 150, 20.5.2014)</w:t>
      </w:r>
      <w:r w:rsidR="00582857" w:rsidRPr="00BB50D2">
        <w:t xml:space="preserve"> v platnom znení</w:t>
      </w:r>
      <w:r w:rsidRPr="00BB50D2">
        <w:t>,</w:t>
      </w:r>
      <w:r w:rsidR="0099117E" w:rsidRPr="00BB50D2">
        <w:t xml:space="preserve"> </w:t>
      </w:r>
      <w:r w:rsidR="009C4012" w:rsidRPr="00BB50D2">
        <w:rPr>
          <w:rStyle w:val="Zvraznenie"/>
          <w:i w:val="0"/>
          <w:iCs w:val="0"/>
          <w:color w:val="auto"/>
        </w:rPr>
        <w:t>gestori</w:t>
      </w:r>
      <w:r w:rsidR="0099117E" w:rsidRPr="00BB50D2">
        <w:t>: MV SR, MS SR, GP SR,</w:t>
      </w:r>
    </w:p>
    <w:p w14:paraId="0993C714" w14:textId="77777777" w:rsidR="002D3B52" w:rsidRPr="00BB50D2" w:rsidRDefault="002D3B52" w:rsidP="002D3B52">
      <w:pPr>
        <w:pStyle w:val="Default"/>
        <w:ind w:left="1276" w:hanging="283"/>
        <w:jc w:val="both"/>
      </w:pPr>
      <w:r w:rsidRPr="00BB50D2">
        <w:t>-</w:t>
      </w:r>
      <w:r w:rsidRPr="00BB50D2">
        <w:tab/>
        <w:t xml:space="preserve">nariadenie Európskeho parlamentu a Rady (EÚ) č. 515/2014 zo 16. apríla 2014, ktorým sa ako súčasť Fondu pre vnútornú bezpečnosť zriaďuje nástroj </w:t>
      </w:r>
      <w:r w:rsidRPr="00BB50D2">
        <w:br/>
        <w:t>pre finančnú podporu v oblasti vonkajších hraníc a víz a ktorým sa zrušuje rozhodnutie č. 574/2007/ES (Ú. v. EÚ L 150, 20.5.2014</w:t>
      </w:r>
      <w:r w:rsidR="00582857" w:rsidRPr="00BB50D2">
        <w:t>)</w:t>
      </w:r>
      <w:r w:rsidR="0099117E" w:rsidRPr="00BB50D2">
        <w:t xml:space="preserve"> </w:t>
      </w:r>
      <w:r w:rsidR="00ED2675" w:rsidRPr="00BB50D2">
        <w:t xml:space="preserve">v platnom znení, </w:t>
      </w:r>
      <w:r w:rsidR="009C4012" w:rsidRPr="00BB50D2">
        <w:rPr>
          <w:rStyle w:val="Zvraznenie"/>
          <w:i w:val="0"/>
          <w:iCs w:val="0"/>
          <w:color w:val="auto"/>
        </w:rPr>
        <w:t>gestori</w:t>
      </w:r>
      <w:r w:rsidR="0099117E" w:rsidRPr="00BB50D2">
        <w:t>: MV SR, MZVEZ SR,</w:t>
      </w:r>
    </w:p>
    <w:p w14:paraId="054905D6" w14:textId="77777777" w:rsidR="002D3B52" w:rsidRPr="00BB50D2" w:rsidRDefault="002D3B52" w:rsidP="002D3B52">
      <w:pPr>
        <w:pStyle w:val="Default"/>
        <w:ind w:left="1276" w:hanging="283"/>
        <w:jc w:val="both"/>
      </w:pPr>
      <w:r w:rsidRPr="00BB50D2">
        <w:t>-</w:t>
      </w:r>
      <w:r w:rsidRPr="00BB50D2">
        <w:tab/>
        <w:t xml:space="preserve">nariadenie Európskeho parlamentu a Rady (EÚ) č. 516/2014 zo 16. apríla 2014, ktorým sa zriaďuje Fond pre azyl, migráciu a integráciu, a ktorým sa mení rozhodnutie Rady 2008/381/ES a rušia rozhodnutia Európskeho parlamentu </w:t>
      </w:r>
      <w:r w:rsidRPr="00BB50D2">
        <w:br/>
        <w:t xml:space="preserve">a Rady č. 573/2007/ES a č. 575/2007/ES a rozhodnutie Rady 2007/435/ES </w:t>
      </w:r>
      <w:r w:rsidRPr="00BB50D2">
        <w:br/>
        <w:t>(Ú. v. EÚ L 150, 20.5.</w:t>
      </w:r>
      <w:r w:rsidR="00916FEB" w:rsidRPr="00BB50D2">
        <w:t>2014)</w:t>
      </w:r>
      <w:r w:rsidRPr="00BB50D2">
        <w:t xml:space="preserve"> </w:t>
      </w:r>
      <w:r w:rsidR="009561FF" w:rsidRPr="00BB50D2">
        <w:t xml:space="preserve">v platnom znení, </w:t>
      </w:r>
      <w:r w:rsidR="0099117E" w:rsidRPr="00BB50D2">
        <w:t>gestor: MV SR,</w:t>
      </w:r>
    </w:p>
    <w:p w14:paraId="5D71A5BA" w14:textId="77777777" w:rsidR="0099117E" w:rsidRPr="00BB50D2" w:rsidRDefault="002D3B52" w:rsidP="0099117E">
      <w:pPr>
        <w:pStyle w:val="Default"/>
        <w:ind w:left="1276" w:hanging="283"/>
        <w:jc w:val="both"/>
      </w:pPr>
      <w:r w:rsidRPr="00BB50D2">
        <w:t>-</w:t>
      </w:r>
      <w:r w:rsidRPr="00BB50D2">
        <w:tab/>
        <w:t xml:space="preserve">nariadenie Európskeho parlamentu a Rady (EÚ) č. 537/2014 zo 16. apríla 2014 </w:t>
      </w:r>
      <w:r w:rsidRPr="00BB50D2">
        <w:br/>
        <w:t>o osobitných požiadavkách týkajúcich sa štatutárneho auditu subjektov verejného záujmu a o zrušení rozhodnutia Komisie 2005/909/ES (Ú. v. EÚ L 158, 27.5.2014)</w:t>
      </w:r>
      <w:r w:rsidR="00916FEB" w:rsidRPr="00BB50D2">
        <w:t xml:space="preserve"> v platnom znení</w:t>
      </w:r>
      <w:r w:rsidRPr="00BB50D2">
        <w:t>,</w:t>
      </w:r>
      <w:r w:rsidR="0099117E" w:rsidRPr="00BB50D2">
        <w:t xml:space="preserve"> gestor: MF SR,</w:t>
      </w:r>
    </w:p>
    <w:p w14:paraId="6BEFB93E" w14:textId="77777777" w:rsidR="006779DA" w:rsidRPr="00BB50D2" w:rsidRDefault="006779DA" w:rsidP="006779DA">
      <w:pPr>
        <w:pStyle w:val="Default"/>
        <w:ind w:left="1276" w:hanging="283"/>
        <w:jc w:val="both"/>
      </w:pPr>
      <w:r w:rsidRPr="00BB50D2">
        <w:t>-</w:t>
      </w:r>
      <w:r w:rsidRPr="00BB50D2">
        <w:tab/>
        <w:t xml:space="preserve">nariadenie Európskeho parlamentu a Rady (EÚ) č. 223/2014 z 11. marca 2014 </w:t>
      </w:r>
      <w:r w:rsidRPr="00BB50D2">
        <w:br/>
        <w:t>o Fonde európskej pomoci pre najodkázanejšie osoby (Ú. v. EÚ L 72, 12.3.2014),</w:t>
      </w:r>
      <w:r w:rsidR="001C232C" w:rsidRPr="00BB50D2">
        <w:t xml:space="preserve"> </w:t>
      </w:r>
      <w:r w:rsidR="00A616AB" w:rsidRPr="00BB50D2">
        <w:t xml:space="preserve">v platnom znení, </w:t>
      </w:r>
      <w:r w:rsidR="001C232C" w:rsidRPr="00BB50D2">
        <w:t>gestor:</w:t>
      </w:r>
      <w:r w:rsidR="000F77B9" w:rsidRPr="00BB50D2">
        <w:t xml:space="preserve"> MPSVR SR</w:t>
      </w:r>
    </w:p>
    <w:p w14:paraId="66A27635" w14:textId="77777777" w:rsidR="006779DA" w:rsidRPr="00BB50D2" w:rsidRDefault="006779DA" w:rsidP="006779DA">
      <w:pPr>
        <w:pStyle w:val="Default"/>
        <w:ind w:left="1276" w:hanging="283"/>
        <w:jc w:val="both"/>
      </w:pPr>
      <w:r w:rsidRPr="00BB50D2">
        <w:t>-</w:t>
      </w:r>
      <w:r w:rsidRPr="00BB50D2">
        <w:tab/>
        <w:t>nariadenie Európskeho parlamentu a Rady (EÚ) č. 1299/2013 zo 17. decembra 2013 o osobitných ustanoveniach na podporu cieľa Európska územná spolupráca z Európskeho fondu regionálneho rozvo</w:t>
      </w:r>
      <w:r w:rsidR="009C6408" w:rsidRPr="00BB50D2">
        <w:t>ja (Ú. v. EÚ L 347, 20.12.2013),</w:t>
      </w:r>
      <w:r w:rsidR="00F77C2E" w:rsidRPr="00BB50D2">
        <w:t xml:space="preserve"> </w:t>
      </w:r>
      <w:r w:rsidR="009C4012" w:rsidRPr="00BB50D2">
        <w:rPr>
          <w:rStyle w:val="Zvraznenie"/>
          <w:i w:val="0"/>
          <w:iCs w:val="0"/>
          <w:color w:val="auto"/>
        </w:rPr>
        <w:t>gestori</w:t>
      </w:r>
      <w:r w:rsidR="00FA2DB5" w:rsidRPr="00BB50D2">
        <w:t xml:space="preserve">: </w:t>
      </w:r>
      <w:r w:rsidR="00A520AB" w:rsidRPr="00BB50D2">
        <w:t>MIRRI SR</w:t>
      </w:r>
      <w:r w:rsidR="00FA2DB5" w:rsidRPr="00BB50D2">
        <w:t>, MPRV SR, MH SR, MF SR</w:t>
      </w:r>
      <w:r w:rsidR="0052039F" w:rsidRPr="00BB50D2">
        <w:t>,</w:t>
      </w:r>
    </w:p>
    <w:p w14:paraId="019DC4AC" w14:textId="77777777" w:rsidR="006779DA" w:rsidRPr="00BB50D2" w:rsidRDefault="006779DA" w:rsidP="006779DA">
      <w:pPr>
        <w:pStyle w:val="Default"/>
        <w:ind w:left="1276" w:hanging="283"/>
        <w:jc w:val="both"/>
      </w:pPr>
      <w:r w:rsidRPr="00BB50D2">
        <w:t>-</w:t>
      </w:r>
      <w:r w:rsidRPr="00BB50D2">
        <w:tab/>
        <w:t>nariadenie Európskeho parlamentu a Rady (EÚ) č. 1300/2013 zo 17. decembra 2013 o Kohéznom fonde, ktorým sa zrušuje nariadenie Rady (ES) č. 1084/20</w:t>
      </w:r>
      <w:r w:rsidR="009C6408" w:rsidRPr="00BB50D2">
        <w:t>06 (Ú. v. EÚ L 347, 20.12.2013),</w:t>
      </w:r>
      <w:r w:rsidR="0052039F" w:rsidRPr="00BB50D2">
        <w:t xml:space="preserve"> </w:t>
      </w:r>
      <w:r w:rsidR="009C4012" w:rsidRPr="00BB50D2">
        <w:rPr>
          <w:rStyle w:val="Zvraznenie"/>
          <w:i w:val="0"/>
          <w:iCs w:val="0"/>
          <w:color w:val="auto"/>
        </w:rPr>
        <w:t>gestori</w:t>
      </w:r>
      <w:r w:rsidR="0052039F" w:rsidRPr="00BB50D2">
        <w:t xml:space="preserve">: </w:t>
      </w:r>
      <w:r w:rsidR="00ED760B" w:rsidRPr="00BB50D2">
        <w:t>MIRRI SR</w:t>
      </w:r>
      <w:r w:rsidR="0052039F" w:rsidRPr="00BB50D2">
        <w:t xml:space="preserve">, </w:t>
      </w:r>
      <w:r w:rsidR="002E1642" w:rsidRPr="00BB50D2">
        <w:rPr>
          <w:rStyle w:val="Vrazn"/>
          <w:rFonts w:eastAsiaTheme="majorEastAsia"/>
          <w:b w:val="0"/>
          <w:bCs w:val="0"/>
        </w:rPr>
        <w:t>MD</w:t>
      </w:r>
      <w:r w:rsidR="0052039F" w:rsidRPr="00BB50D2">
        <w:t xml:space="preserve"> SR, MŽP SR, MH SR, MF SR,</w:t>
      </w:r>
    </w:p>
    <w:p w14:paraId="1C8E9FCD" w14:textId="77777777" w:rsidR="006779DA" w:rsidRPr="00BB50D2" w:rsidRDefault="006779DA" w:rsidP="006779DA">
      <w:pPr>
        <w:pStyle w:val="Default"/>
        <w:ind w:left="1276" w:hanging="283"/>
        <w:jc w:val="both"/>
      </w:pPr>
      <w:r w:rsidRPr="00BB50D2">
        <w:t>-</w:t>
      </w:r>
      <w:r w:rsidRPr="00BB50D2">
        <w:tab/>
        <w:t>nariadenie Európskeho parlamentu a Rady (EÚ) č. 1301/2013 zo 17. decembra 2013 o Európskom fonde regionálneho rozvoja a o osobitných ustanoveniach týkajúcich sa cieľa Investovanie do rastu a zamestnanosti, a ktorým sa zrušuje nariadenie (ES) č. 1080/2006 (Ú. v. EÚ L 347, 20.12.2013),</w:t>
      </w:r>
      <w:r w:rsidR="0052039F" w:rsidRPr="00BB50D2">
        <w:t xml:space="preserve"> </w:t>
      </w:r>
      <w:r w:rsidR="002756E9" w:rsidRPr="00BB50D2">
        <w:t xml:space="preserve">v platnom znení, </w:t>
      </w:r>
      <w:r w:rsidR="009C4012" w:rsidRPr="00BB50D2">
        <w:rPr>
          <w:rStyle w:val="Zvraznenie"/>
          <w:i w:val="0"/>
          <w:iCs w:val="0"/>
          <w:color w:val="auto"/>
        </w:rPr>
        <w:t>gestori</w:t>
      </w:r>
      <w:r w:rsidR="0052039F" w:rsidRPr="00BB50D2">
        <w:t xml:space="preserve">: </w:t>
      </w:r>
      <w:r w:rsidR="00A520AB" w:rsidRPr="00BB50D2">
        <w:t>MIRRI SR</w:t>
      </w:r>
      <w:r w:rsidR="00824C38" w:rsidRPr="00BB50D2">
        <w:rPr>
          <w:rStyle w:val="Vrazn"/>
          <w:rFonts w:eastAsiaTheme="majorEastAsia"/>
          <w:b w:val="0"/>
          <w:bCs w:val="0"/>
        </w:rPr>
        <w:t>, MD SR, MŠVVM</w:t>
      </w:r>
      <w:r w:rsidR="0052039F" w:rsidRPr="00BB50D2">
        <w:rPr>
          <w:rStyle w:val="Vrazn"/>
          <w:rFonts w:eastAsiaTheme="majorEastAsia"/>
          <w:b w:val="0"/>
          <w:bCs w:val="0"/>
        </w:rPr>
        <w:t xml:space="preserve"> SR, MZ SR, MV SR, MPSVR SR, MH SR, MŽP SR, MF SR,</w:t>
      </w:r>
    </w:p>
    <w:p w14:paraId="2695407C" w14:textId="77777777" w:rsidR="006779DA" w:rsidRPr="00BB50D2" w:rsidRDefault="006779DA" w:rsidP="00816D89">
      <w:pPr>
        <w:pStyle w:val="Default"/>
        <w:ind w:left="1276" w:hanging="283"/>
        <w:jc w:val="both"/>
      </w:pPr>
      <w:r w:rsidRPr="00BB50D2">
        <w:t>-</w:t>
      </w:r>
      <w:r w:rsidRPr="00BB50D2">
        <w:tab/>
        <w:t xml:space="preserve">nariadenie Európskeho parlamentu a Rady (EÚ) č. 1303/2013 zo 17. decembra 2013, ktorým sa stanovujú spoločné ustanovenia o Európskom fonde regionálneho rozvoja, Európskom sociálnom fonde, Kohéznom fonde, </w:t>
      </w:r>
      <w:r w:rsidRPr="00BB50D2">
        <w:lastRenderedPageBreak/>
        <w:t xml:space="preserve">Európskom poľnohospodárskom fonde pre rozvoj vidieka a Európskom námornom a rybárskom fonde </w:t>
      </w:r>
      <w:r w:rsidR="009C4012" w:rsidRPr="00BB50D2">
        <w:t xml:space="preserve">a ktorým sa stanovujú všeobecné </w:t>
      </w:r>
      <w:r w:rsidR="007A4891" w:rsidRPr="00BB50D2">
        <w:t xml:space="preserve">ustanovenia </w:t>
      </w:r>
      <w:r w:rsidRPr="00BB50D2">
        <w:t>o Európskom fonde regionálneho rozvoja, Európskom sociálnom fonde, Kohéznom fonde a Európskom námornom</w:t>
      </w:r>
      <w:r w:rsidR="007A4891" w:rsidRPr="00BB50D2">
        <w:t xml:space="preserve"> a rybárskom fonde, a ktorým sa </w:t>
      </w:r>
      <w:r w:rsidRPr="00BB50D2">
        <w:t>zrušuje nariadenie Rady (ES) č. 1083/200</w:t>
      </w:r>
      <w:r w:rsidR="009C4012" w:rsidRPr="00BB50D2">
        <w:t xml:space="preserve">6 (Ú. v. EÚ L 347, 20.12.2013) </w:t>
      </w:r>
      <w:r w:rsidRPr="00BB50D2">
        <w:t>v platnom znení,</w:t>
      </w:r>
      <w:r w:rsidR="0052039F" w:rsidRPr="00BB50D2">
        <w:t xml:space="preserve"> </w:t>
      </w:r>
      <w:r w:rsidR="009C4012" w:rsidRPr="00BB50D2">
        <w:rPr>
          <w:rStyle w:val="Zvraznenie"/>
          <w:i w:val="0"/>
          <w:iCs w:val="0"/>
          <w:color w:val="auto"/>
        </w:rPr>
        <w:t>gestori</w:t>
      </w:r>
      <w:r w:rsidR="0052039F" w:rsidRPr="00BB50D2">
        <w:t xml:space="preserve">: </w:t>
      </w:r>
      <w:r w:rsidR="00A520AB" w:rsidRPr="00BB50D2">
        <w:t>MIRRI SR</w:t>
      </w:r>
      <w:r w:rsidR="0052039F" w:rsidRPr="00BB50D2">
        <w:rPr>
          <w:rStyle w:val="Vrazn"/>
          <w:rFonts w:eastAsiaTheme="majorEastAsia"/>
          <w:b w:val="0"/>
          <w:bCs w:val="0"/>
        </w:rPr>
        <w:t xml:space="preserve">, </w:t>
      </w:r>
      <w:r w:rsidR="002E1642" w:rsidRPr="00BB50D2">
        <w:rPr>
          <w:rStyle w:val="Vrazn"/>
          <w:rFonts w:eastAsiaTheme="majorEastAsia"/>
          <w:b w:val="0"/>
          <w:bCs w:val="0"/>
        </w:rPr>
        <w:t>MD</w:t>
      </w:r>
      <w:r w:rsidR="0052039F" w:rsidRPr="00BB50D2">
        <w:rPr>
          <w:rStyle w:val="Vrazn"/>
          <w:rFonts w:eastAsiaTheme="majorEastAsia"/>
          <w:b w:val="0"/>
          <w:bCs w:val="0"/>
        </w:rPr>
        <w:t xml:space="preserve"> SR, </w:t>
      </w:r>
      <w:r w:rsidR="00824C38" w:rsidRPr="00BB50D2">
        <w:rPr>
          <w:rStyle w:val="Vrazn"/>
          <w:rFonts w:eastAsiaTheme="majorEastAsia"/>
          <w:b w:val="0"/>
          <w:bCs w:val="0"/>
        </w:rPr>
        <w:t>MŠVVM</w:t>
      </w:r>
      <w:r w:rsidR="0052039F" w:rsidRPr="00BB50D2">
        <w:rPr>
          <w:rStyle w:val="Vrazn"/>
          <w:rFonts w:eastAsiaTheme="majorEastAsia"/>
          <w:b w:val="0"/>
          <w:bCs w:val="0"/>
        </w:rPr>
        <w:t xml:space="preserve"> SR, MZ SR, MV SR, MPSVR SR, MPRV SR, MH SR, MŽP SR, MF SR,</w:t>
      </w:r>
    </w:p>
    <w:p w14:paraId="46D79F30" w14:textId="77777777" w:rsidR="006779DA" w:rsidRPr="00BB50D2" w:rsidRDefault="006779DA" w:rsidP="006779DA">
      <w:pPr>
        <w:pStyle w:val="Default"/>
        <w:ind w:left="1276" w:hanging="283"/>
        <w:jc w:val="both"/>
      </w:pPr>
      <w:r w:rsidRPr="00BB50D2">
        <w:t>-</w:t>
      </w:r>
      <w:r w:rsidRPr="00BB50D2">
        <w:tab/>
        <w:t>nariadenie Európskeho parlamentu a Rady (EÚ) č. 1304/2013 z</w:t>
      </w:r>
      <w:r w:rsidR="001464F6" w:rsidRPr="00BB50D2">
        <w:t>o</w:t>
      </w:r>
      <w:r w:rsidRPr="00BB50D2">
        <w:t xml:space="preserve"> 17. decembra 2013 o Európskom sociálnom fonde a o zrušení nariadenia Rady (ES) </w:t>
      </w:r>
      <w:r w:rsidRPr="00BB50D2">
        <w:br/>
        <w:t>č. 1081/2006 (Ú. v. EÚ L 347, 20.12.2013) v platnom znení,</w:t>
      </w:r>
      <w:r w:rsidR="0052039F" w:rsidRPr="00BB50D2">
        <w:t xml:space="preserve"> </w:t>
      </w:r>
      <w:r w:rsidR="009C4012" w:rsidRPr="00BB50D2">
        <w:rPr>
          <w:rStyle w:val="Zvraznenie"/>
          <w:i w:val="0"/>
          <w:iCs w:val="0"/>
          <w:color w:val="auto"/>
        </w:rPr>
        <w:t>gestori</w:t>
      </w:r>
      <w:r w:rsidR="0052039F" w:rsidRPr="00BB50D2">
        <w:t xml:space="preserve">: </w:t>
      </w:r>
      <w:r w:rsidR="00ED760B" w:rsidRPr="00BB50D2">
        <w:t>MIRRI SR</w:t>
      </w:r>
      <w:r w:rsidR="0052039F" w:rsidRPr="00BB50D2">
        <w:t xml:space="preserve">, MPSVR SR, </w:t>
      </w:r>
      <w:r w:rsidR="00824C38" w:rsidRPr="00BB50D2">
        <w:rPr>
          <w:rStyle w:val="Vrazn"/>
          <w:rFonts w:eastAsiaTheme="majorEastAsia"/>
          <w:b w:val="0"/>
          <w:bCs w:val="0"/>
        </w:rPr>
        <w:t xml:space="preserve">MŠVVM </w:t>
      </w:r>
      <w:r w:rsidR="0052039F" w:rsidRPr="00BB50D2">
        <w:t>SR, MV SR, MF SR,</w:t>
      </w:r>
    </w:p>
    <w:p w14:paraId="5902D73B" w14:textId="77777777" w:rsidR="006779DA" w:rsidRPr="00BB50D2" w:rsidRDefault="006779DA" w:rsidP="006779DA">
      <w:pPr>
        <w:pStyle w:val="Default"/>
        <w:ind w:left="1276" w:hanging="283"/>
        <w:jc w:val="both"/>
      </w:pPr>
      <w:r w:rsidRPr="00BB50D2">
        <w:t>-</w:t>
      </w:r>
      <w:r w:rsidRPr="00BB50D2">
        <w:tab/>
        <w:t>nariadenie Európskeho parlamentu a Rady (EÚ) č. 1305/2013 zo 17. decembra 2013 o podpore rozvoja vidieka prostredníctvom Európskeho poľnohospodárskeho fondu pre rozvoj vidieka (EPFRV) a o zrušení nariadenia Rady (ES) č. 1698/2005 (Ú. v. EÚ L 347, 20.12.2013) v platnom znení,</w:t>
      </w:r>
      <w:r w:rsidR="009B6847" w:rsidRPr="00BB50D2">
        <w:t xml:space="preserve"> gestor: MPRV SR,</w:t>
      </w:r>
    </w:p>
    <w:p w14:paraId="5D07CC0C" w14:textId="77777777" w:rsidR="002D3B52" w:rsidRPr="00BB50D2" w:rsidRDefault="006779DA" w:rsidP="00FF3FC2">
      <w:pPr>
        <w:pStyle w:val="Default"/>
        <w:ind w:left="1276" w:hanging="283"/>
        <w:jc w:val="both"/>
      </w:pPr>
      <w:r w:rsidRPr="00BB50D2">
        <w:t>-</w:t>
      </w:r>
      <w:r w:rsidRPr="00BB50D2">
        <w:tab/>
        <w:t>nariadenie Európskeho parlamentu a Rady (EÚ) č. 1306/2013 zo 17. decembra 2013 o financovaní, riadení a monitorovaní spoločnej poľnohospodárskej politiky a ktorým sa zrušujú nariadenia Rady (EHS) č. 352/78, (ES) č. 165/94, (ES) č. 2799/98, (ES) č. 814/2000, (ES) č</w:t>
      </w:r>
      <w:r w:rsidR="009C4012" w:rsidRPr="00BB50D2">
        <w:t xml:space="preserve">. 1290/2005 a (ES) č. 485/2008 </w:t>
      </w:r>
      <w:r w:rsidRPr="00BB50D2">
        <w:t>(Ú. v. EÚ L 347, 20.12.2013) v platnom znení,</w:t>
      </w:r>
      <w:r w:rsidR="009B6847" w:rsidRPr="00BB50D2">
        <w:t xml:space="preserve"> gestor: MPRV SR,</w:t>
      </w:r>
    </w:p>
    <w:p w14:paraId="0F2BCB7E" w14:textId="77777777" w:rsidR="00552E74" w:rsidRPr="00BB50D2" w:rsidRDefault="00552E74" w:rsidP="00552E74">
      <w:pPr>
        <w:pStyle w:val="Default"/>
        <w:numPr>
          <w:ilvl w:val="0"/>
          <w:numId w:val="10"/>
        </w:numPr>
        <w:ind w:left="1276" w:hanging="284"/>
        <w:jc w:val="both"/>
      </w:pPr>
      <w:r w:rsidRPr="00BB50D2">
        <w:t xml:space="preserve">nariadenie Európskeho parlamentu a Rady (EÚ) č. 549/2013 z 21. mája 2013 </w:t>
      </w:r>
      <w:r w:rsidRPr="00BB50D2">
        <w:br/>
        <w:t xml:space="preserve">o európskom systéme národných a regionálnych účtov v Európskej únii </w:t>
      </w:r>
      <w:r w:rsidRPr="00BB50D2">
        <w:br/>
        <w:t>(Ú. v. EÚ L 174, 26.6.2013) v platnom znení,</w:t>
      </w:r>
      <w:r w:rsidR="009B6847" w:rsidRPr="00BB50D2">
        <w:t xml:space="preserve"> gestor: MF SR,</w:t>
      </w:r>
    </w:p>
    <w:p w14:paraId="1E2A602A" w14:textId="77777777" w:rsidR="00552E74" w:rsidRPr="00BB50D2" w:rsidRDefault="00552E74" w:rsidP="001464F6">
      <w:pPr>
        <w:pStyle w:val="Default"/>
        <w:ind w:left="1276" w:hanging="283"/>
        <w:jc w:val="both"/>
        <w:rPr>
          <w:bCs/>
          <w:iCs/>
        </w:rPr>
      </w:pPr>
      <w:r w:rsidRPr="00BB50D2">
        <w:t>-</w:t>
      </w:r>
      <w:r w:rsidRPr="00BB50D2">
        <w:tab/>
      </w:r>
      <w:r w:rsidRPr="00BB50D2">
        <w:rPr>
          <w:bCs/>
          <w:iCs/>
        </w:rPr>
        <w:t>delegované nariadenie Komisie (EÚ) č. 532/2014 z  13. marca 2014, ktorým sa dopĺňa nariadenie Európskeho parlamentu a Rady (EÚ) č. 223/2014 o Fonde európskej pomoci pre najodkázanejšie osoby (Ú. v. EÚ L 148, 20.5.2014)</w:t>
      </w:r>
      <w:r w:rsidR="001B0AD7" w:rsidRPr="00BB50D2">
        <w:t xml:space="preserve"> v platnom znení</w:t>
      </w:r>
      <w:r w:rsidRPr="00BB50D2">
        <w:rPr>
          <w:bCs/>
          <w:iCs/>
        </w:rPr>
        <w:t>,</w:t>
      </w:r>
      <w:r w:rsidR="00EA3FE9" w:rsidRPr="00BB50D2">
        <w:rPr>
          <w:bCs/>
          <w:iCs/>
        </w:rPr>
        <w:t xml:space="preserve"> </w:t>
      </w:r>
      <w:r w:rsidR="00EA3FE9" w:rsidRPr="00BB50D2">
        <w:t>gestor: MPSVR SR,</w:t>
      </w:r>
    </w:p>
    <w:p w14:paraId="5AB7F85C" w14:textId="77777777" w:rsidR="00552E74" w:rsidRPr="00BB50D2" w:rsidRDefault="00552E74" w:rsidP="00552E74">
      <w:pPr>
        <w:numPr>
          <w:ilvl w:val="0"/>
          <w:numId w:val="12"/>
        </w:numPr>
        <w:autoSpaceDE w:val="0"/>
        <w:autoSpaceDN w:val="0"/>
        <w:spacing w:before="0"/>
        <w:ind w:left="1276" w:hanging="284"/>
        <w:rPr>
          <w:bCs/>
          <w:iCs/>
          <w:lang w:eastAsia="en-US"/>
        </w:rPr>
      </w:pPr>
      <w:r w:rsidRPr="00BB50D2">
        <w:rPr>
          <w:bCs/>
          <w:iCs/>
          <w:lang w:eastAsia="en-US"/>
        </w:rPr>
        <w:t>delegované nariadenie Komisie (EÚ) č. 480/2014 z  3. marca 2014, ktorým sa dopĺňa nariadenie Európskeho parlamentu a Rady (EÚ) č. 1303/2013, ktorým sa stanovujú spoločné ustanovenia o Európskom fonde regionálneho rozvoja, Európskom sociálnom fonde, Kohéznom fonde, Európskom poľnohospodárskom fonde pre rozvoj vidieka a Európskom ná</w:t>
      </w:r>
      <w:r w:rsidR="00AA7656" w:rsidRPr="00BB50D2">
        <w:rPr>
          <w:bCs/>
          <w:iCs/>
          <w:lang w:eastAsia="en-US"/>
        </w:rPr>
        <w:t>mor</w:t>
      </w:r>
      <w:r w:rsidRPr="00BB50D2">
        <w:rPr>
          <w:bCs/>
          <w:iCs/>
          <w:lang w:eastAsia="en-US"/>
        </w:rPr>
        <w:t>nom a rybárskom fonde a ktorým sa stanovujú všeobecné ustanovenia o Európskom fonde regionálneho rozvoja, Európskom sociálnom fonde, Kohéznom fonde a Európskom námornom a rybárskom fonde (Ú. v. EÚ L 138, 13.5.2014) v platnom znení,</w:t>
      </w:r>
      <w:r w:rsidR="00EA3FE9" w:rsidRPr="00BB50D2">
        <w:rPr>
          <w:bCs/>
          <w:iCs/>
          <w:lang w:eastAsia="en-US"/>
        </w:rPr>
        <w:t xml:space="preserve"> </w:t>
      </w:r>
      <w:r w:rsidR="009C4012" w:rsidRPr="00BB50D2">
        <w:rPr>
          <w:rStyle w:val="Zvraznenie"/>
          <w:i w:val="0"/>
          <w:iCs w:val="0"/>
        </w:rPr>
        <w:t>gestori</w:t>
      </w:r>
      <w:r w:rsidR="00EA3FE9" w:rsidRPr="00BB50D2">
        <w:t xml:space="preserve">: </w:t>
      </w:r>
      <w:r w:rsidR="00ED760B" w:rsidRPr="00BB50D2">
        <w:t>MIRRI SR</w:t>
      </w:r>
      <w:r w:rsidR="00EA3FE9" w:rsidRPr="00BB50D2">
        <w:rPr>
          <w:rStyle w:val="Vrazn"/>
          <w:rFonts w:eastAsiaTheme="majorEastAsia"/>
          <w:b w:val="0"/>
          <w:bCs w:val="0"/>
        </w:rPr>
        <w:t xml:space="preserve">, </w:t>
      </w:r>
      <w:r w:rsidR="002E1642" w:rsidRPr="00BB50D2">
        <w:rPr>
          <w:rStyle w:val="Vrazn"/>
          <w:rFonts w:eastAsiaTheme="majorEastAsia"/>
          <w:b w:val="0"/>
          <w:bCs w:val="0"/>
        </w:rPr>
        <w:t>MD</w:t>
      </w:r>
      <w:r w:rsidR="00EA3FE9" w:rsidRPr="00BB50D2">
        <w:rPr>
          <w:rStyle w:val="Vrazn"/>
          <w:rFonts w:eastAsiaTheme="majorEastAsia"/>
          <w:b w:val="0"/>
          <w:bCs w:val="0"/>
        </w:rPr>
        <w:t xml:space="preserve"> SR, </w:t>
      </w:r>
      <w:r w:rsidR="00824C38" w:rsidRPr="00BB50D2">
        <w:rPr>
          <w:rStyle w:val="Vrazn"/>
          <w:rFonts w:eastAsiaTheme="majorEastAsia"/>
          <w:b w:val="0"/>
          <w:bCs w:val="0"/>
        </w:rPr>
        <w:t>MŠVVM</w:t>
      </w:r>
      <w:r w:rsidR="00EA3FE9" w:rsidRPr="00BB50D2">
        <w:rPr>
          <w:rStyle w:val="Vrazn"/>
          <w:rFonts w:eastAsiaTheme="majorEastAsia"/>
          <w:b w:val="0"/>
          <w:bCs w:val="0"/>
        </w:rPr>
        <w:t xml:space="preserve"> SR, MZ SR, MV SR, MPSVR SR, MPRV SR, MH SR, MŽP SR, MF SR,</w:t>
      </w:r>
    </w:p>
    <w:p w14:paraId="5EBFB7BD" w14:textId="77777777" w:rsidR="00552E74" w:rsidRPr="00BB50D2" w:rsidRDefault="00552E74" w:rsidP="009C4012">
      <w:pPr>
        <w:numPr>
          <w:ilvl w:val="0"/>
          <w:numId w:val="12"/>
        </w:numPr>
        <w:autoSpaceDE w:val="0"/>
        <w:autoSpaceDN w:val="0"/>
        <w:spacing w:before="0"/>
        <w:ind w:left="1276" w:hanging="284"/>
        <w:rPr>
          <w:bCs/>
          <w:iCs/>
          <w:lang w:eastAsia="en-US"/>
        </w:rPr>
      </w:pPr>
      <w:r w:rsidRPr="00BB50D2">
        <w:rPr>
          <w:iCs/>
          <w:lang w:eastAsia="en-US"/>
        </w:rPr>
        <w:t>v</w:t>
      </w:r>
      <w:r w:rsidRPr="00BB50D2">
        <w:rPr>
          <w:bCs/>
          <w:iCs/>
          <w:lang w:eastAsia="en-US"/>
        </w:rPr>
        <w:t>ykonávacie nariadenie Komisie (EÚ) č. 215/2014 zo 7. marca 2014, ktorým sa stanovujú pravidlá vykonávania nariadenia Európskeho parlamentu a Rady (EÚ) č. 1303/2013, ktorým sa stanovujú spoločné ustanovenia o Európskom fonde regionálneho rozvoja, Európskom sociálnom fonde, Kohéznom fonde, Európskom poľnohospodárskom fonde pre rozvoj vidieka a Európskom námornom a rybárskom fonde a ktorým sa stanovujú všeobecné ustanovenia o Európskom fonde regionálneho rozvoja, Európskom sociálnom fonde, Kohéznom fonde a Európskom námornom a rybárskom fonde v súvislosti s metodikami poskytovania podpory na riešenie zmeny klímy, určovaním čiastkových cieľov a zámerov vo výkonnostnom rámci a nomenklatúrou kategórií intervencií pre európske štrukturálne a investičné fondy (Ú. v. EÚ L 69, 08.03.2014) v platnom znení,</w:t>
      </w:r>
      <w:r w:rsidR="002D3D88" w:rsidRPr="00BB50D2">
        <w:rPr>
          <w:bCs/>
          <w:iCs/>
          <w:lang w:eastAsia="en-US"/>
        </w:rPr>
        <w:t xml:space="preserve"> </w:t>
      </w:r>
      <w:r w:rsidR="009C4012" w:rsidRPr="00BB50D2">
        <w:rPr>
          <w:rStyle w:val="Zvraznenie"/>
          <w:i w:val="0"/>
          <w:iCs w:val="0"/>
        </w:rPr>
        <w:t>gestori</w:t>
      </w:r>
      <w:r w:rsidR="002D3D88" w:rsidRPr="00BB50D2">
        <w:t xml:space="preserve">: </w:t>
      </w:r>
      <w:r w:rsidR="00ED760B" w:rsidRPr="00BB50D2">
        <w:t>MIRRI SR</w:t>
      </w:r>
      <w:r w:rsidR="002D3D88" w:rsidRPr="00BB50D2">
        <w:rPr>
          <w:rStyle w:val="Vrazn"/>
          <w:rFonts w:eastAsiaTheme="majorEastAsia"/>
          <w:b w:val="0"/>
          <w:bCs w:val="0"/>
        </w:rPr>
        <w:t xml:space="preserve">, </w:t>
      </w:r>
      <w:r w:rsidR="002E1642" w:rsidRPr="00BB50D2">
        <w:rPr>
          <w:rStyle w:val="Vrazn"/>
          <w:rFonts w:eastAsiaTheme="majorEastAsia"/>
          <w:b w:val="0"/>
          <w:bCs w:val="0"/>
        </w:rPr>
        <w:t>MD</w:t>
      </w:r>
      <w:r w:rsidR="002D3D88" w:rsidRPr="00BB50D2">
        <w:rPr>
          <w:rStyle w:val="Vrazn"/>
          <w:rFonts w:eastAsiaTheme="majorEastAsia"/>
          <w:b w:val="0"/>
          <w:bCs w:val="0"/>
        </w:rPr>
        <w:t xml:space="preserve"> SR, </w:t>
      </w:r>
      <w:r w:rsidR="00824C38" w:rsidRPr="00BB50D2">
        <w:rPr>
          <w:rStyle w:val="Vrazn"/>
          <w:rFonts w:eastAsiaTheme="majorEastAsia"/>
          <w:b w:val="0"/>
          <w:bCs w:val="0"/>
        </w:rPr>
        <w:t>MŠVVM</w:t>
      </w:r>
      <w:r w:rsidR="002D3D88" w:rsidRPr="00BB50D2">
        <w:rPr>
          <w:rStyle w:val="Vrazn"/>
          <w:rFonts w:eastAsiaTheme="majorEastAsia"/>
          <w:b w:val="0"/>
          <w:bCs w:val="0"/>
        </w:rPr>
        <w:t xml:space="preserve"> SR, MZ SR, MV SR, MPSVR SR, MPRV SR, MH SR, MŽP SR, MF SR,</w:t>
      </w:r>
    </w:p>
    <w:p w14:paraId="7BF8B116" w14:textId="77777777" w:rsidR="00552E74" w:rsidRPr="00BB50D2" w:rsidRDefault="00552E74" w:rsidP="00552E74">
      <w:pPr>
        <w:numPr>
          <w:ilvl w:val="0"/>
          <w:numId w:val="12"/>
        </w:numPr>
        <w:autoSpaceDE w:val="0"/>
        <w:autoSpaceDN w:val="0"/>
        <w:spacing w:before="0"/>
        <w:ind w:left="1276" w:hanging="284"/>
        <w:rPr>
          <w:bCs/>
          <w:iCs/>
          <w:lang w:eastAsia="en-US"/>
        </w:rPr>
      </w:pPr>
      <w:r w:rsidRPr="00BB50D2">
        <w:rPr>
          <w:bCs/>
          <w:iCs/>
          <w:lang w:eastAsia="en-US"/>
        </w:rPr>
        <w:lastRenderedPageBreak/>
        <w:t>delegované nariadenie Komisie (EÚ) č. 907/2014 z  11. marca 2014, ktorým sa dopĺňa nariadenie Európskeho parlamentu a Rady (EÚ) č. 1306/2013, pokiaľ ide o platobné agentúry a ostatné orgány, finančné hospodárenie, schvaľovanie účtovných závierok, zábezpeky a používanie eura (Ú. v. EÚ L 255, 28.8.2014) v platnom znení,</w:t>
      </w:r>
      <w:r w:rsidR="002D3D88" w:rsidRPr="00BB50D2">
        <w:rPr>
          <w:bCs/>
          <w:iCs/>
          <w:lang w:eastAsia="en-US"/>
        </w:rPr>
        <w:t xml:space="preserve"> </w:t>
      </w:r>
      <w:r w:rsidR="002D3D88" w:rsidRPr="00BB50D2">
        <w:t>gestor: MPRV SR,</w:t>
      </w:r>
    </w:p>
    <w:p w14:paraId="0EAE9A9F" w14:textId="77777777" w:rsidR="00552E74" w:rsidRPr="00BB50D2" w:rsidRDefault="00552E74" w:rsidP="009C4012">
      <w:pPr>
        <w:numPr>
          <w:ilvl w:val="0"/>
          <w:numId w:val="12"/>
        </w:numPr>
        <w:autoSpaceDE w:val="0"/>
        <w:autoSpaceDN w:val="0"/>
        <w:spacing w:before="0"/>
        <w:ind w:left="1276" w:hanging="284"/>
        <w:rPr>
          <w:bCs/>
          <w:iCs/>
          <w:lang w:eastAsia="en-US"/>
        </w:rPr>
      </w:pPr>
      <w:r w:rsidRPr="00BB50D2">
        <w:rPr>
          <w:bCs/>
          <w:iCs/>
          <w:lang w:eastAsia="en-US"/>
        </w:rPr>
        <w:t xml:space="preserve">rozhodnutie Rady z  26. júla 2010 o podpise a predbežnom vykonávaní Dohody medzi Európskou úniou, Islandom, Lichtenštajnskom a Nórskom o finančnom mechanizme EHP na obdobie rokov 2009 – 2014, Dohody medzi Európskou úniou a Nórskom o nórskom finančnom mechanizme na obdobie rokov 2009 – 2014, dodatkového protokolu k Dohode medzi Európskym hospodárskym spoločenstvom a Islandom, ktorý sa týka osobitných ustanovení uplatniteľných na dovoz určitých rýb a produktov rybného hospodárstva </w:t>
      </w:r>
      <w:r w:rsidR="003A0050" w:rsidRPr="00BB50D2">
        <w:rPr>
          <w:bCs/>
          <w:iCs/>
          <w:lang w:eastAsia="en-US"/>
        </w:rPr>
        <w:br/>
      </w:r>
      <w:r w:rsidRPr="00BB50D2">
        <w:rPr>
          <w:bCs/>
          <w:iCs/>
          <w:lang w:eastAsia="en-US"/>
        </w:rPr>
        <w:t>do Európskej únie na obdobie rokov 2009 – 2014 a dodatkového protokolu k Dohode medzi Európskym hospodárskym spoločenstvom a Nórskom, ktorý sa týka osobitných ustanovení uplatniteľných na dovoz určitých rýb a produktov rybného hospodárstva do Európskej únie na obdobie rokov 2009 – 2014</w:t>
      </w:r>
      <w:r w:rsidR="009C4012" w:rsidRPr="00BB50D2">
        <w:rPr>
          <w:bCs/>
          <w:iCs/>
          <w:lang w:eastAsia="en-US"/>
        </w:rPr>
        <w:t xml:space="preserve"> (2010/674/EÚ) (Ú. v. EÚ L 291,</w:t>
      </w:r>
      <w:r w:rsidRPr="00BB50D2">
        <w:rPr>
          <w:bCs/>
          <w:iCs/>
          <w:lang w:eastAsia="en-US"/>
        </w:rPr>
        <w:t>9.11.2010)</w:t>
      </w:r>
      <w:r w:rsidR="003A0050" w:rsidRPr="00BB50D2">
        <w:rPr>
          <w:bCs/>
          <w:iCs/>
          <w:lang w:eastAsia="en-US"/>
        </w:rPr>
        <w:t>,</w:t>
      </w:r>
      <w:r w:rsidR="003071E6" w:rsidRPr="00BB50D2">
        <w:rPr>
          <w:bCs/>
          <w:iCs/>
          <w:lang w:eastAsia="en-US"/>
        </w:rPr>
        <w:t xml:space="preserve"> </w:t>
      </w:r>
      <w:r w:rsidR="009C4012" w:rsidRPr="00BB50D2">
        <w:rPr>
          <w:rStyle w:val="Zvraznenie"/>
          <w:i w:val="0"/>
          <w:iCs w:val="0"/>
        </w:rPr>
        <w:t>gestori</w:t>
      </w:r>
      <w:r w:rsidR="003071E6" w:rsidRPr="00BB50D2">
        <w:t>: ÚV SR, MF SR, MPRV SR,</w:t>
      </w:r>
    </w:p>
    <w:p w14:paraId="5B6E8287" w14:textId="77777777" w:rsidR="00A05BAB" w:rsidRPr="00BB50D2" w:rsidRDefault="00A05BAB" w:rsidP="00552E74">
      <w:pPr>
        <w:numPr>
          <w:ilvl w:val="0"/>
          <w:numId w:val="12"/>
        </w:numPr>
        <w:autoSpaceDE w:val="0"/>
        <w:autoSpaceDN w:val="0"/>
        <w:spacing w:before="0"/>
        <w:ind w:left="1276" w:hanging="284"/>
        <w:rPr>
          <w:bCs/>
          <w:iCs/>
          <w:lang w:eastAsia="en-US"/>
        </w:rPr>
      </w:pPr>
      <w:r w:rsidRPr="00BB50D2">
        <w:rPr>
          <w:bCs/>
        </w:rPr>
        <w:t>nariadenie Rady (ES) č. 479/2009 z  25. mája 2009 o uplatňovaní Protokolu o postupe pri nadmernom schodku, ktorý tvorí prílohu Zmluvy o založení Európskeho spoločenstva (kodifikované znenie) (</w:t>
      </w:r>
      <w:r w:rsidRPr="00BB50D2">
        <w:rPr>
          <w:iCs/>
        </w:rPr>
        <w:t xml:space="preserve">Ú. v. EÚ L 145, 10.6.2009) </w:t>
      </w:r>
      <w:r w:rsidRPr="00BB50D2">
        <w:rPr>
          <w:bCs/>
          <w:iCs/>
          <w:lang w:eastAsia="en-US"/>
        </w:rPr>
        <w:t xml:space="preserve">v platnom znení, </w:t>
      </w:r>
      <w:r w:rsidRPr="00BB50D2">
        <w:t xml:space="preserve">gestor: </w:t>
      </w:r>
      <w:r w:rsidR="00161053" w:rsidRPr="00BB50D2">
        <w:t>MF SR, ŠÚ SR,</w:t>
      </w:r>
    </w:p>
    <w:p w14:paraId="39925ACC" w14:textId="77777777" w:rsidR="00576474" w:rsidRPr="00BB50D2" w:rsidRDefault="00576474" w:rsidP="00576474">
      <w:pPr>
        <w:pStyle w:val="Default"/>
        <w:ind w:left="1276" w:hanging="283"/>
        <w:jc w:val="both"/>
      </w:pPr>
      <w:r w:rsidRPr="00BB50D2">
        <w:t>-</w:t>
      </w:r>
      <w:r w:rsidRPr="00BB50D2">
        <w:tab/>
        <w:t>nariadenie Komisie (ES) č. 1828/2006 z 8. decembra 2006, ktorým sa stanovujú vykonávacie pravidlá nariadenia Rady (ES) č. 1083/2006, ktorým sa ustanovujú všeobecné ustanovenia o Európskom fonde regionálneho rozvoja, Európskom sociálnom fonde a Kohéznom fonde a nariadenia Európskeho parlamentu a Rady (ES) č. 1080/2006 o Európskom fonde regionálneho rozvoja (Ú. v. EÚ L 371, 27.12.2006) v platnom znení,</w:t>
      </w:r>
      <w:r w:rsidR="002D3D88" w:rsidRPr="00BB50D2">
        <w:t xml:space="preserve"> </w:t>
      </w:r>
      <w:r w:rsidR="009C4012" w:rsidRPr="00BB50D2">
        <w:rPr>
          <w:rStyle w:val="Zvraznenie"/>
          <w:i w:val="0"/>
          <w:iCs w:val="0"/>
          <w:color w:val="auto"/>
        </w:rPr>
        <w:t>gestori</w:t>
      </w:r>
      <w:r w:rsidR="002D3D88" w:rsidRPr="00BB50D2">
        <w:t xml:space="preserve">: </w:t>
      </w:r>
      <w:r w:rsidR="00ED760B" w:rsidRPr="00BB50D2">
        <w:t>MIRRI SR</w:t>
      </w:r>
      <w:r w:rsidR="002D3D88" w:rsidRPr="00BB50D2">
        <w:rPr>
          <w:rStyle w:val="Vrazn"/>
          <w:rFonts w:eastAsiaTheme="majorEastAsia"/>
          <w:b w:val="0"/>
          <w:bCs w:val="0"/>
        </w:rPr>
        <w:t xml:space="preserve">, </w:t>
      </w:r>
      <w:r w:rsidR="00824C38" w:rsidRPr="00BB50D2">
        <w:rPr>
          <w:rStyle w:val="Vrazn"/>
          <w:rFonts w:eastAsiaTheme="majorEastAsia"/>
          <w:b w:val="0"/>
          <w:bCs w:val="0"/>
        </w:rPr>
        <w:t>MŠVVM</w:t>
      </w:r>
      <w:r w:rsidR="002D3D88" w:rsidRPr="00BB50D2">
        <w:rPr>
          <w:rStyle w:val="Vrazn"/>
          <w:rFonts w:eastAsiaTheme="majorEastAsia"/>
          <w:b w:val="0"/>
          <w:bCs w:val="0"/>
        </w:rPr>
        <w:t xml:space="preserve"> SR, MZ SR, MPSVR SR, </w:t>
      </w:r>
      <w:r w:rsidR="002E1642" w:rsidRPr="00BB50D2">
        <w:rPr>
          <w:rStyle w:val="Vrazn"/>
          <w:rFonts w:eastAsiaTheme="majorEastAsia"/>
          <w:b w:val="0"/>
          <w:bCs w:val="0"/>
        </w:rPr>
        <w:t>MD</w:t>
      </w:r>
      <w:r w:rsidR="002D3D88" w:rsidRPr="00BB50D2">
        <w:rPr>
          <w:rStyle w:val="Vrazn"/>
          <w:rFonts w:eastAsiaTheme="majorEastAsia"/>
          <w:b w:val="0"/>
          <w:bCs w:val="0"/>
        </w:rPr>
        <w:t xml:space="preserve"> SR, MH SR, MŽP SR, MF SR</w:t>
      </w:r>
      <w:r w:rsidR="001A026F" w:rsidRPr="00BB50D2">
        <w:rPr>
          <w:rStyle w:val="Vrazn"/>
          <w:rFonts w:eastAsiaTheme="majorEastAsia"/>
          <w:b w:val="0"/>
          <w:bCs w:val="0"/>
        </w:rPr>
        <w:t>,</w:t>
      </w:r>
    </w:p>
    <w:p w14:paraId="3EB21136" w14:textId="77777777" w:rsidR="003A0050" w:rsidRPr="00BB50D2" w:rsidRDefault="003A0050" w:rsidP="003A0050">
      <w:pPr>
        <w:pStyle w:val="Default"/>
        <w:ind w:left="1276" w:hanging="283"/>
        <w:jc w:val="both"/>
        <w:rPr>
          <w:rStyle w:val="Vrazn"/>
          <w:rFonts w:eastAsiaTheme="majorEastAsia"/>
          <w:b w:val="0"/>
          <w:bCs w:val="0"/>
        </w:rPr>
      </w:pPr>
      <w:r w:rsidRPr="00BB50D2">
        <w:t>-</w:t>
      </w:r>
      <w:r w:rsidRPr="00BB50D2">
        <w:tab/>
        <w:t xml:space="preserve">nariadenie Európskeho parlamentu a Rady (ES) č. 1082/2006 z 5. júla 2006 </w:t>
      </w:r>
      <w:r w:rsidRPr="00BB50D2">
        <w:br/>
        <w:t>o Európskom zoskupení územnej spolupráce (EZÚS) (Ú. v. EÚ L 210, 31.07.2006) v platnom znení,</w:t>
      </w:r>
      <w:r w:rsidR="00731B80" w:rsidRPr="00BB50D2">
        <w:t xml:space="preserve"> </w:t>
      </w:r>
      <w:r w:rsidR="009C4012" w:rsidRPr="00BB50D2">
        <w:rPr>
          <w:rStyle w:val="Zvraznenie"/>
          <w:i w:val="0"/>
          <w:iCs w:val="0"/>
          <w:color w:val="auto"/>
        </w:rPr>
        <w:t>gestori</w:t>
      </w:r>
      <w:r w:rsidR="00731B80" w:rsidRPr="00BB50D2">
        <w:t xml:space="preserve">: </w:t>
      </w:r>
      <w:r w:rsidR="00ED760B" w:rsidRPr="00BB50D2">
        <w:t>MIRRI SR</w:t>
      </w:r>
      <w:r w:rsidR="00731B80" w:rsidRPr="00BB50D2">
        <w:rPr>
          <w:rStyle w:val="Vrazn"/>
          <w:rFonts w:eastAsiaTheme="majorEastAsia"/>
          <w:b w:val="0"/>
          <w:bCs w:val="0"/>
        </w:rPr>
        <w:t>, MS SR, MV SR,</w:t>
      </w:r>
    </w:p>
    <w:p w14:paraId="504B1AEF" w14:textId="77777777" w:rsidR="00D1178C" w:rsidRPr="00BB50D2" w:rsidRDefault="003A0050" w:rsidP="003A0050">
      <w:pPr>
        <w:pStyle w:val="Default"/>
        <w:ind w:left="1276" w:hanging="283"/>
        <w:jc w:val="both"/>
      </w:pPr>
      <w:r w:rsidRPr="00BB50D2">
        <w:t>-</w:t>
      </w:r>
      <w:r w:rsidRPr="00BB50D2">
        <w:tab/>
        <w:t xml:space="preserve">nariadenie Rady (ES, </w:t>
      </w:r>
      <w:proofErr w:type="spellStart"/>
      <w:r w:rsidRPr="00BB50D2">
        <w:t>Euratom</w:t>
      </w:r>
      <w:proofErr w:type="spellEnd"/>
      <w:r w:rsidRPr="00BB50D2">
        <w:t>) č. 2988/95 z 18. decembra 1995 o ochrane finančných záujmov Európskych spoločenstiev (</w:t>
      </w:r>
      <w:r w:rsidR="00ED25D8" w:rsidRPr="00BB50D2">
        <w:t xml:space="preserve">Mimoriadne vydanie Ú. v. EÚ, kap. 1/zv. 1; </w:t>
      </w:r>
      <w:r w:rsidR="003C35FC" w:rsidRPr="00BB50D2">
        <w:t>Ú. v. ES L 312, 23.12.1995</w:t>
      </w:r>
      <w:r w:rsidRPr="00BB50D2">
        <w:t>)</w:t>
      </w:r>
      <w:r w:rsidR="00ED25D8" w:rsidRPr="00BB50D2">
        <w:t>, gestor: MF SR</w:t>
      </w:r>
      <w:r w:rsidR="005B713A">
        <w:t>.</w:t>
      </w:r>
    </w:p>
    <w:p w14:paraId="6C552640" w14:textId="77777777" w:rsidR="00E36B26" w:rsidRPr="00BB50D2" w:rsidRDefault="00E36B26" w:rsidP="003A0050">
      <w:pPr>
        <w:pStyle w:val="Default"/>
        <w:ind w:left="1276" w:hanging="283"/>
        <w:jc w:val="both"/>
      </w:pPr>
    </w:p>
    <w:p w14:paraId="19A966E1" w14:textId="77777777" w:rsidR="00422AE9" w:rsidRPr="00BB50D2" w:rsidRDefault="000047D1" w:rsidP="00C37E9A">
      <w:pPr>
        <w:pStyle w:val="Default"/>
        <w:ind w:left="1276" w:hanging="283"/>
        <w:jc w:val="both"/>
      </w:pPr>
      <w:r w:rsidRPr="00BB50D2">
        <w:t xml:space="preserve">c) v judikatúre Súdneho dvora Európskej únie </w:t>
      </w:r>
    </w:p>
    <w:p w14:paraId="12DC8282" w14:textId="77777777" w:rsidR="00422AE9" w:rsidRPr="00BB50D2" w:rsidRDefault="00576474" w:rsidP="00C37E9A">
      <w:pPr>
        <w:pStyle w:val="Default"/>
        <w:ind w:left="1276" w:hanging="283"/>
        <w:jc w:val="both"/>
      </w:pPr>
      <w:r w:rsidRPr="00BB50D2">
        <w:tab/>
      </w:r>
      <w:r w:rsidR="00422AE9" w:rsidRPr="00BB50D2">
        <w:t xml:space="preserve"> </w:t>
      </w:r>
    </w:p>
    <w:p w14:paraId="3087749E" w14:textId="77777777" w:rsidR="00422AE9" w:rsidRPr="00BB50D2" w:rsidRDefault="00422AE9" w:rsidP="00422AE9">
      <w:pPr>
        <w:pStyle w:val="Default"/>
        <w:numPr>
          <w:ilvl w:val="0"/>
          <w:numId w:val="12"/>
        </w:numPr>
        <w:ind w:left="1276" w:hanging="283"/>
        <w:jc w:val="both"/>
      </w:pPr>
      <w:r w:rsidRPr="00BB50D2">
        <w:t>rozsudo</w:t>
      </w:r>
      <w:r w:rsidR="00BF054B" w:rsidRPr="00BB50D2">
        <w:t xml:space="preserve">k Súdneho dvora </w:t>
      </w:r>
      <w:r w:rsidR="00E95DBA" w:rsidRPr="00BB50D2">
        <w:t>vo veci C-562/12,</w:t>
      </w:r>
      <w:r w:rsidRPr="00BB50D2">
        <w:t xml:space="preserve"> </w:t>
      </w:r>
      <w:proofErr w:type="spellStart"/>
      <w:r w:rsidRPr="00BB50D2">
        <w:t>Liivimaa</w:t>
      </w:r>
      <w:proofErr w:type="spellEnd"/>
      <w:r w:rsidRPr="00BB50D2">
        <w:t xml:space="preserve"> </w:t>
      </w:r>
      <w:proofErr w:type="spellStart"/>
      <w:r w:rsidRPr="00BB50D2">
        <w:t>Lihaveis</w:t>
      </w:r>
      <w:proofErr w:type="spellEnd"/>
      <w:r w:rsidRPr="00BB50D2">
        <w:t xml:space="preserve"> MTÜ proti </w:t>
      </w:r>
      <w:proofErr w:type="spellStart"/>
      <w:r w:rsidRPr="00BB50D2">
        <w:t>Eesti‑Läti</w:t>
      </w:r>
      <w:proofErr w:type="spellEnd"/>
      <w:r w:rsidRPr="00BB50D2">
        <w:t xml:space="preserve"> </w:t>
      </w:r>
      <w:proofErr w:type="spellStart"/>
      <w:r w:rsidRPr="00BB50D2">
        <w:t>programmi</w:t>
      </w:r>
      <w:proofErr w:type="spellEnd"/>
      <w:r w:rsidR="00BF054B" w:rsidRPr="00BB50D2">
        <w:t xml:space="preserve"> </w:t>
      </w:r>
      <w:r w:rsidRPr="00BB50D2">
        <w:t xml:space="preserve">2007‑2013 </w:t>
      </w:r>
      <w:proofErr w:type="spellStart"/>
      <w:r w:rsidRPr="00BB50D2">
        <w:t>Seirekomitee</w:t>
      </w:r>
      <w:proofErr w:type="spellEnd"/>
      <w:r w:rsidR="00BF054B" w:rsidRPr="00BB50D2">
        <w:t xml:space="preserve"> [2014].</w:t>
      </w:r>
    </w:p>
    <w:p w14:paraId="57919E80" w14:textId="77777777" w:rsidR="00422AE9" w:rsidRPr="00BB50D2" w:rsidRDefault="00422AE9" w:rsidP="00422AE9">
      <w:pPr>
        <w:pStyle w:val="Default"/>
        <w:ind w:left="1276" w:hanging="283"/>
        <w:jc w:val="both"/>
      </w:pPr>
    </w:p>
    <w:p w14:paraId="087A6AD2" w14:textId="77777777" w:rsidR="00B956AC" w:rsidRPr="00BB50D2" w:rsidRDefault="00B956AC" w:rsidP="00FD020C">
      <w:pPr>
        <w:spacing w:before="240" w:after="120"/>
        <w:ind w:left="851"/>
        <w:rPr>
          <w:bCs/>
          <w:color w:val="000000"/>
          <w:u w:val="single"/>
        </w:rPr>
      </w:pPr>
      <w:r w:rsidRPr="00BB50D2">
        <w:rPr>
          <w:bCs/>
          <w:color w:val="000000"/>
          <w:u w:val="single"/>
        </w:rPr>
        <w:t xml:space="preserve">Výrok rozsudku </w:t>
      </w:r>
    </w:p>
    <w:p w14:paraId="5B60B75B" w14:textId="77777777" w:rsidR="00B956AC" w:rsidRPr="00BB50D2" w:rsidRDefault="00EC61D7" w:rsidP="00C20CF8">
      <w:pPr>
        <w:pStyle w:val="Default"/>
        <w:numPr>
          <w:ilvl w:val="0"/>
          <w:numId w:val="13"/>
        </w:numPr>
        <w:jc w:val="both"/>
      </w:pPr>
      <w:r w:rsidRPr="00BB50D2">
        <w:t>Článok 263 ZFEÚ sa má vykladať v tom zmysle, že v rámci operačného programu vyplývajúceho z nariadenia Rady (ES) č. 1083/2006 z 11. júla 2006, ktorým sa ustanovujú všeobecné ustanovenia o Európskom fonde regionálneho rozvoja, Európskom sociálnom fonde a Kohéznom fonde a ktorým sa zrušuje nariadenie (ES) č. 1260/1999, a nariadenia Európskeho parlamentu a Rady (ES) č. 1080/2006 z 5. júla 2006 o Európskom fonde regionálneho rozvoja, a ktorým sa zrušuje nariadenie (ES) č. 1783/1999, ktorého cieľom je podpora európskej územnej spolupráce, žaloba proti rozhodnutiu monitorovacieho výboru, ktorým sa zamieta žiadosť o podporu, nespadá do právomoci Súdneho dvora Európskej únie.</w:t>
      </w:r>
    </w:p>
    <w:p w14:paraId="2866F953" w14:textId="77777777" w:rsidR="00EC61D7" w:rsidRPr="00BB50D2" w:rsidRDefault="00EC61D7" w:rsidP="00EC61D7">
      <w:pPr>
        <w:pStyle w:val="Default"/>
        <w:jc w:val="both"/>
      </w:pPr>
    </w:p>
    <w:p w14:paraId="1177A1C6" w14:textId="77777777" w:rsidR="00B956AC" w:rsidRPr="00BB50D2" w:rsidRDefault="00EC61D7" w:rsidP="00EC61D7">
      <w:pPr>
        <w:pStyle w:val="Default"/>
        <w:numPr>
          <w:ilvl w:val="0"/>
          <w:numId w:val="13"/>
        </w:numPr>
        <w:jc w:val="both"/>
      </w:pPr>
      <w:r w:rsidRPr="00BB50D2">
        <w:t>Článok 267 prvý odsek písm. b) ZFEÚ sa má vykladať v tom zmysle, že programová príručka prijatá monitorovacím výborom v rámci operačného programu vyplývajúceho z nariadenia č. 1083/2006, ako aj z nariadenia č. 1080/2006, ktorého cieľom je podpora európskej územnej spolupráce medzi dvoma členskými štátmi, o aký ide vo veci samej, nie je akt prijatý inštitúciou, orgánom, úradom alebo agentúrou Únie, a preto Súdny dvor Európskej únie nemá právomoc posúdiť platnosť ustanovení takejto príručky.</w:t>
      </w:r>
    </w:p>
    <w:p w14:paraId="3585DA62" w14:textId="77777777" w:rsidR="00EC61D7" w:rsidRPr="00BB50D2" w:rsidRDefault="00EC61D7" w:rsidP="00EC61D7">
      <w:pPr>
        <w:pStyle w:val="Default"/>
        <w:ind w:left="1211"/>
        <w:jc w:val="both"/>
      </w:pPr>
    </w:p>
    <w:p w14:paraId="6B17B6F1" w14:textId="77777777" w:rsidR="00EC61D7" w:rsidRPr="00BB50D2" w:rsidRDefault="00EC61D7" w:rsidP="00EC61D7">
      <w:pPr>
        <w:pStyle w:val="Default"/>
        <w:numPr>
          <w:ilvl w:val="0"/>
          <w:numId w:val="13"/>
        </w:numPr>
        <w:jc w:val="both"/>
      </w:pPr>
      <w:r w:rsidRPr="00BB50D2">
        <w:t>Nariadenie č. 1083/2006 v spojení s článkom 47 Charty základných práv Európskej únie sa má vykladať v tom zmysle, že bráni takému ustanoveniu programovej príručky prijatej monitorovacím výborom v rámci operačného programu uzavretého medzi dvoma členskými štátmi, ktorého cieľom je podpora európskej územnej spolupráce, v rozsahu, v akom toto ustanovenie nestanovuje, že rozhodnutie tohto monitorovacieho výboru, ktorým sa zamieta žiadosť o podporu, možno napadnúť na súde členského štátu.</w:t>
      </w:r>
    </w:p>
    <w:p w14:paraId="07D2377C" w14:textId="77777777" w:rsidR="00EC61D7" w:rsidRPr="00BB50D2" w:rsidRDefault="00EC61D7" w:rsidP="00E0014E">
      <w:pPr>
        <w:pStyle w:val="Default"/>
        <w:ind w:left="1276" w:hanging="283"/>
        <w:jc w:val="both"/>
      </w:pPr>
    </w:p>
    <w:p w14:paraId="26A7544F" w14:textId="77777777" w:rsidR="00C37E9A" w:rsidRPr="00BB50D2" w:rsidRDefault="00C37E9A" w:rsidP="00C37E9A">
      <w:pPr>
        <w:pStyle w:val="Default"/>
        <w:numPr>
          <w:ilvl w:val="0"/>
          <w:numId w:val="12"/>
        </w:numPr>
        <w:ind w:left="1276" w:hanging="283"/>
        <w:jc w:val="both"/>
      </w:pPr>
      <w:r w:rsidRPr="00BB50D2">
        <w:t xml:space="preserve">rozsudok Súdneho dvora </w:t>
      </w:r>
      <w:r w:rsidR="00755761" w:rsidRPr="00BB50D2">
        <w:t>vo veci C-579/11</w:t>
      </w:r>
      <w:r w:rsidR="008D0C74" w:rsidRPr="00BB50D2">
        <w:t>,</w:t>
      </w:r>
      <w:r w:rsidR="00755761" w:rsidRPr="00BB50D2">
        <w:t xml:space="preserve"> </w:t>
      </w:r>
      <w:r w:rsidRPr="00BB50D2">
        <w:t xml:space="preserve">Grande </w:t>
      </w:r>
      <w:proofErr w:type="spellStart"/>
      <w:r w:rsidRPr="00BB50D2">
        <w:t>Área</w:t>
      </w:r>
      <w:proofErr w:type="spellEnd"/>
      <w:r w:rsidRPr="00BB50D2">
        <w:t xml:space="preserve"> </w:t>
      </w:r>
      <w:proofErr w:type="spellStart"/>
      <w:r w:rsidRPr="00BB50D2">
        <w:t>Metropolitana</w:t>
      </w:r>
      <w:proofErr w:type="spellEnd"/>
      <w:r w:rsidRPr="00BB50D2">
        <w:t xml:space="preserve"> do Porto (GAMP) proti </w:t>
      </w:r>
      <w:proofErr w:type="spellStart"/>
      <w:r w:rsidRPr="00BB50D2">
        <w:t>Comissão</w:t>
      </w:r>
      <w:proofErr w:type="spellEnd"/>
      <w:r w:rsidRPr="00BB50D2">
        <w:t xml:space="preserve"> </w:t>
      </w:r>
      <w:proofErr w:type="spellStart"/>
      <w:r w:rsidRPr="00BB50D2">
        <w:t>Directiva</w:t>
      </w:r>
      <w:proofErr w:type="spellEnd"/>
      <w:r w:rsidRPr="00BB50D2">
        <w:t xml:space="preserve"> do </w:t>
      </w:r>
      <w:proofErr w:type="spellStart"/>
      <w:r w:rsidRPr="00BB50D2">
        <w:t>Programa</w:t>
      </w:r>
      <w:proofErr w:type="spellEnd"/>
      <w:r w:rsidRPr="00BB50D2">
        <w:t xml:space="preserve"> </w:t>
      </w:r>
      <w:proofErr w:type="spellStart"/>
      <w:r w:rsidRPr="00BB50D2">
        <w:t>Operacional</w:t>
      </w:r>
      <w:proofErr w:type="spellEnd"/>
      <w:r w:rsidRPr="00BB50D2">
        <w:t xml:space="preserve"> </w:t>
      </w:r>
      <w:proofErr w:type="spellStart"/>
      <w:r w:rsidRPr="00BB50D2">
        <w:t>Potencial</w:t>
      </w:r>
      <w:proofErr w:type="spellEnd"/>
      <w:r w:rsidRPr="00BB50D2">
        <w:t xml:space="preserve"> </w:t>
      </w:r>
      <w:proofErr w:type="spellStart"/>
      <w:r w:rsidRPr="00BB50D2">
        <w:t>Humano</w:t>
      </w:r>
      <w:proofErr w:type="spellEnd"/>
      <w:r w:rsidRPr="00BB50D2">
        <w:t xml:space="preserve"> a i.</w:t>
      </w:r>
      <w:r w:rsidR="008D0C74" w:rsidRPr="00BB50D2">
        <w:t xml:space="preserve"> [2012].</w:t>
      </w:r>
    </w:p>
    <w:p w14:paraId="7C5A2061" w14:textId="77777777" w:rsidR="00C37E9A" w:rsidRPr="00BB50D2" w:rsidRDefault="00C37E9A" w:rsidP="00C37E9A">
      <w:pPr>
        <w:pStyle w:val="Default"/>
        <w:ind w:left="1276" w:hanging="283"/>
        <w:jc w:val="both"/>
      </w:pPr>
    </w:p>
    <w:p w14:paraId="28992698" w14:textId="77777777" w:rsidR="00B956AC" w:rsidRPr="00BB50D2" w:rsidRDefault="00B956AC" w:rsidP="00DD6930">
      <w:pPr>
        <w:pStyle w:val="ti-grseq-1"/>
        <w:ind w:left="851"/>
        <w:rPr>
          <w:color w:val="000000"/>
          <w:u w:val="single"/>
        </w:rPr>
      </w:pPr>
      <w:r w:rsidRPr="00BB50D2">
        <w:rPr>
          <w:rStyle w:val="bold"/>
          <w:bCs/>
          <w:color w:val="000000"/>
          <w:u w:val="single"/>
        </w:rPr>
        <w:t>Výrok rozsudku</w:t>
      </w:r>
      <w:r w:rsidRPr="00BB50D2">
        <w:rPr>
          <w:color w:val="000000"/>
          <w:u w:val="single"/>
        </w:rPr>
        <w:t xml:space="preserve"> </w:t>
      </w:r>
    </w:p>
    <w:p w14:paraId="166A6AB7" w14:textId="77777777" w:rsidR="00B956AC" w:rsidRPr="00BB50D2" w:rsidRDefault="00B956AC" w:rsidP="00DD6930">
      <w:pPr>
        <w:ind w:left="851"/>
        <w:rPr>
          <w:color w:val="000000"/>
        </w:rPr>
      </w:pPr>
      <w:r w:rsidRPr="00BB50D2">
        <w:rPr>
          <w:color w:val="000000"/>
        </w:rPr>
        <w:t>Ustanovenia primárneho práva Únie týkajúce sa hospodárskej, sociálnej a územnej súdržnosti, ako aj nariadenie Rady (ES) č. 1083/2006 z 11. júla 2006, ktorým sa ustanovujú všeobecné ustanovenia o Európskom fonde regionálneho rozvoja, Európskom sociálnom fonde</w:t>
      </w:r>
      <w:r w:rsidR="00DD6930" w:rsidRPr="00BB50D2">
        <w:rPr>
          <w:color w:val="000000"/>
        </w:rPr>
        <w:t xml:space="preserve"> </w:t>
      </w:r>
      <w:r w:rsidRPr="00BB50D2">
        <w:rPr>
          <w:color w:val="000000"/>
        </w:rPr>
        <w:t>a Kohéznom fonde a ktorým sa zrušuje nariadenie (ES) č. 1260/1999, sa majú vykladať tak, že nebránia tomu, aby sa investícia spolufinancovaná Európskou úniou realizovala jednak</w:t>
      </w:r>
      <w:r w:rsidR="00DD6930" w:rsidRPr="00BB50D2">
        <w:rPr>
          <w:color w:val="000000"/>
        </w:rPr>
        <w:t xml:space="preserve"> </w:t>
      </w:r>
      <w:r w:rsidRPr="00BB50D2">
        <w:rPr>
          <w:color w:val="000000"/>
        </w:rPr>
        <w:t>v prospech lokality mimo územia regiónov, ktoré sú oprávnené na podporu, a jednak subjektom, ktorý má sídlo v tejto lokalite, za podmienky, že táto investícia je realizovaná cielene a adresne smerom k oprávneným regiónom.</w:t>
      </w:r>
    </w:p>
    <w:p w14:paraId="0B8CABA0" w14:textId="77777777" w:rsidR="008731BA" w:rsidRPr="00BB50D2" w:rsidRDefault="008731BA" w:rsidP="00DD6930">
      <w:pPr>
        <w:ind w:left="851"/>
        <w:rPr>
          <w:color w:val="000000"/>
        </w:rPr>
      </w:pPr>
    </w:p>
    <w:p w14:paraId="2EA0D4FE" w14:textId="77777777" w:rsidR="008731BA" w:rsidRPr="00BB50D2" w:rsidRDefault="008731BA" w:rsidP="008731BA">
      <w:pPr>
        <w:pStyle w:val="Default"/>
        <w:numPr>
          <w:ilvl w:val="0"/>
          <w:numId w:val="12"/>
        </w:numPr>
        <w:ind w:left="1276" w:hanging="283"/>
        <w:jc w:val="both"/>
        <w:rPr>
          <w:color w:val="auto"/>
        </w:rPr>
      </w:pPr>
      <w:r w:rsidRPr="00BB50D2">
        <w:rPr>
          <w:color w:val="auto"/>
        </w:rPr>
        <w:t>rozsudok Súdneho dvora vo veci C</w:t>
      </w:r>
      <w:r w:rsidRPr="00BB50D2">
        <w:rPr>
          <w:color w:val="auto"/>
        </w:rPr>
        <w:noBreakHyphen/>
        <w:t xml:space="preserve">386/18, </w:t>
      </w:r>
      <w:proofErr w:type="spellStart"/>
      <w:r w:rsidRPr="00BB50D2">
        <w:rPr>
          <w:bCs/>
          <w:color w:val="auto"/>
        </w:rPr>
        <w:t>Coöperatieve</w:t>
      </w:r>
      <w:proofErr w:type="spellEnd"/>
      <w:r w:rsidRPr="00BB50D2">
        <w:rPr>
          <w:bCs/>
          <w:color w:val="auto"/>
        </w:rPr>
        <w:t xml:space="preserve"> </w:t>
      </w:r>
      <w:proofErr w:type="spellStart"/>
      <w:r w:rsidRPr="00BB50D2">
        <w:rPr>
          <w:bCs/>
          <w:color w:val="auto"/>
        </w:rPr>
        <w:t>Producentenorganisatie</w:t>
      </w:r>
      <w:proofErr w:type="spellEnd"/>
      <w:r w:rsidRPr="00BB50D2">
        <w:rPr>
          <w:bCs/>
          <w:color w:val="auto"/>
        </w:rPr>
        <w:t xml:space="preserve"> </w:t>
      </w:r>
      <w:proofErr w:type="spellStart"/>
      <w:r w:rsidRPr="00BB50D2">
        <w:rPr>
          <w:bCs/>
          <w:color w:val="auto"/>
        </w:rPr>
        <w:t>en</w:t>
      </w:r>
      <w:proofErr w:type="spellEnd"/>
      <w:r w:rsidRPr="00BB50D2">
        <w:rPr>
          <w:bCs/>
          <w:color w:val="auto"/>
        </w:rPr>
        <w:t xml:space="preserve"> </w:t>
      </w:r>
      <w:proofErr w:type="spellStart"/>
      <w:r w:rsidRPr="00BB50D2">
        <w:rPr>
          <w:bCs/>
          <w:color w:val="auto"/>
        </w:rPr>
        <w:t>Beheersgroep</w:t>
      </w:r>
      <w:proofErr w:type="spellEnd"/>
      <w:r w:rsidRPr="00BB50D2">
        <w:rPr>
          <w:bCs/>
          <w:color w:val="auto"/>
        </w:rPr>
        <w:t xml:space="preserve"> </w:t>
      </w:r>
      <w:proofErr w:type="spellStart"/>
      <w:r w:rsidRPr="00BB50D2">
        <w:rPr>
          <w:bCs/>
          <w:color w:val="auto"/>
        </w:rPr>
        <w:t>Texel</w:t>
      </w:r>
      <w:proofErr w:type="spellEnd"/>
      <w:r w:rsidRPr="00BB50D2">
        <w:rPr>
          <w:bCs/>
          <w:color w:val="auto"/>
        </w:rPr>
        <w:t xml:space="preserve"> UA </w:t>
      </w:r>
      <w:r w:rsidRPr="00BB50D2">
        <w:rPr>
          <w:color w:val="auto"/>
        </w:rPr>
        <w:t xml:space="preserve">proti </w:t>
      </w:r>
      <w:r w:rsidRPr="00BB50D2">
        <w:rPr>
          <w:bCs/>
          <w:color w:val="auto"/>
        </w:rPr>
        <w:t xml:space="preserve">Minister van </w:t>
      </w:r>
      <w:proofErr w:type="spellStart"/>
      <w:r w:rsidRPr="00BB50D2">
        <w:rPr>
          <w:bCs/>
          <w:color w:val="auto"/>
        </w:rPr>
        <w:t>Landbouw</w:t>
      </w:r>
      <w:proofErr w:type="spellEnd"/>
      <w:r w:rsidRPr="00BB50D2">
        <w:rPr>
          <w:bCs/>
          <w:color w:val="auto"/>
        </w:rPr>
        <w:t xml:space="preserve">, </w:t>
      </w:r>
      <w:proofErr w:type="spellStart"/>
      <w:r w:rsidRPr="00BB50D2">
        <w:rPr>
          <w:bCs/>
          <w:color w:val="auto"/>
        </w:rPr>
        <w:t>Natuur</w:t>
      </w:r>
      <w:proofErr w:type="spellEnd"/>
      <w:r w:rsidRPr="00BB50D2">
        <w:rPr>
          <w:bCs/>
          <w:color w:val="auto"/>
        </w:rPr>
        <w:t xml:space="preserve"> </w:t>
      </w:r>
      <w:proofErr w:type="spellStart"/>
      <w:r w:rsidRPr="00BB50D2">
        <w:rPr>
          <w:bCs/>
          <w:color w:val="auto"/>
        </w:rPr>
        <w:t>en</w:t>
      </w:r>
      <w:proofErr w:type="spellEnd"/>
      <w:r w:rsidRPr="00BB50D2">
        <w:rPr>
          <w:bCs/>
          <w:color w:val="auto"/>
        </w:rPr>
        <w:t xml:space="preserve"> </w:t>
      </w:r>
      <w:proofErr w:type="spellStart"/>
      <w:r w:rsidRPr="00BB50D2">
        <w:rPr>
          <w:bCs/>
          <w:color w:val="auto"/>
        </w:rPr>
        <w:t>Voedselkwaliteit</w:t>
      </w:r>
      <w:proofErr w:type="spellEnd"/>
      <w:r w:rsidRPr="00BB50D2">
        <w:rPr>
          <w:color w:val="auto"/>
        </w:rPr>
        <w:t xml:space="preserve"> [2019].</w:t>
      </w:r>
    </w:p>
    <w:p w14:paraId="6B17F321" w14:textId="77777777" w:rsidR="008731BA" w:rsidRPr="00BB50D2" w:rsidRDefault="008731BA" w:rsidP="008731BA">
      <w:pPr>
        <w:pStyle w:val="Default"/>
        <w:jc w:val="both"/>
        <w:rPr>
          <w:b/>
          <w:color w:val="auto"/>
        </w:rPr>
      </w:pPr>
    </w:p>
    <w:p w14:paraId="10D7378C" w14:textId="77777777" w:rsidR="008731BA" w:rsidRPr="00BB50D2" w:rsidRDefault="008731BA" w:rsidP="008731BA">
      <w:pPr>
        <w:pStyle w:val="ti-grseq-1"/>
        <w:ind w:left="851"/>
        <w:rPr>
          <w:u w:val="single"/>
        </w:rPr>
      </w:pPr>
      <w:r w:rsidRPr="00BB50D2">
        <w:rPr>
          <w:rFonts w:ascii="Arial" w:hAnsi="Arial" w:cs="Arial"/>
          <w:b w:val="0"/>
          <w:bCs w:val="0"/>
          <w:sz w:val="23"/>
          <w:szCs w:val="23"/>
        </w:rPr>
        <w:t> </w:t>
      </w:r>
      <w:r w:rsidRPr="00BB50D2">
        <w:rPr>
          <w:rStyle w:val="bold"/>
          <w:bCs/>
          <w:u w:val="single"/>
        </w:rPr>
        <w:t>Výrok rozsudku</w:t>
      </w:r>
      <w:r w:rsidRPr="00BB50D2">
        <w:rPr>
          <w:u w:val="single"/>
        </w:rPr>
        <w:t xml:space="preserve"> </w:t>
      </w:r>
    </w:p>
    <w:p w14:paraId="2B7AA165" w14:textId="77777777" w:rsidR="008731BA" w:rsidRPr="00BB50D2" w:rsidRDefault="008731BA" w:rsidP="008731BA">
      <w:pPr>
        <w:pStyle w:val="c08dispositif"/>
        <w:spacing w:after="240" w:afterAutospacing="0"/>
        <w:ind w:left="1134" w:hanging="567"/>
        <w:jc w:val="both"/>
        <w:rPr>
          <w:rFonts w:ascii="Arial" w:hAnsi="Arial" w:cs="Arial"/>
          <w:b/>
          <w:bCs/>
          <w:sz w:val="23"/>
          <w:szCs w:val="23"/>
        </w:rPr>
      </w:pPr>
    </w:p>
    <w:p w14:paraId="1A8E67A0" w14:textId="77777777" w:rsidR="008731BA" w:rsidRPr="00BB50D2" w:rsidRDefault="008731BA" w:rsidP="008731BA">
      <w:pPr>
        <w:pStyle w:val="c08dispositif"/>
        <w:spacing w:after="240" w:afterAutospacing="0"/>
        <w:ind w:left="1134" w:hanging="567"/>
        <w:jc w:val="both"/>
        <w:rPr>
          <w:bCs/>
        </w:rPr>
      </w:pPr>
      <w:r w:rsidRPr="00BB50D2">
        <w:rPr>
          <w:bCs/>
        </w:rPr>
        <w:t>1.   Článok 66 ods. 1 nariadenia Európskeho parlamentu a Rady (EÚ) č. 508/2014 z 15. mája 2014 o Európskom námornom a rybárskom fonde, ktorým sa zrušujú nariadenia Rady (ES) č. 2328/2003, (ES) č. 861/2006, (ES) č. 1198/2006 a (ES) č. 791/2007 a nariadenie Európskeho parlamentu a Rady (EÚ) č. 1255/2011, sa má vykladať v tom zmysle, že bráni tomu, aby členský štát odmietol vyhovieť žiadosti o podporu organizácie výrobcov v odvetví rybného hospodárstva a </w:t>
      </w:r>
      <w:proofErr w:type="spellStart"/>
      <w:r w:rsidRPr="00BB50D2">
        <w:rPr>
          <w:bCs/>
        </w:rPr>
        <w:t>akvakultúry</w:t>
      </w:r>
      <w:proofErr w:type="spellEnd"/>
      <w:r w:rsidRPr="00BB50D2">
        <w:rPr>
          <w:bCs/>
        </w:rPr>
        <w:t xml:space="preserve"> týkajúcej sa výdavkov, ktoré vynaložila na prípravu a vykonávanie plánu produkcie a uvádzania na trh, z dôvodu, že ku dňu podania tejto žiadosti tento členský štát vo </w:t>
      </w:r>
      <w:r w:rsidRPr="00BB50D2">
        <w:rPr>
          <w:bCs/>
        </w:rPr>
        <w:lastRenderedPageBreak/>
        <w:t>svojom vnútroštátnom právnom poriadku ešte nestanovil možnosť posudzovať takúto žiadosť.</w:t>
      </w:r>
    </w:p>
    <w:p w14:paraId="642A26FC" w14:textId="77777777" w:rsidR="008731BA" w:rsidRPr="00BB50D2" w:rsidRDefault="008731BA" w:rsidP="008731BA">
      <w:pPr>
        <w:pStyle w:val="c08dispositif"/>
        <w:spacing w:after="240" w:afterAutospacing="0"/>
        <w:ind w:left="1134" w:hanging="567"/>
        <w:jc w:val="both"/>
        <w:rPr>
          <w:bCs/>
        </w:rPr>
      </w:pPr>
      <w:r w:rsidRPr="00BB50D2">
        <w:rPr>
          <w:bCs/>
        </w:rPr>
        <w:t>2.      Článok 66 ods. 1 nariadenia č. 508/2014 sa má vykladať v tom zmysle, že pre organizácie výrobcov v odvetví rybného hospodárstva a </w:t>
      </w:r>
      <w:proofErr w:type="spellStart"/>
      <w:r w:rsidRPr="00BB50D2">
        <w:rPr>
          <w:bCs/>
        </w:rPr>
        <w:t>akvakultúry</w:t>
      </w:r>
      <w:proofErr w:type="spellEnd"/>
      <w:r w:rsidRPr="00BB50D2">
        <w:rPr>
          <w:bCs/>
        </w:rPr>
        <w:t xml:space="preserve"> priamo nezakladá právo na finančnú podporu z Európskeho námorného a rybárskeho fondu na výdavky, ktoré vynaložili na prípravu a vykonávanie plánu produkcie a uvádzania na trh.</w:t>
      </w:r>
    </w:p>
    <w:p w14:paraId="402684C9" w14:textId="77777777" w:rsidR="008731BA" w:rsidRPr="00BB50D2" w:rsidRDefault="008731BA" w:rsidP="008731BA">
      <w:pPr>
        <w:pStyle w:val="c08dispositif"/>
        <w:spacing w:after="240" w:afterAutospacing="0"/>
        <w:ind w:left="1134" w:hanging="567"/>
        <w:jc w:val="both"/>
        <w:rPr>
          <w:bCs/>
        </w:rPr>
      </w:pPr>
      <w:r w:rsidRPr="00BB50D2">
        <w:rPr>
          <w:bCs/>
        </w:rPr>
        <w:t>3.      Článok 65 ods. 6 nariadenia Európskeho parlamentu a Rady (EÚ) č. </w:t>
      </w:r>
      <w:bookmarkStart w:id="0" w:name="ctx3"/>
      <w:r w:rsidRPr="00BB50D2">
        <w:rPr>
          <w:bCs/>
        </w:rPr>
        <w:t>1303/2013</w:t>
      </w:r>
      <w:bookmarkEnd w:id="0"/>
      <w:r w:rsidRPr="00BB50D2">
        <w:rPr>
          <w:bCs/>
        </w:rPr>
        <w:t> zo 17. decembra 2013, ktorým sa stanovujú spoločné ustanovenia o Európskom fonde regionálneho rozvoja, Európskom sociálnom fonde, Kohéznom fonde, Európskom poľnohospodárskom fonde pre rozvoj vidieka a Európskom námornom a rybárskom fonde a ktorým sa stanovujú všeobecné ustanovenia o Európskom fonde regionálneho rozvoja, Európskom sociálnom fonde, Kohéznom fonde a Európskom námornom a rybárskom fonde, a ktorým sa zrušuje nariadenie Rady (ES) č. 1083/2006, sa má vykladať v tom zmysle, že nebráni tomu, aby podpora z Európskeho námorného a rybárskeho fondu bola poskytnutá na prípravu a vykonávanie plánu produkcie a uvádzania na trh v prípade, že žiadosť o podporu bola podaná po príprave a vykonaní takéhoto plánu.</w:t>
      </w:r>
    </w:p>
    <w:p w14:paraId="20C0FACC" w14:textId="77777777" w:rsidR="008731BA" w:rsidRPr="00BB50D2" w:rsidRDefault="008731BA" w:rsidP="008731BA">
      <w:pPr>
        <w:pStyle w:val="Default"/>
        <w:jc w:val="both"/>
      </w:pPr>
    </w:p>
    <w:p w14:paraId="26622D8A" w14:textId="77777777" w:rsidR="001B0AD7" w:rsidRPr="00BB50D2" w:rsidRDefault="000047D1" w:rsidP="001B0AD7">
      <w:pPr>
        <w:pStyle w:val="Default"/>
        <w:ind w:firstLine="426"/>
      </w:pPr>
      <w:r w:rsidRPr="00BB50D2">
        <w:t xml:space="preserve"> 4. </w:t>
      </w:r>
      <w:r w:rsidRPr="00BB50D2">
        <w:rPr>
          <w:b/>
          <w:bCs/>
        </w:rPr>
        <w:t>Záväzky Slovenskej republiky vo vzťahu k Európskej únii</w:t>
      </w:r>
      <w:r w:rsidRPr="00BB50D2">
        <w:t xml:space="preserve">: </w:t>
      </w:r>
    </w:p>
    <w:p w14:paraId="1F79E146" w14:textId="77777777" w:rsidR="000047D1" w:rsidRPr="00BB50D2" w:rsidRDefault="000047D1" w:rsidP="00E45666">
      <w:pPr>
        <w:pStyle w:val="Default"/>
        <w:ind w:left="1276" w:hanging="283"/>
        <w:jc w:val="both"/>
      </w:pPr>
      <w:r w:rsidRPr="00BB50D2">
        <w:t xml:space="preserve">a) </w:t>
      </w:r>
      <w:r w:rsidR="00AC4952" w:rsidRPr="00BB50D2">
        <w:t>Lehota na prebra</w:t>
      </w:r>
      <w:r w:rsidR="00067174" w:rsidRPr="00BB50D2">
        <w:t>n</w:t>
      </w:r>
      <w:r w:rsidR="00AC4952" w:rsidRPr="00BB50D2">
        <w:t>ie</w:t>
      </w:r>
      <w:r w:rsidR="00AC4952" w:rsidRPr="00BB50D2">
        <w:rPr>
          <w:bCs/>
          <w:lang w:eastAsia="sk-SK"/>
        </w:rPr>
        <w:t xml:space="preserve"> </w:t>
      </w:r>
      <w:r w:rsidR="001B0AD7" w:rsidRPr="00BB50D2">
        <w:rPr>
          <w:bCs/>
          <w:lang w:eastAsia="sk-SK"/>
        </w:rPr>
        <w:t xml:space="preserve">príslušného právneho aktu EÚ: </w:t>
      </w:r>
      <w:r w:rsidR="00AC4952" w:rsidRPr="00BB50D2">
        <w:rPr>
          <w:bCs/>
          <w:lang w:eastAsia="sk-SK"/>
        </w:rPr>
        <w:t>bezpredmetné</w:t>
      </w:r>
      <w:r w:rsidR="00A277F4" w:rsidRPr="00BB50D2">
        <w:rPr>
          <w:bCs/>
          <w:lang w:eastAsia="sk-SK"/>
        </w:rPr>
        <w:t>.</w:t>
      </w:r>
      <w:r w:rsidRPr="00BB50D2">
        <w:t xml:space="preserve"> </w:t>
      </w:r>
    </w:p>
    <w:p w14:paraId="21C4019D" w14:textId="77777777" w:rsidR="000047D1" w:rsidRPr="00BB50D2" w:rsidRDefault="000047D1" w:rsidP="00E45666">
      <w:pPr>
        <w:pStyle w:val="Default"/>
        <w:ind w:left="1276" w:hanging="283"/>
        <w:jc w:val="both"/>
      </w:pPr>
      <w:r w:rsidRPr="00BB50D2">
        <w:t>b)</w:t>
      </w:r>
      <w:r w:rsidR="00FD020C" w:rsidRPr="00BB50D2">
        <w:t xml:space="preserve"> </w:t>
      </w:r>
      <w:r w:rsidR="00AC4952" w:rsidRPr="00BB50D2">
        <w:t>Proti SR nebolo začaté konanie v rámci „EÚ Pilot“</w:t>
      </w:r>
      <w:r w:rsidR="00721722" w:rsidRPr="00BB50D2">
        <w:t>, ani nebol začatý postup EK a</w:t>
      </w:r>
      <w:r w:rsidR="00AC4952" w:rsidRPr="00BB50D2">
        <w:t xml:space="preserve"> </w:t>
      </w:r>
      <w:r w:rsidR="003A0050" w:rsidRPr="00BB50D2">
        <w:t>ani</w:t>
      </w:r>
      <w:r w:rsidR="00AC4952" w:rsidRPr="00BB50D2">
        <w:t xml:space="preserve"> konanie o porušení Zmluvy o fungovaní Európskej únie podľa čl. 258 až</w:t>
      </w:r>
      <w:r w:rsidR="00AA7656" w:rsidRPr="00BB50D2">
        <w:t> </w:t>
      </w:r>
      <w:r w:rsidR="00AC4952" w:rsidRPr="00BB50D2">
        <w:t>260.</w:t>
      </w:r>
    </w:p>
    <w:p w14:paraId="777EACF0" w14:textId="77777777" w:rsidR="000047D1" w:rsidRPr="00BB50D2" w:rsidRDefault="000047D1" w:rsidP="00E45666">
      <w:pPr>
        <w:pStyle w:val="Default"/>
        <w:ind w:left="1276" w:hanging="283"/>
        <w:jc w:val="both"/>
      </w:pPr>
      <w:r w:rsidRPr="00BB50D2">
        <w:t xml:space="preserve">c) </w:t>
      </w:r>
      <w:r w:rsidR="00FD020C" w:rsidRPr="00BB50D2">
        <w:t>Bezpredmetné.</w:t>
      </w:r>
    </w:p>
    <w:p w14:paraId="51BD6946" w14:textId="77777777" w:rsidR="000047D1" w:rsidRPr="00BB50D2" w:rsidRDefault="000047D1" w:rsidP="00E45666">
      <w:pPr>
        <w:pStyle w:val="Default"/>
        <w:ind w:left="567" w:firstLine="426"/>
        <w:jc w:val="both"/>
      </w:pPr>
    </w:p>
    <w:p w14:paraId="6A7C8675" w14:textId="77777777" w:rsidR="00A92874" w:rsidRPr="00BB50D2" w:rsidRDefault="00A92874" w:rsidP="00E45666">
      <w:pPr>
        <w:pStyle w:val="Default"/>
        <w:ind w:left="567" w:firstLine="426"/>
        <w:jc w:val="both"/>
      </w:pPr>
    </w:p>
    <w:p w14:paraId="463F2326" w14:textId="77777777" w:rsidR="000047D1" w:rsidRPr="00BB50D2" w:rsidRDefault="000047D1" w:rsidP="00E45666">
      <w:pPr>
        <w:pStyle w:val="Default"/>
        <w:ind w:firstLine="426"/>
      </w:pPr>
      <w:r w:rsidRPr="00BB50D2">
        <w:t xml:space="preserve">5. </w:t>
      </w:r>
      <w:r w:rsidRPr="00BB50D2">
        <w:rPr>
          <w:b/>
          <w:bCs/>
        </w:rPr>
        <w:t>Návrh zákona je zlučiteľný s právom Európskej únie</w:t>
      </w:r>
      <w:r w:rsidRPr="00BB50D2">
        <w:t xml:space="preserve">: </w:t>
      </w:r>
    </w:p>
    <w:p w14:paraId="7F34512D" w14:textId="77777777" w:rsidR="00AC4952" w:rsidRPr="00361253" w:rsidRDefault="00AC4952" w:rsidP="00E45666">
      <w:pPr>
        <w:pStyle w:val="Default"/>
        <w:ind w:firstLine="426"/>
      </w:pPr>
      <w:r w:rsidRPr="00BB50D2">
        <w:tab/>
      </w:r>
      <w:r w:rsidR="001B0AD7" w:rsidRPr="00BB50D2">
        <w:t xml:space="preserve">a) </w:t>
      </w:r>
      <w:r w:rsidR="004F1605" w:rsidRPr="00BB50D2">
        <w:t>ú</w:t>
      </w:r>
      <w:r w:rsidRPr="00BB50D2">
        <w:t>plne.</w:t>
      </w:r>
    </w:p>
    <w:p w14:paraId="151B2C87" w14:textId="77777777" w:rsidR="000047D1" w:rsidRPr="00361253" w:rsidRDefault="000047D1" w:rsidP="00E45666">
      <w:pPr>
        <w:pStyle w:val="Default"/>
        <w:ind w:left="567" w:firstLine="426"/>
      </w:pPr>
    </w:p>
    <w:p w14:paraId="4E87F036" w14:textId="77777777" w:rsidR="003B72A4" w:rsidRPr="00361253" w:rsidRDefault="003B72A4" w:rsidP="00E45666">
      <w:pPr>
        <w:spacing w:before="0" w:after="200" w:line="276" w:lineRule="auto"/>
        <w:ind w:left="360" w:firstLine="426"/>
        <w:rPr>
          <w:lang w:eastAsia="en-US"/>
        </w:rPr>
      </w:pPr>
    </w:p>
    <w:sectPr w:rsidR="003B72A4" w:rsidRPr="00361253" w:rsidSect="0094420A">
      <w:footerReference w:type="default" r:id="rId10"/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9B07" w14:textId="77777777" w:rsidR="00EB778B" w:rsidRDefault="00EB778B" w:rsidP="004B460D">
      <w:pPr>
        <w:spacing w:before="0"/>
        <w:jc w:val="left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separator/>
      </w:r>
    </w:p>
  </w:endnote>
  <w:endnote w:type="continuationSeparator" w:id="0">
    <w:p w14:paraId="14A28B37" w14:textId="77777777" w:rsidR="00EB778B" w:rsidRDefault="00EB778B" w:rsidP="004B460D">
      <w:pPr>
        <w:spacing w:before="0"/>
        <w:jc w:val="left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2427" w14:textId="77777777" w:rsidR="004B460D" w:rsidRPr="00D50853" w:rsidRDefault="004B460D">
    <w:pPr>
      <w:pStyle w:val="Pta"/>
      <w:jc w:val="center"/>
      <w:rPr>
        <w:rFonts w:ascii="Times New Roman" w:hAnsi="Times New Roman"/>
        <w:sz w:val="20"/>
        <w:szCs w:val="20"/>
      </w:rPr>
    </w:pPr>
    <w:r w:rsidRPr="00D50853">
      <w:rPr>
        <w:rFonts w:ascii="Times New Roman" w:hAnsi="Times New Roman"/>
        <w:sz w:val="20"/>
        <w:szCs w:val="20"/>
      </w:rPr>
      <w:fldChar w:fldCharType="begin"/>
    </w:r>
    <w:r w:rsidRPr="00D50853">
      <w:rPr>
        <w:rFonts w:ascii="Times New Roman" w:hAnsi="Times New Roman"/>
        <w:sz w:val="20"/>
        <w:szCs w:val="20"/>
      </w:rPr>
      <w:instrText>PAGE   \* MERGEFORMAT</w:instrText>
    </w:r>
    <w:r w:rsidRPr="00D50853">
      <w:rPr>
        <w:rFonts w:ascii="Times New Roman" w:hAnsi="Times New Roman"/>
        <w:sz w:val="20"/>
        <w:szCs w:val="20"/>
      </w:rPr>
      <w:fldChar w:fldCharType="separate"/>
    </w:r>
    <w:r w:rsidR="005B713A">
      <w:rPr>
        <w:rFonts w:ascii="Times New Roman" w:hAnsi="Times New Roman"/>
        <w:noProof/>
        <w:sz w:val="20"/>
        <w:szCs w:val="20"/>
      </w:rPr>
      <w:t>4</w:t>
    </w:r>
    <w:r w:rsidRPr="00D50853">
      <w:rPr>
        <w:rFonts w:ascii="Times New Roman" w:hAnsi="Times New Roman"/>
        <w:sz w:val="20"/>
        <w:szCs w:val="20"/>
      </w:rPr>
      <w:fldChar w:fldCharType="end"/>
    </w:r>
  </w:p>
  <w:p w14:paraId="1876D598" w14:textId="77777777" w:rsidR="004B460D" w:rsidRDefault="004B46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3829" w14:textId="77777777" w:rsidR="00EB778B" w:rsidRDefault="00EB778B" w:rsidP="004B460D">
      <w:pPr>
        <w:spacing w:before="0"/>
        <w:jc w:val="left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separator/>
      </w:r>
    </w:p>
  </w:footnote>
  <w:footnote w:type="continuationSeparator" w:id="0">
    <w:p w14:paraId="1053879C" w14:textId="77777777" w:rsidR="00EB778B" w:rsidRDefault="00EB778B" w:rsidP="004B460D">
      <w:pPr>
        <w:spacing w:before="0"/>
        <w:jc w:val="left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5F34"/>
    <w:multiLevelType w:val="hybridMultilevel"/>
    <w:tmpl w:val="D75C62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9A13BB"/>
    <w:multiLevelType w:val="hybridMultilevel"/>
    <w:tmpl w:val="14EE3326"/>
    <w:lvl w:ilvl="0" w:tplc="AFD27AF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8B4660B"/>
    <w:multiLevelType w:val="hybridMultilevel"/>
    <w:tmpl w:val="91CE1582"/>
    <w:lvl w:ilvl="0" w:tplc="6C58D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BAC2E1B"/>
    <w:multiLevelType w:val="hybridMultilevel"/>
    <w:tmpl w:val="C2C0D6D0"/>
    <w:lvl w:ilvl="0" w:tplc="1244382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709063C"/>
    <w:multiLevelType w:val="hybridMultilevel"/>
    <w:tmpl w:val="C082C070"/>
    <w:lvl w:ilvl="0" w:tplc="CF5207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2C1B1E"/>
    <w:multiLevelType w:val="hybridMultilevel"/>
    <w:tmpl w:val="1480D0C8"/>
    <w:lvl w:ilvl="0" w:tplc="2B26D6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6E57E81"/>
    <w:multiLevelType w:val="multilevel"/>
    <w:tmpl w:val="09A43302"/>
    <w:lvl w:ilvl="0">
      <w:start w:val="1"/>
      <w:numFmt w:val="decimal"/>
      <w:pStyle w:val="Nadpis1"/>
      <w:suff w:val="space"/>
      <w:lvlText w:val="Čl. %1"/>
      <w:lvlJc w:val="center"/>
      <w:pPr>
        <w:ind w:left="142" w:firstLine="284"/>
      </w:pPr>
      <w:rPr>
        <w:rFonts w:ascii="Times New Roman" w:hAnsi="Times New Roman" w:cs="Times New Roman" w:hint="default"/>
        <w:b/>
        <w:i w:val="0"/>
        <w:color w:val="FFFFFF" w:themeColor="background1"/>
        <w:sz w:val="24"/>
      </w:rPr>
    </w:lvl>
    <w:lvl w:ilvl="1">
      <w:start w:val="1"/>
      <w:numFmt w:val="decimal"/>
      <w:suff w:val="nothing"/>
      <w:lvlText w:val="(%2)"/>
      <w:lvlJc w:val="left"/>
      <w:pPr>
        <w:ind w:firstLine="567"/>
      </w:pPr>
      <w:rPr>
        <w:rFonts w:cs="Times New Roman" w:hint="default"/>
      </w:rPr>
    </w:lvl>
    <w:lvl w:ilvl="2">
      <w:start w:val="1"/>
      <w:numFmt w:val="lowerLetter"/>
      <w:pStyle w:val="Nadpis3"/>
      <w:suff w:val="nothing"/>
      <w:lvlText w:val="%3)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pStyle w:val="Nadpis4"/>
      <w:suff w:val="nothing"/>
      <w:lvlText w:val="%4."/>
      <w:lvlJc w:val="left"/>
      <w:pPr>
        <w:ind w:left="567" w:hanging="283"/>
      </w:pPr>
      <w:rPr>
        <w:rFonts w:cs="Times New Roman" w:hint="default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487D166B"/>
    <w:multiLevelType w:val="hybridMultilevel"/>
    <w:tmpl w:val="1FA69D8E"/>
    <w:lvl w:ilvl="0" w:tplc="B99E9B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4B471CD9"/>
    <w:multiLevelType w:val="hybridMultilevel"/>
    <w:tmpl w:val="F49EE49A"/>
    <w:lvl w:ilvl="0" w:tplc="99909126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D7F38E4"/>
    <w:multiLevelType w:val="hybridMultilevel"/>
    <w:tmpl w:val="511CF87A"/>
    <w:lvl w:ilvl="0" w:tplc="A290073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EDD3F71"/>
    <w:multiLevelType w:val="hybridMultilevel"/>
    <w:tmpl w:val="87622BD4"/>
    <w:lvl w:ilvl="0" w:tplc="CCCEB200">
      <w:start w:val="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4E316AB"/>
    <w:multiLevelType w:val="hybridMultilevel"/>
    <w:tmpl w:val="EE8AC1B0"/>
    <w:lvl w:ilvl="0" w:tplc="CCCEB200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2F901FA"/>
    <w:multiLevelType w:val="hybridMultilevel"/>
    <w:tmpl w:val="10DC0FDC"/>
    <w:lvl w:ilvl="0" w:tplc="CCCEB200">
      <w:start w:val="6"/>
      <w:numFmt w:val="bullet"/>
      <w:lvlText w:val="-"/>
      <w:lvlJc w:val="left"/>
      <w:pPr>
        <w:ind w:left="174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3" w15:restartNumberingAfterBreak="0">
    <w:nsid w:val="7843657E"/>
    <w:multiLevelType w:val="hybridMultilevel"/>
    <w:tmpl w:val="C72ED2B4"/>
    <w:lvl w:ilvl="0" w:tplc="E05CB5E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9172FA2"/>
    <w:multiLevelType w:val="hybridMultilevel"/>
    <w:tmpl w:val="34CE13F4"/>
    <w:lvl w:ilvl="0" w:tplc="CCCEB20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364260879">
    <w:abstractNumId w:val="3"/>
  </w:num>
  <w:num w:numId="2" w16cid:durableId="409083708">
    <w:abstractNumId w:val="2"/>
  </w:num>
  <w:num w:numId="3" w16cid:durableId="1003699803">
    <w:abstractNumId w:val="1"/>
  </w:num>
  <w:num w:numId="4" w16cid:durableId="1040084707">
    <w:abstractNumId w:val="4"/>
  </w:num>
  <w:num w:numId="5" w16cid:durableId="701636512">
    <w:abstractNumId w:val="0"/>
  </w:num>
  <w:num w:numId="6" w16cid:durableId="1279490774">
    <w:abstractNumId w:val="13"/>
  </w:num>
  <w:num w:numId="7" w16cid:durableId="258024805">
    <w:abstractNumId w:val="8"/>
  </w:num>
  <w:num w:numId="8" w16cid:durableId="66150135">
    <w:abstractNumId w:val="6"/>
  </w:num>
  <w:num w:numId="9" w16cid:durableId="1848057806">
    <w:abstractNumId w:val="10"/>
  </w:num>
  <w:num w:numId="10" w16cid:durableId="787047520">
    <w:abstractNumId w:val="14"/>
  </w:num>
  <w:num w:numId="11" w16cid:durableId="2074964008">
    <w:abstractNumId w:val="9"/>
  </w:num>
  <w:num w:numId="12" w16cid:durableId="50616905">
    <w:abstractNumId w:val="11"/>
  </w:num>
  <w:num w:numId="13" w16cid:durableId="761804579">
    <w:abstractNumId w:val="7"/>
  </w:num>
  <w:num w:numId="14" w16cid:durableId="704646025">
    <w:abstractNumId w:val="5"/>
  </w:num>
  <w:num w:numId="15" w16cid:durableId="1390303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E9"/>
    <w:rsid w:val="000047D1"/>
    <w:rsid w:val="00007DE8"/>
    <w:rsid w:val="00011EF9"/>
    <w:rsid w:val="00012438"/>
    <w:rsid w:val="000209A4"/>
    <w:rsid w:val="00030051"/>
    <w:rsid w:val="00064806"/>
    <w:rsid w:val="00067174"/>
    <w:rsid w:val="00070897"/>
    <w:rsid w:val="0007225C"/>
    <w:rsid w:val="00092B9A"/>
    <w:rsid w:val="00094355"/>
    <w:rsid w:val="000B30A9"/>
    <w:rsid w:val="000E0810"/>
    <w:rsid w:val="000F4FD2"/>
    <w:rsid w:val="000F77B9"/>
    <w:rsid w:val="00107F94"/>
    <w:rsid w:val="00120526"/>
    <w:rsid w:val="0013465D"/>
    <w:rsid w:val="0014206C"/>
    <w:rsid w:val="001464F6"/>
    <w:rsid w:val="00161053"/>
    <w:rsid w:val="0016604F"/>
    <w:rsid w:val="00170577"/>
    <w:rsid w:val="00170C31"/>
    <w:rsid w:val="00172AD4"/>
    <w:rsid w:val="00172EC1"/>
    <w:rsid w:val="00174055"/>
    <w:rsid w:val="0017763D"/>
    <w:rsid w:val="00195C83"/>
    <w:rsid w:val="001A026F"/>
    <w:rsid w:val="001B0AD7"/>
    <w:rsid w:val="001C232C"/>
    <w:rsid w:val="001E7824"/>
    <w:rsid w:val="002069F2"/>
    <w:rsid w:val="00212499"/>
    <w:rsid w:val="00231801"/>
    <w:rsid w:val="00241E8B"/>
    <w:rsid w:val="002756E9"/>
    <w:rsid w:val="002A1793"/>
    <w:rsid w:val="002A7DD8"/>
    <w:rsid w:val="002D3B52"/>
    <w:rsid w:val="002D3D88"/>
    <w:rsid w:val="002E1642"/>
    <w:rsid w:val="002E4A53"/>
    <w:rsid w:val="003071E6"/>
    <w:rsid w:val="00316596"/>
    <w:rsid w:val="003341AD"/>
    <w:rsid w:val="00345F0E"/>
    <w:rsid w:val="00361253"/>
    <w:rsid w:val="00364ED4"/>
    <w:rsid w:val="00367633"/>
    <w:rsid w:val="003734DF"/>
    <w:rsid w:val="00380002"/>
    <w:rsid w:val="00385331"/>
    <w:rsid w:val="00392A94"/>
    <w:rsid w:val="00394B20"/>
    <w:rsid w:val="003A0050"/>
    <w:rsid w:val="003B1B8C"/>
    <w:rsid w:val="003B72A4"/>
    <w:rsid w:val="003C35FC"/>
    <w:rsid w:val="003D5BB9"/>
    <w:rsid w:val="003E50EB"/>
    <w:rsid w:val="00422AE9"/>
    <w:rsid w:val="00434777"/>
    <w:rsid w:val="0045550A"/>
    <w:rsid w:val="004702BB"/>
    <w:rsid w:val="00474E27"/>
    <w:rsid w:val="00482D1A"/>
    <w:rsid w:val="004A38BF"/>
    <w:rsid w:val="004B1B82"/>
    <w:rsid w:val="004B460D"/>
    <w:rsid w:val="004C2AB9"/>
    <w:rsid w:val="004D14E9"/>
    <w:rsid w:val="004D6235"/>
    <w:rsid w:val="004F1605"/>
    <w:rsid w:val="0052039F"/>
    <w:rsid w:val="00545CCD"/>
    <w:rsid w:val="00552E74"/>
    <w:rsid w:val="00563F5A"/>
    <w:rsid w:val="005678AE"/>
    <w:rsid w:val="00574B3B"/>
    <w:rsid w:val="00576474"/>
    <w:rsid w:val="00582857"/>
    <w:rsid w:val="005B628E"/>
    <w:rsid w:val="005B713A"/>
    <w:rsid w:val="005D0A0B"/>
    <w:rsid w:val="005D41DA"/>
    <w:rsid w:val="005D5F4F"/>
    <w:rsid w:val="005E34B4"/>
    <w:rsid w:val="005F04EB"/>
    <w:rsid w:val="005F2E8E"/>
    <w:rsid w:val="0063309C"/>
    <w:rsid w:val="0063379C"/>
    <w:rsid w:val="006619C5"/>
    <w:rsid w:val="006649DF"/>
    <w:rsid w:val="00664BB3"/>
    <w:rsid w:val="00670E33"/>
    <w:rsid w:val="006779DA"/>
    <w:rsid w:val="006A5395"/>
    <w:rsid w:val="006B3734"/>
    <w:rsid w:val="006B64EC"/>
    <w:rsid w:val="006C4AC3"/>
    <w:rsid w:val="006D285C"/>
    <w:rsid w:val="006E0CB8"/>
    <w:rsid w:val="006E3E82"/>
    <w:rsid w:val="00700511"/>
    <w:rsid w:val="007005D2"/>
    <w:rsid w:val="0071079A"/>
    <w:rsid w:val="00721722"/>
    <w:rsid w:val="007261B1"/>
    <w:rsid w:val="00726F11"/>
    <w:rsid w:val="007301CA"/>
    <w:rsid w:val="00731B80"/>
    <w:rsid w:val="00737FC9"/>
    <w:rsid w:val="00754F92"/>
    <w:rsid w:val="00755761"/>
    <w:rsid w:val="007807B1"/>
    <w:rsid w:val="007A1147"/>
    <w:rsid w:val="007A4891"/>
    <w:rsid w:val="007C0F38"/>
    <w:rsid w:val="007E7C39"/>
    <w:rsid w:val="00805705"/>
    <w:rsid w:val="0081300E"/>
    <w:rsid w:val="00816D89"/>
    <w:rsid w:val="00822330"/>
    <w:rsid w:val="00824C38"/>
    <w:rsid w:val="008466A2"/>
    <w:rsid w:val="008731BA"/>
    <w:rsid w:val="00874683"/>
    <w:rsid w:val="00874EFD"/>
    <w:rsid w:val="008769B2"/>
    <w:rsid w:val="008B1988"/>
    <w:rsid w:val="008B2F3D"/>
    <w:rsid w:val="008C38B1"/>
    <w:rsid w:val="008C6B5B"/>
    <w:rsid w:val="008C7081"/>
    <w:rsid w:val="008D0C74"/>
    <w:rsid w:val="008D7896"/>
    <w:rsid w:val="008F1B05"/>
    <w:rsid w:val="00903C9F"/>
    <w:rsid w:val="009070AA"/>
    <w:rsid w:val="00914BA3"/>
    <w:rsid w:val="00916FEB"/>
    <w:rsid w:val="00923934"/>
    <w:rsid w:val="00934B1E"/>
    <w:rsid w:val="0094420A"/>
    <w:rsid w:val="009561FF"/>
    <w:rsid w:val="009673B3"/>
    <w:rsid w:val="00971783"/>
    <w:rsid w:val="00977C56"/>
    <w:rsid w:val="0099117E"/>
    <w:rsid w:val="009945EE"/>
    <w:rsid w:val="009B6847"/>
    <w:rsid w:val="009C4012"/>
    <w:rsid w:val="009C51CD"/>
    <w:rsid w:val="009C6408"/>
    <w:rsid w:val="009F30ED"/>
    <w:rsid w:val="009F42A7"/>
    <w:rsid w:val="009F602D"/>
    <w:rsid w:val="009F70F1"/>
    <w:rsid w:val="00A05BAB"/>
    <w:rsid w:val="00A23912"/>
    <w:rsid w:val="00A277F4"/>
    <w:rsid w:val="00A32B7A"/>
    <w:rsid w:val="00A520AB"/>
    <w:rsid w:val="00A616AB"/>
    <w:rsid w:val="00A70244"/>
    <w:rsid w:val="00A92874"/>
    <w:rsid w:val="00A96F59"/>
    <w:rsid w:val="00AA5527"/>
    <w:rsid w:val="00AA7656"/>
    <w:rsid w:val="00AC4952"/>
    <w:rsid w:val="00B06844"/>
    <w:rsid w:val="00B11730"/>
    <w:rsid w:val="00B11930"/>
    <w:rsid w:val="00B133F4"/>
    <w:rsid w:val="00B302D1"/>
    <w:rsid w:val="00B512D2"/>
    <w:rsid w:val="00B857F4"/>
    <w:rsid w:val="00B949E6"/>
    <w:rsid w:val="00B956AC"/>
    <w:rsid w:val="00BB2A92"/>
    <w:rsid w:val="00BB50D2"/>
    <w:rsid w:val="00BC12CD"/>
    <w:rsid w:val="00BD3A3E"/>
    <w:rsid w:val="00BE4593"/>
    <w:rsid w:val="00BF054B"/>
    <w:rsid w:val="00BF76F6"/>
    <w:rsid w:val="00C01D0C"/>
    <w:rsid w:val="00C152C8"/>
    <w:rsid w:val="00C20A19"/>
    <w:rsid w:val="00C20CF8"/>
    <w:rsid w:val="00C26314"/>
    <w:rsid w:val="00C32759"/>
    <w:rsid w:val="00C37E9A"/>
    <w:rsid w:val="00C435D2"/>
    <w:rsid w:val="00C541A8"/>
    <w:rsid w:val="00C550B2"/>
    <w:rsid w:val="00C8543E"/>
    <w:rsid w:val="00CA3803"/>
    <w:rsid w:val="00CA3D69"/>
    <w:rsid w:val="00CA6F4D"/>
    <w:rsid w:val="00D11610"/>
    <w:rsid w:val="00D1178C"/>
    <w:rsid w:val="00D30855"/>
    <w:rsid w:val="00D37594"/>
    <w:rsid w:val="00D37F9A"/>
    <w:rsid w:val="00D4334B"/>
    <w:rsid w:val="00D50853"/>
    <w:rsid w:val="00D56435"/>
    <w:rsid w:val="00D6260F"/>
    <w:rsid w:val="00D96C53"/>
    <w:rsid w:val="00DA27D5"/>
    <w:rsid w:val="00DA3BE2"/>
    <w:rsid w:val="00DC2382"/>
    <w:rsid w:val="00DD3AE5"/>
    <w:rsid w:val="00DD6930"/>
    <w:rsid w:val="00DE36B9"/>
    <w:rsid w:val="00DE74F3"/>
    <w:rsid w:val="00E0014E"/>
    <w:rsid w:val="00E01B6E"/>
    <w:rsid w:val="00E35468"/>
    <w:rsid w:val="00E36B26"/>
    <w:rsid w:val="00E36CF5"/>
    <w:rsid w:val="00E45666"/>
    <w:rsid w:val="00E45EB9"/>
    <w:rsid w:val="00E50080"/>
    <w:rsid w:val="00E51C68"/>
    <w:rsid w:val="00E54B21"/>
    <w:rsid w:val="00E70508"/>
    <w:rsid w:val="00E72BC9"/>
    <w:rsid w:val="00E92AD5"/>
    <w:rsid w:val="00E95DBA"/>
    <w:rsid w:val="00EA370B"/>
    <w:rsid w:val="00EA3FE9"/>
    <w:rsid w:val="00EB18B8"/>
    <w:rsid w:val="00EB1FA6"/>
    <w:rsid w:val="00EB778B"/>
    <w:rsid w:val="00EC38AF"/>
    <w:rsid w:val="00EC61D7"/>
    <w:rsid w:val="00ED25D8"/>
    <w:rsid w:val="00ED2675"/>
    <w:rsid w:val="00ED760B"/>
    <w:rsid w:val="00F078FC"/>
    <w:rsid w:val="00F13306"/>
    <w:rsid w:val="00F15DCA"/>
    <w:rsid w:val="00F316FD"/>
    <w:rsid w:val="00F31A5E"/>
    <w:rsid w:val="00F557AE"/>
    <w:rsid w:val="00F77C2E"/>
    <w:rsid w:val="00FA2DB5"/>
    <w:rsid w:val="00FA3103"/>
    <w:rsid w:val="00FB5183"/>
    <w:rsid w:val="00FC59F7"/>
    <w:rsid w:val="00FD020C"/>
    <w:rsid w:val="00FD2BAB"/>
    <w:rsid w:val="00FE4EFD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21149"/>
  <w14:defaultImageDpi w14:val="0"/>
  <w15:docId w15:val="{EFAD8E15-B823-4A91-864C-DFE10B2A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956AC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47D1"/>
    <w:pPr>
      <w:keepNext/>
      <w:keepLines/>
      <w:numPr>
        <w:numId w:val="8"/>
      </w:numPr>
      <w:spacing w:before="480" w:line="276" w:lineRule="auto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47D1"/>
    <w:pPr>
      <w:keepNext/>
      <w:keepLines/>
      <w:numPr>
        <w:ilvl w:val="2"/>
        <w:numId w:val="8"/>
      </w:numPr>
      <w:spacing w:before="200" w:line="276" w:lineRule="auto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qFormat/>
    <w:rsid w:val="000047D1"/>
    <w:pPr>
      <w:keepNext/>
      <w:numPr>
        <w:ilvl w:val="3"/>
        <w:numId w:val="8"/>
      </w:numPr>
      <w:spacing w:before="0"/>
      <w:jc w:val="left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47D1"/>
    <w:pPr>
      <w:keepNext/>
      <w:keepLines/>
      <w:numPr>
        <w:ilvl w:val="4"/>
        <w:numId w:val="8"/>
      </w:numPr>
      <w:spacing w:before="200" w:line="276" w:lineRule="auto"/>
      <w:jc w:val="left"/>
      <w:outlineLvl w:val="4"/>
    </w:pPr>
    <w:rPr>
      <w:rFonts w:asciiTheme="majorHAnsi" w:eastAsiaTheme="majorEastAsia" w:hAnsiTheme="majorHAns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47D1"/>
    <w:pPr>
      <w:keepNext/>
      <w:numPr>
        <w:ilvl w:val="5"/>
        <w:numId w:val="8"/>
      </w:numPr>
      <w:spacing w:before="0"/>
      <w:jc w:val="left"/>
      <w:outlineLvl w:val="5"/>
    </w:pPr>
    <w:rPr>
      <w:b/>
      <w:bCs/>
      <w:sz w:val="28"/>
      <w:szCs w:val="28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47D1"/>
    <w:pPr>
      <w:keepNext/>
      <w:keepLines/>
      <w:numPr>
        <w:ilvl w:val="6"/>
        <w:numId w:val="8"/>
      </w:numPr>
      <w:spacing w:before="200" w:line="276" w:lineRule="auto"/>
      <w:jc w:val="left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0047D1"/>
    <w:pPr>
      <w:keepNext/>
      <w:keepLines/>
      <w:numPr>
        <w:ilvl w:val="7"/>
        <w:numId w:val="8"/>
      </w:numPr>
      <w:spacing w:before="200" w:line="276" w:lineRule="auto"/>
      <w:jc w:val="left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47D1"/>
    <w:pPr>
      <w:keepNext/>
      <w:keepLines/>
      <w:numPr>
        <w:ilvl w:val="8"/>
        <w:numId w:val="8"/>
      </w:numPr>
      <w:spacing w:before="200" w:line="276" w:lineRule="auto"/>
      <w:jc w:val="left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047D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0047D1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0047D1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0047D1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0047D1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0047D1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0047D1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0047D1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4D1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D14E9"/>
    <w:pPr>
      <w:spacing w:before="0"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107F94"/>
    <w:pPr>
      <w:spacing w:before="100" w:beforeAutospacing="1" w:after="100" w:afterAutospacing="1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107F9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7F94"/>
    <w:pPr>
      <w:spacing w:before="0" w:after="20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07F94"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7F94"/>
    <w:pPr>
      <w:spacing w:before="0"/>
      <w:jc w:val="left"/>
    </w:pPr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07F94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047D1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B460D"/>
    <w:pPr>
      <w:tabs>
        <w:tab w:val="center" w:pos="4536"/>
        <w:tab w:val="right" w:pos="9072"/>
      </w:tabs>
      <w:spacing w:before="0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4B460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4B460D"/>
    <w:pPr>
      <w:tabs>
        <w:tab w:val="center" w:pos="4536"/>
        <w:tab w:val="right" w:pos="9072"/>
      </w:tabs>
      <w:spacing w:before="0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4B460D"/>
    <w:rPr>
      <w:rFonts w:cs="Times New Roman"/>
    </w:rPr>
  </w:style>
  <w:style w:type="paragraph" w:customStyle="1" w:styleId="ti-grseq-1">
    <w:name w:val="ti-grseq-1"/>
    <w:basedOn w:val="Normlny"/>
    <w:rsid w:val="00B956AC"/>
    <w:pPr>
      <w:spacing w:before="240" w:after="120"/>
    </w:pPr>
    <w:rPr>
      <w:b/>
      <w:bCs/>
    </w:rPr>
  </w:style>
  <w:style w:type="character" w:customStyle="1" w:styleId="bold">
    <w:name w:val="bold"/>
    <w:basedOn w:val="Predvolenpsmoodseku"/>
    <w:rsid w:val="00B956AC"/>
    <w:rPr>
      <w:rFonts w:cs="Times New Roman"/>
      <w:b/>
      <w:bCs/>
    </w:rPr>
  </w:style>
  <w:style w:type="character" w:customStyle="1" w:styleId="awspan1">
    <w:name w:val="awspan1"/>
    <w:rsid w:val="006B64EC"/>
    <w:rPr>
      <w:color w:val="000000"/>
      <w:sz w:val="24"/>
    </w:rPr>
  </w:style>
  <w:style w:type="character" w:styleId="Zvraznenie">
    <w:name w:val="Emphasis"/>
    <w:basedOn w:val="Predvolenpsmoodseku"/>
    <w:uiPriority w:val="20"/>
    <w:qFormat/>
    <w:rsid w:val="001464F6"/>
    <w:rPr>
      <w:i/>
      <w:iCs/>
    </w:rPr>
  </w:style>
  <w:style w:type="paragraph" w:customStyle="1" w:styleId="c08dispositif">
    <w:name w:val="c08dispositif"/>
    <w:basedOn w:val="Normlny"/>
    <w:rsid w:val="008731B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4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9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66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7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8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656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9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9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9657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7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4D20CB-3553-4D01-9C10-13129C942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B8624-0DA7-4B75-BB83-8E0C9ADD8FA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7636E-5290-4514-8502-140BDBE6C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 Andrej</dc:creator>
  <cp:keywords/>
  <dc:description/>
  <cp:lastModifiedBy>Drobná Martina</cp:lastModifiedBy>
  <cp:revision>3</cp:revision>
  <cp:lastPrinted>2024-11-18T08:20:00Z</cp:lastPrinted>
  <dcterms:created xsi:type="dcterms:W3CDTF">2025-04-09T06:21:00Z</dcterms:created>
  <dcterms:modified xsi:type="dcterms:W3CDTF">2025-06-10T11:46:00Z</dcterms:modified>
</cp:coreProperties>
</file>