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7D" w:rsidRDefault="009227E9" w:rsidP="00F53FD5">
      <w:pPr>
        <w:widowControl w:val="0"/>
        <w:rPr>
          <w:rStyle w:val="Textzstupnhosymbolu1"/>
          <w:b/>
          <w:bCs/>
          <w:caps/>
          <w:color w:val="auto"/>
          <w:sz w:val="24"/>
          <w:szCs w:val="24"/>
        </w:rPr>
      </w:pPr>
      <w:r w:rsidRPr="00E761AE">
        <w:rPr>
          <w:rStyle w:val="Textzstupnhosymbolu1"/>
          <w:b/>
          <w:bCs/>
          <w:caps/>
          <w:color w:val="auto"/>
          <w:sz w:val="24"/>
          <w:szCs w:val="24"/>
        </w:rPr>
        <w:t xml:space="preserve">Ministerstvo pôdohospodárstva </w:t>
      </w:r>
    </w:p>
    <w:p w:rsidR="009227E9" w:rsidRPr="00E761AE" w:rsidRDefault="009227E9" w:rsidP="00F53FD5">
      <w:pPr>
        <w:widowControl w:val="0"/>
        <w:rPr>
          <w:rStyle w:val="Textzstupnhosymbolu1"/>
          <w:b/>
          <w:bCs/>
          <w:caps/>
          <w:color w:val="auto"/>
          <w:sz w:val="24"/>
          <w:szCs w:val="24"/>
        </w:rPr>
      </w:pPr>
      <w:r w:rsidRPr="00E761AE">
        <w:rPr>
          <w:rStyle w:val="Textzstupnhosymbolu1"/>
          <w:b/>
          <w:bCs/>
          <w:caps/>
          <w:color w:val="auto"/>
          <w:sz w:val="24"/>
          <w:szCs w:val="24"/>
        </w:rPr>
        <w:t>a rozvoja vidieka</w:t>
      </w:r>
    </w:p>
    <w:p w:rsidR="009227E9" w:rsidRPr="00E761AE" w:rsidRDefault="009227E9" w:rsidP="00F53FD5">
      <w:pPr>
        <w:pStyle w:val="Zkladntext2"/>
        <w:widowControl w:val="0"/>
        <w:jc w:val="both"/>
      </w:pPr>
      <w:r w:rsidRPr="00E761AE">
        <w:rPr>
          <w:rStyle w:val="Textzstupnhosymbolu1"/>
          <w:b/>
          <w:bCs/>
          <w:caps/>
          <w:color w:val="auto"/>
          <w:u w:val="single"/>
        </w:rPr>
        <w:t>Slovenskej republiky</w:t>
      </w:r>
      <w:r w:rsidRPr="00E761AE">
        <w:t xml:space="preserve"> </w:t>
      </w:r>
    </w:p>
    <w:p w:rsidR="009227E9" w:rsidRPr="00E761AE" w:rsidRDefault="009227E9" w:rsidP="00F53FD5">
      <w:pPr>
        <w:pStyle w:val="Zkladntext2"/>
        <w:widowControl w:val="0"/>
        <w:ind w:left="60"/>
        <w:jc w:val="both"/>
      </w:pPr>
    </w:p>
    <w:p w:rsidR="009227E9" w:rsidRPr="00E761AE" w:rsidRDefault="009227E9" w:rsidP="00F53FD5">
      <w:pPr>
        <w:pStyle w:val="Zkladntext2"/>
        <w:widowControl w:val="0"/>
        <w:ind w:left="60"/>
        <w:jc w:val="both"/>
      </w:pPr>
      <w:r w:rsidRPr="00E761AE">
        <w:t>Číslo:</w:t>
      </w:r>
      <w:r w:rsidR="00F5374F" w:rsidRPr="00E761AE">
        <w:t xml:space="preserve"> </w:t>
      </w:r>
      <w:r w:rsidR="00F53FD5">
        <w:t>4052</w:t>
      </w:r>
      <w:r w:rsidR="00E761AE">
        <w:t>/202</w:t>
      </w:r>
      <w:r w:rsidR="00F53FD5">
        <w:t>5</w:t>
      </w:r>
      <w:r w:rsidR="00E761AE">
        <w:t>-4</w:t>
      </w:r>
      <w:r w:rsidR="008A6ED2" w:rsidRPr="00E761AE">
        <w:t>1</w:t>
      </w:r>
      <w:r w:rsidR="000F070C" w:rsidRPr="00E761AE">
        <w:t>0</w:t>
      </w:r>
    </w:p>
    <w:p w:rsidR="009227E9" w:rsidRPr="00E761AE" w:rsidRDefault="009227E9" w:rsidP="00F53FD5">
      <w:pPr>
        <w:pStyle w:val="Zkladntext2"/>
        <w:widowControl w:val="0"/>
        <w:ind w:left="60"/>
        <w:jc w:val="both"/>
      </w:pPr>
    </w:p>
    <w:p w:rsidR="00E217A4" w:rsidRDefault="009227E9" w:rsidP="00F53FD5">
      <w:pPr>
        <w:pStyle w:val="Zkladntext2"/>
        <w:widowControl w:val="0"/>
        <w:jc w:val="both"/>
      </w:pPr>
      <w:r w:rsidRPr="00E761AE">
        <w:t xml:space="preserve">Materiál na </w:t>
      </w:r>
      <w:r w:rsidR="00E217A4">
        <w:t>rokovanie</w:t>
      </w:r>
    </w:p>
    <w:p w:rsidR="00D05EE6" w:rsidRPr="00E761AE" w:rsidRDefault="00467D63" w:rsidP="00F53FD5">
      <w:pPr>
        <w:pStyle w:val="Zkladntext2"/>
        <w:widowControl w:val="0"/>
        <w:jc w:val="both"/>
      </w:pPr>
      <w:r>
        <w:t>Legislatívnej</w:t>
      </w:r>
      <w:r w:rsidR="00E217A4">
        <w:t xml:space="preserve"> rady </w:t>
      </w:r>
      <w:r>
        <w:t xml:space="preserve">vlády </w:t>
      </w:r>
      <w:r w:rsidR="00E217A4">
        <w:t>Slovenskej republiky</w:t>
      </w:r>
    </w:p>
    <w:p w:rsidR="00DE564B" w:rsidRPr="00E761AE" w:rsidRDefault="00DE564B" w:rsidP="00F53FD5">
      <w:pPr>
        <w:pStyle w:val="Zkladntext2"/>
        <w:widowControl w:val="0"/>
        <w:ind w:left="60"/>
        <w:jc w:val="both"/>
      </w:pPr>
    </w:p>
    <w:p w:rsidR="00C02793" w:rsidRPr="00E761AE" w:rsidRDefault="00C02793" w:rsidP="00F53FD5">
      <w:pPr>
        <w:pStyle w:val="Zkladntext2"/>
        <w:widowControl w:val="0"/>
        <w:ind w:left="60"/>
        <w:jc w:val="both"/>
      </w:pPr>
    </w:p>
    <w:p w:rsidR="004C4276" w:rsidRDefault="004C4276" w:rsidP="00F53FD5">
      <w:pPr>
        <w:pStyle w:val="Zkladntext2"/>
        <w:widowControl w:val="0"/>
        <w:ind w:left="60"/>
        <w:rPr>
          <w:bCs/>
        </w:rPr>
      </w:pPr>
    </w:p>
    <w:p w:rsidR="00C02793" w:rsidRDefault="00C02793" w:rsidP="00F53FD5">
      <w:pPr>
        <w:pStyle w:val="Zkladntext2"/>
        <w:widowControl w:val="0"/>
        <w:ind w:left="60"/>
        <w:rPr>
          <w:b/>
          <w:bCs/>
          <w:sz w:val="28"/>
        </w:rPr>
      </w:pPr>
      <w:r w:rsidRPr="004C4276">
        <w:rPr>
          <w:b/>
          <w:bCs/>
          <w:sz w:val="28"/>
        </w:rPr>
        <w:t>Návrh</w:t>
      </w:r>
    </w:p>
    <w:p w:rsidR="004C4276" w:rsidRPr="004C4276" w:rsidRDefault="004C4276" w:rsidP="00F53FD5">
      <w:pPr>
        <w:pStyle w:val="Zkladntext2"/>
        <w:widowControl w:val="0"/>
        <w:ind w:left="60"/>
        <w:rPr>
          <w:b/>
          <w:bCs/>
          <w:sz w:val="28"/>
        </w:rPr>
      </w:pPr>
    </w:p>
    <w:p w:rsidR="008A6ED2" w:rsidRPr="004C4276" w:rsidRDefault="004C4276" w:rsidP="00F53FD5">
      <w:pPr>
        <w:widowControl w:val="0"/>
        <w:pBdr>
          <w:bottom w:val="single" w:sz="4" w:space="1" w:color="auto"/>
        </w:pBdr>
        <w:shd w:val="clear" w:color="auto" w:fill="FFFFFF"/>
        <w:jc w:val="center"/>
        <w:outlineLvl w:val="0"/>
        <w:rPr>
          <w:b/>
          <w:bCs/>
          <w:sz w:val="28"/>
          <w:szCs w:val="24"/>
        </w:rPr>
      </w:pPr>
      <w:bookmarkStart w:id="0" w:name="zaciatok"/>
      <w:bookmarkEnd w:id="0"/>
      <w:r w:rsidRPr="004C4276">
        <w:rPr>
          <w:b/>
          <w:bCs/>
          <w:sz w:val="28"/>
          <w:szCs w:val="24"/>
        </w:rPr>
        <w:t xml:space="preserve">zákona, </w:t>
      </w:r>
      <w:r w:rsidR="00F53FD5" w:rsidRPr="00F53FD5">
        <w:rPr>
          <w:b/>
          <w:bCs/>
          <w:sz w:val="28"/>
          <w:szCs w:val="24"/>
        </w:rPr>
        <w:t xml:space="preserve">ktorým sa mení a dopĺňa zákon č. 280/2017 Z. z. o poskytovaní podpory a dotácie v pôdohospodárstve a rozvoji vidieka a o zmene zákona č. 292/2014 Z. z. o príspevku poskytovanom z európskych štrukturálnych </w:t>
      </w:r>
      <w:r w:rsidR="00F53FD5">
        <w:rPr>
          <w:b/>
          <w:bCs/>
          <w:sz w:val="28"/>
          <w:szCs w:val="24"/>
        </w:rPr>
        <w:br/>
      </w:r>
      <w:r w:rsidR="00F53FD5" w:rsidRPr="00F53FD5">
        <w:rPr>
          <w:b/>
          <w:bCs/>
          <w:sz w:val="28"/>
          <w:szCs w:val="24"/>
        </w:rPr>
        <w:t xml:space="preserve">a investičných fondov a o zmene a doplnení niektorých zákonov v znení neskorších predpisov v znení neskorších predpisov a ktorým sa mení zákon č. 247/2024 Z. z. o príspevkoch poskytovaných z Európskeho </w:t>
      </w:r>
      <w:r w:rsidR="00F53FD5">
        <w:rPr>
          <w:b/>
          <w:bCs/>
          <w:sz w:val="28"/>
          <w:szCs w:val="24"/>
        </w:rPr>
        <w:t>P</w:t>
      </w:r>
      <w:r w:rsidR="00F53FD5" w:rsidRPr="00F53FD5">
        <w:rPr>
          <w:b/>
          <w:bCs/>
          <w:sz w:val="28"/>
          <w:szCs w:val="24"/>
        </w:rPr>
        <w:t>oľnohospodárskeho fondu pre rozvoj vidieka</w:t>
      </w:r>
      <w:r w:rsidR="00F53FD5">
        <w:rPr>
          <w:b/>
          <w:bCs/>
          <w:sz w:val="28"/>
          <w:szCs w:val="24"/>
        </w:rPr>
        <w:t xml:space="preserve"> </w:t>
      </w:r>
      <w:r w:rsidR="00F53FD5" w:rsidRPr="00F53FD5">
        <w:rPr>
          <w:b/>
          <w:bCs/>
          <w:sz w:val="28"/>
          <w:szCs w:val="24"/>
        </w:rPr>
        <w:t>a o zmene a doplnení niektorých zákonov</w:t>
      </w:r>
    </w:p>
    <w:p w:rsidR="004C4276" w:rsidRDefault="004C4276" w:rsidP="00F53FD5">
      <w:pPr>
        <w:pStyle w:val="Zkladntext2"/>
        <w:widowControl w:val="0"/>
        <w:jc w:val="both"/>
        <w:rPr>
          <w:b/>
          <w:bCs/>
          <w:u w:val="single"/>
        </w:rPr>
      </w:pPr>
    </w:p>
    <w:p w:rsidR="00C02793" w:rsidRPr="00E761AE" w:rsidRDefault="00C02793" w:rsidP="00F53FD5">
      <w:pPr>
        <w:pStyle w:val="Zkladntext2"/>
        <w:widowControl w:val="0"/>
        <w:jc w:val="both"/>
        <w:rPr>
          <w:b/>
          <w:bCs/>
          <w:u w:val="single"/>
        </w:rPr>
      </w:pPr>
      <w:r w:rsidRPr="00E761AE">
        <w:rPr>
          <w:b/>
          <w:bCs/>
          <w:u w:val="single"/>
        </w:rPr>
        <w:t>Podnet:</w:t>
      </w:r>
      <w:r w:rsidRPr="00E761AE">
        <w:rPr>
          <w:b/>
          <w:bCs/>
        </w:rPr>
        <w:t xml:space="preserve"> </w:t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</w:rPr>
        <w:tab/>
      </w:r>
      <w:r w:rsidRPr="00E761AE">
        <w:rPr>
          <w:b/>
          <w:bCs/>
          <w:u w:val="single"/>
        </w:rPr>
        <w:t>Obsah materiálu:</w:t>
      </w:r>
    </w:p>
    <w:p w:rsidR="00C02793" w:rsidRPr="00E761AE" w:rsidRDefault="00C02793" w:rsidP="00F53FD5">
      <w:pPr>
        <w:pStyle w:val="Zkladntext2"/>
        <w:widowControl w:val="0"/>
        <w:jc w:val="both"/>
      </w:pPr>
    </w:p>
    <w:p w:rsidR="00273AEB" w:rsidRPr="00E761AE" w:rsidRDefault="00273AEB" w:rsidP="00F53FD5">
      <w:pPr>
        <w:pStyle w:val="Zkladntext2"/>
        <w:widowControl w:val="0"/>
        <w:jc w:val="both"/>
        <w:rPr>
          <w:rStyle w:val="Textzstupnhosymbolu"/>
          <w:color w:val="auto"/>
        </w:rPr>
        <w:sectPr w:rsidR="00273AEB" w:rsidRPr="00E761AE">
          <w:footerReference w:type="default" r:id="rId7"/>
          <w:pgSz w:w="11906" w:h="16838"/>
          <w:pgMar w:top="1417" w:right="1417" w:bottom="1417" w:left="1417" w:header="709" w:footer="709" w:gutter="0"/>
          <w:cols w:space="709"/>
        </w:sectPr>
      </w:pPr>
    </w:p>
    <w:p w:rsidR="00F53FD5" w:rsidRDefault="00F53FD5" w:rsidP="00F53FD5">
      <w:pPr>
        <w:pStyle w:val="Zkladntext2"/>
        <w:widowControl w:val="0"/>
        <w:tabs>
          <w:tab w:val="left" w:pos="851"/>
        </w:tabs>
        <w:jc w:val="left"/>
      </w:pPr>
      <w:r>
        <w:t>Plán</w:t>
      </w:r>
      <w:r w:rsidRPr="00F53FD5">
        <w:t xml:space="preserve"> legislatívnych úloh </w:t>
      </w:r>
    </w:p>
    <w:p w:rsidR="00F53FD5" w:rsidRDefault="00F53FD5" w:rsidP="00F53FD5">
      <w:pPr>
        <w:pStyle w:val="Zkladntext2"/>
        <w:widowControl w:val="0"/>
        <w:tabs>
          <w:tab w:val="left" w:pos="851"/>
        </w:tabs>
        <w:jc w:val="left"/>
      </w:pPr>
      <w:r w:rsidRPr="00F53FD5">
        <w:t xml:space="preserve">vlády Slovenskej republiky </w:t>
      </w:r>
    </w:p>
    <w:p w:rsidR="00273AEB" w:rsidRPr="00E761AE" w:rsidRDefault="00F53FD5" w:rsidP="00F53FD5">
      <w:pPr>
        <w:pStyle w:val="Zkladntext2"/>
        <w:widowControl w:val="0"/>
        <w:tabs>
          <w:tab w:val="left" w:pos="851"/>
        </w:tabs>
        <w:jc w:val="left"/>
      </w:pPr>
      <w:r w:rsidRPr="00F53FD5">
        <w:t>na rok 2025</w:t>
      </w:r>
    </w:p>
    <w:p w:rsidR="00AA40CE" w:rsidRPr="00E761AE" w:rsidRDefault="00AA40CE" w:rsidP="00F53FD5">
      <w:pPr>
        <w:pStyle w:val="Zkladntext2"/>
        <w:widowControl w:val="0"/>
        <w:tabs>
          <w:tab w:val="left" w:pos="851"/>
        </w:tabs>
        <w:jc w:val="both"/>
      </w:pPr>
    </w:p>
    <w:p w:rsidR="00273AEB" w:rsidRPr="00E761AE" w:rsidRDefault="00273AEB" w:rsidP="00F53FD5">
      <w:pPr>
        <w:pStyle w:val="Zkladntext2"/>
        <w:widowControl w:val="0"/>
        <w:tabs>
          <w:tab w:val="left" w:pos="851"/>
        </w:tabs>
        <w:jc w:val="both"/>
      </w:pPr>
    </w:p>
    <w:p w:rsidR="00D05EE6" w:rsidRDefault="00D05EE6" w:rsidP="00F53FD5">
      <w:pPr>
        <w:pStyle w:val="Zkladntext2"/>
        <w:widowControl w:val="0"/>
        <w:tabs>
          <w:tab w:val="left" w:pos="851"/>
        </w:tabs>
        <w:jc w:val="both"/>
      </w:pPr>
    </w:p>
    <w:p w:rsidR="00E761AE" w:rsidRDefault="00E761AE" w:rsidP="00F53FD5">
      <w:pPr>
        <w:pStyle w:val="Zkladntext2"/>
        <w:widowControl w:val="0"/>
        <w:tabs>
          <w:tab w:val="left" w:pos="851"/>
        </w:tabs>
        <w:jc w:val="both"/>
      </w:pPr>
    </w:p>
    <w:p w:rsidR="00E761AE" w:rsidRDefault="00E761AE" w:rsidP="00F53FD5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F53FD5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F53FD5">
      <w:pPr>
        <w:pStyle w:val="Zkladntext2"/>
        <w:widowControl w:val="0"/>
        <w:tabs>
          <w:tab w:val="left" w:pos="851"/>
        </w:tabs>
        <w:jc w:val="both"/>
      </w:pPr>
    </w:p>
    <w:p w:rsidR="004C4276" w:rsidRDefault="004C4276" w:rsidP="00F53FD5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F53FD5">
      <w:pPr>
        <w:pStyle w:val="Zkladntext2"/>
        <w:widowControl w:val="0"/>
        <w:tabs>
          <w:tab w:val="left" w:pos="851"/>
        </w:tabs>
        <w:jc w:val="both"/>
      </w:pPr>
    </w:p>
    <w:p w:rsidR="0099687B" w:rsidRDefault="0099687B" w:rsidP="00F53FD5">
      <w:pPr>
        <w:pStyle w:val="Zkladntext2"/>
        <w:widowControl w:val="0"/>
        <w:tabs>
          <w:tab w:val="left" w:pos="851"/>
        </w:tabs>
        <w:jc w:val="both"/>
      </w:pPr>
    </w:p>
    <w:p w:rsidR="004C4276" w:rsidRDefault="004C4276" w:rsidP="00F53FD5">
      <w:pPr>
        <w:pStyle w:val="Zkladntext2"/>
        <w:widowControl w:val="0"/>
        <w:tabs>
          <w:tab w:val="left" w:pos="851"/>
        </w:tabs>
        <w:jc w:val="both"/>
      </w:pPr>
    </w:p>
    <w:p w:rsidR="00F53FD5" w:rsidRDefault="00F53FD5" w:rsidP="00F53FD5">
      <w:pPr>
        <w:pStyle w:val="Zkladntext2"/>
        <w:widowControl w:val="0"/>
        <w:tabs>
          <w:tab w:val="left" w:pos="851"/>
        </w:tabs>
        <w:jc w:val="both"/>
      </w:pPr>
    </w:p>
    <w:p w:rsidR="004C4276" w:rsidRDefault="004C4276" w:rsidP="00F53FD5">
      <w:pPr>
        <w:pStyle w:val="Zkladntext2"/>
        <w:widowControl w:val="0"/>
        <w:tabs>
          <w:tab w:val="left" w:pos="-567"/>
        </w:tabs>
        <w:jc w:val="left"/>
      </w:pPr>
    </w:p>
    <w:p w:rsidR="00C02793" w:rsidRPr="00E761AE" w:rsidRDefault="00C02793" w:rsidP="00F53FD5">
      <w:pPr>
        <w:pStyle w:val="Zkladntext2"/>
        <w:widowControl w:val="0"/>
        <w:tabs>
          <w:tab w:val="left" w:pos="-284"/>
        </w:tabs>
        <w:ind w:left="-142" w:hanging="284"/>
        <w:jc w:val="left"/>
      </w:pPr>
      <w:r w:rsidRPr="00E761AE">
        <w:t xml:space="preserve">1. Návrh uznesenia </w:t>
      </w:r>
      <w:r w:rsidR="00E761AE">
        <w:t>vlády</w:t>
      </w:r>
      <w:r w:rsidRPr="00E761AE">
        <w:t xml:space="preserve"> </w:t>
      </w:r>
    </w:p>
    <w:p w:rsidR="00273AEB" w:rsidRPr="00E761AE" w:rsidRDefault="00AA40CE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 w:rsidRPr="00E761AE">
        <w:t>2</w:t>
      </w:r>
      <w:r w:rsidR="00C02793" w:rsidRPr="00E761AE">
        <w:t>. Predkladacia správa</w:t>
      </w:r>
    </w:p>
    <w:p w:rsidR="00273AEB" w:rsidRPr="00E761AE" w:rsidRDefault="00AA40CE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 w:rsidRPr="00E761AE">
        <w:t>3</w:t>
      </w:r>
      <w:r w:rsidR="00C02793" w:rsidRPr="00E761AE">
        <w:t xml:space="preserve">. </w:t>
      </w:r>
      <w:r w:rsidR="00647D82" w:rsidRPr="00E761AE">
        <w:t>Vlastný materiál</w:t>
      </w:r>
      <w:r w:rsidR="00C02793" w:rsidRPr="00E761AE">
        <w:t xml:space="preserve"> </w:t>
      </w:r>
    </w:p>
    <w:p w:rsidR="00F37221" w:rsidRPr="00E761AE" w:rsidRDefault="00AA40CE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 w:rsidRPr="00E761AE">
        <w:t>4</w:t>
      </w:r>
      <w:r w:rsidR="00C02793" w:rsidRPr="00E761AE">
        <w:t>. </w:t>
      </w:r>
      <w:r w:rsidR="00F37221" w:rsidRPr="00E761AE">
        <w:t>Dôvodová správa</w:t>
      </w:r>
      <w:r w:rsidR="008A6ED2" w:rsidRPr="00E761AE">
        <w:t xml:space="preserve"> </w:t>
      </w:r>
      <w:r w:rsidR="00BA5C9A">
        <w:t xml:space="preserve">- </w:t>
      </w:r>
      <w:r w:rsidR="008A6ED2" w:rsidRPr="00E761AE">
        <w:t>všeobecná</w:t>
      </w:r>
      <w:r w:rsidR="00BA5C9A">
        <w:t xml:space="preserve"> časť</w:t>
      </w:r>
    </w:p>
    <w:p w:rsidR="00E761AE" w:rsidRPr="00E761AE" w:rsidRDefault="00F37221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 w:rsidRPr="00E761AE">
        <w:t xml:space="preserve">5. </w:t>
      </w:r>
      <w:r w:rsidR="00E761AE" w:rsidRPr="00E761AE">
        <w:t xml:space="preserve">Doložka zlučiteľnosti </w:t>
      </w:r>
    </w:p>
    <w:p w:rsidR="00E761AE" w:rsidRDefault="0099687B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6</w:t>
      </w:r>
      <w:r w:rsidR="00E761AE" w:rsidRPr="00E761AE">
        <w:t>. Doložka vybraných vplyvov</w:t>
      </w:r>
    </w:p>
    <w:p w:rsidR="0099687B" w:rsidRPr="00E761AE" w:rsidRDefault="0099687B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 xml:space="preserve">7. </w:t>
      </w:r>
      <w:r w:rsidR="00F53FD5" w:rsidRPr="00F53FD5">
        <w:t xml:space="preserve">Analýza vplyvov na podnikateľské prostredie </w:t>
      </w:r>
    </w:p>
    <w:p w:rsidR="00E761AE" w:rsidRPr="00E761AE" w:rsidRDefault="0099687B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8</w:t>
      </w:r>
      <w:r w:rsidR="006B7E42" w:rsidRPr="00E761AE">
        <w:t xml:space="preserve">. </w:t>
      </w:r>
      <w:r w:rsidR="00BA5C9A">
        <w:t>Dôvodová správa</w:t>
      </w:r>
      <w:r w:rsidR="00E761AE" w:rsidRPr="00E761AE">
        <w:t xml:space="preserve"> </w:t>
      </w:r>
      <w:r w:rsidR="00BA5C9A">
        <w:t xml:space="preserve">- </w:t>
      </w:r>
      <w:r w:rsidR="00E761AE" w:rsidRPr="00E761AE">
        <w:t>osobitná</w:t>
      </w:r>
      <w:r w:rsidR="00BA5C9A">
        <w:t xml:space="preserve"> časť</w:t>
      </w:r>
      <w:r w:rsidR="00E761AE" w:rsidRPr="00E761AE">
        <w:t xml:space="preserve"> </w:t>
      </w:r>
    </w:p>
    <w:p w:rsidR="006B7E42" w:rsidRDefault="0099687B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9</w:t>
      </w:r>
      <w:r w:rsidR="006B7E42" w:rsidRPr="00E761AE">
        <w:t>. Správa o účasti verejnosti</w:t>
      </w:r>
    </w:p>
    <w:p w:rsidR="004C4276" w:rsidRDefault="004C4276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1</w:t>
      </w:r>
      <w:r w:rsidR="00F53FD5">
        <w:t>0</w:t>
      </w:r>
      <w:r>
        <w:t xml:space="preserve">. </w:t>
      </w:r>
      <w:r w:rsidR="00F53FD5">
        <w:t xml:space="preserve">Vyhlásenie o rozporoch </w:t>
      </w:r>
    </w:p>
    <w:p w:rsidR="004C4276" w:rsidRDefault="004C4276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1</w:t>
      </w:r>
      <w:r w:rsidR="00F53FD5">
        <w:t>1</w:t>
      </w:r>
      <w:r>
        <w:t xml:space="preserve">. Vyhodnotenie pripomienkového konania </w:t>
      </w:r>
    </w:p>
    <w:p w:rsidR="00F53FD5" w:rsidRDefault="00F53FD5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 xml:space="preserve">12. Návrh vykonávacích predpisov </w:t>
      </w:r>
    </w:p>
    <w:p w:rsidR="00E761AE" w:rsidRPr="00E761AE" w:rsidRDefault="005E2275" w:rsidP="00F53FD5">
      <w:pPr>
        <w:pStyle w:val="Zkladntext2"/>
        <w:widowControl w:val="0"/>
        <w:tabs>
          <w:tab w:val="left" w:pos="-284"/>
          <w:tab w:val="left" w:pos="709"/>
        </w:tabs>
        <w:ind w:left="-142" w:hanging="284"/>
        <w:jc w:val="left"/>
      </w:pPr>
      <w:r>
        <w:t>1</w:t>
      </w:r>
      <w:r w:rsidR="00F53FD5">
        <w:t>3</w:t>
      </w:r>
      <w:r w:rsidR="0099687B">
        <w:t>. Informatívne konsolidované znenia novelizovaných predpisov</w:t>
      </w:r>
    </w:p>
    <w:p w:rsidR="006B7E42" w:rsidRPr="00E761AE" w:rsidRDefault="006B7E42" w:rsidP="00F53FD5">
      <w:pPr>
        <w:pStyle w:val="Zkladntext2"/>
        <w:widowControl w:val="0"/>
        <w:tabs>
          <w:tab w:val="left" w:pos="709"/>
        </w:tabs>
        <w:ind w:left="-567"/>
        <w:jc w:val="both"/>
        <w:sectPr w:rsidR="006B7E42" w:rsidRPr="00E761AE" w:rsidSect="00273AEB">
          <w:type w:val="continuous"/>
          <w:pgSz w:w="11906" w:h="16838"/>
          <w:pgMar w:top="1417" w:right="1416" w:bottom="1417" w:left="1417" w:header="709" w:footer="709" w:gutter="0"/>
          <w:cols w:num="2" w:space="1983"/>
        </w:sectPr>
      </w:pPr>
    </w:p>
    <w:p w:rsidR="009227E9" w:rsidRPr="00E761AE" w:rsidRDefault="009227E9" w:rsidP="00F53FD5">
      <w:pPr>
        <w:pStyle w:val="Zkladntext2"/>
        <w:widowControl w:val="0"/>
        <w:ind w:left="60"/>
        <w:jc w:val="both"/>
        <w:rPr>
          <w:b/>
          <w:bCs/>
          <w:u w:val="single"/>
        </w:rPr>
      </w:pPr>
      <w:r w:rsidRPr="00E761AE">
        <w:rPr>
          <w:b/>
          <w:bCs/>
          <w:u w:val="single"/>
        </w:rPr>
        <w:t>Predkladá:</w:t>
      </w:r>
    </w:p>
    <w:p w:rsidR="009227E9" w:rsidRPr="00E761AE" w:rsidRDefault="009227E9" w:rsidP="00F53FD5">
      <w:pPr>
        <w:pStyle w:val="Zkladntext2"/>
        <w:widowControl w:val="0"/>
        <w:ind w:left="60"/>
        <w:jc w:val="both"/>
      </w:pPr>
    </w:p>
    <w:p w:rsidR="009227E9" w:rsidRDefault="00E761AE" w:rsidP="00F53FD5">
      <w:pPr>
        <w:pStyle w:val="Zkladntext2"/>
        <w:widowControl w:val="0"/>
        <w:ind w:left="62"/>
        <w:jc w:val="both"/>
        <w:rPr>
          <w:color w:val="000000"/>
        </w:rPr>
      </w:pPr>
      <w:r>
        <w:rPr>
          <w:color w:val="000000"/>
        </w:rPr>
        <w:t>Richard Takáč</w:t>
      </w:r>
    </w:p>
    <w:p w:rsidR="00E761AE" w:rsidRDefault="00E761AE" w:rsidP="00F53FD5">
      <w:pPr>
        <w:pStyle w:val="Zkladntext2"/>
        <w:widowControl w:val="0"/>
        <w:ind w:left="62"/>
        <w:jc w:val="both"/>
        <w:rPr>
          <w:color w:val="000000"/>
        </w:rPr>
      </w:pPr>
      <w:r>
        <w:rPr>
          <w:color w:val="000000"/>
        </w:rPr>
        <w:t xml:space="preserve">minister pôdohospodárstva </w:t>
      </w:r>
    </w:p>
    <w:p w:rsidR="00F53FD5" w:rsidRDefault="00E761AE" w:rsidP="00F53FD5">
      <w:pPr>
        <w:pStyle w:val="Zkladntext2"/>
        <w:widowControl w:val="0"/>
        <w:ind w:left="62"/>
        <w:jc w:val="both"/>
      </w:pPr>
      <w:r>
        <w:rPr>
          <w:color w:val="000000"/>
        </w:rPr>
        <w:t>a rozvoja vidieka Slovenskej republiky</w:t>
      </w:r>
    </w:p>
    <w:p w:rsidR="00F53FD5" w:rsidRDefault="00F53FD5" w:rsidP="00F53FD5">
      <w:pPr>
        <w:pStyle w:val="Zkladntext2"/>
        <w:widowControl w:val="0"/>
        <w:ind w:left="62"/>
      </w:pPr>
    </w:p>
    <w:p w:rsidR="00F53FD5" w:rsidRDefault="00F53FD5" w:rsidP="00F53FD5">
      <w:pPr>
        <w:pStyle w:val="Zkladntext2"/>
        <w:widowControl w:val="0"/>
        <w:ind w:left="62"/>
      </w:pPr>
    </w:p>
    <w:p w:rsidR="00F53FD5" w:rsidRPr="00E761AE" w:rsidRDefault="00F53FD5" w:rsidP="00F53FD5">
      <w:pPr>
        <w:pStyle w:val="Zkladntext2"/>
        <w:widowControl w:val="0"/>
        <w:ind w:left="62"/>
      </w:pPr>
      <w:r w:rsidRPr="00E761AE">
        <w:t>Bratisla</w:t>
      </w:r>
      <w:bookmarkStart w:id="1" w:name="_GoBack"/>
      <w:bookmarkEnd w:id="1"/>
      <w:r w:rsidRPr="00E761AE">
        <w:t xml:space="preserve">va, </w:t>
      </w:r>
      <w:r>
        <w:t>jún 2025</w:t>
      </w:r>
    </w:p>
    <w:sectPr w:rsidR="00F53FD5" w:rsidRPr="00E761AE" w:rsidSect="00F53FD5">
      <w:type w:val="continuous"/>
      <w:pgSz w:w="11906" w:h="16838"/>
      <w:pgMar w:top="1418" w:right="1418" w:bottom="993" w:left="1418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76" w:rsidRDefault="004C4276" w:rsidP="004C4276">
      <w:r>
        <w:separator/>
      </w:r>
    </w:p>
  </w:endnote>
  <w:endnote w:type="continuationSeparator" w:id="0">
    <w:p w:rsidR="004C4276" w:rsidRDefault="004C4276" w:rsidP="004C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D5" w:rsidRDefault="00F53FD5" w:rsidP="00F53FD5">
    <w:pPr>
      <w:pStyle w:val="Pta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76" w:rsidRDefault="004C4276" w:rsidP="004C4276">
      <w:r>
        <w:separator/>
      </w:r>
    </w:p>
  </w:footnote>
  <w:footnote w:type="continuationSeparator" w:id="0">
    <w:p w:rsidR="004C4276" w:rsidRDefault="004C4276" w:rsidP="004C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93"/>
    <w:rsid w:val="00032E5C"/>
    <w:rsid w:val="0005717D"/>
    <w:rsid w:val="00060665"/>
    <w:rsid w:val="00086401"/>
    <w:rsid w:val="000907C0"/>
    <w:rsid w:val="000C4537"/>
    <w:rsid w:val="000F070C"/>
    <w:rsid w:val="0012222A"/>
    <w:rsid w:val="00151CBD"/>
    <w:rsid w:val="00167FAB"/>
    <w:rsid w:val="001B639C"/>
    <w:rsid w:val="001C6668"/>
    <w:rsid w:val="001F019B"/>
    <w:rsid w:val="001F0D03"/>
    <w:rsid w:val="0020357D"/>
    <w:rsid w:val="00203723"/>
    <w:rsid w:val="0023447E"/>
    <w:rsid w:val="00273AEB"/>
    <w:rsid w:val="00290A97"/>
    <w:rsid w:val="00297C6D"/>
    <w:rsid w:val="002D7196"/>
    <w:rsid w:val="00331095"/>
    <w:rsid w:val="003635BA"/>
    <w:rsid w:val="003C2E2E"/>
    <w:rsid w:val="003E1ADF"/>
    <w:rsid w:val="00423436"/>
    <w:rsid w:val="00423D5F"/>
    <w:rsid w:val="00467D63"/>
    <w:rsid w:val="0049380A"/>
    <w:rsid w:val="004C4276"/>
    <w:rsid w:val="004D27EE"/>
    <w:rsid w:val="004E5683"/>
    <w:rsid w:val="004F059E"/>
    <w:rsid w:val="0052536B"/>
    <w:rsid w:val="005371B5"/>
    <w:rsid w:val="00542611"/>
    <w:rsid w:val="00561BEC"/>
    <w:rsid w:val="005909F5"/>
    <w:rsid w:val="00594308"/>
    <w:rsid w:val="005C03B3"/>
    <w:rsid w:val="005C3DC5"/>
    <w:rsid w:val="005D39E1"/>
    <w:rsid w:val="005E2275"/>
    <w:rsid w:val="006155CD"/>
    <w:rsid w:val="00621A1E"/>
    <w:rsid w:val="00623031"/>
    <w:rsid w:val="00626291"/>
    <w:rsid w:val="00647D82"/>
    <w:rsid w:val="00647DFA"/>
    <w:rsid w:val="00682040"/>
    <w:rsid w:val="00697534"/>
    <w:rsid w:val="006B7E42"/>
    <w:rsid w:val="006F7C60"/>
    <w:rsid w:val="007372D0"/>
    <w:rsid w:val="00760C9A"/>
    <w:rsid w:val="00761E8B"/>
    <w:rsid w:val="007803EF"/>
    <w:rsid w:val="007A21B0"/>
    <w:rsid w:val="007A6164"/>
    <w:rsid w:val="007C1F1B"/>
    <w:rsid w:val="007D2E6F"/>
    <w:rsid w:val="007E5E0D"/>
    <w:rsid w:val="00813896"/>
    <w:rsid w:val="00823EA5"/>
    <w:rsid w:val="00824A8C"/>
    <w:rsid w:val="00844821"/>
    <w:rsid w:val="0084602A"/>
    <w:rsid w:val="008576C6"/>
    <w:rsid w:val="008A6ED2"/>
    <w:rsid w:val="00901836"/>
    <w:rsid w:val="00902F3D"/>
    <w:rsid w:val="009227E9"/>
    <w:rsid w:val="00961AA3"/>
    <w:rsid w:val="00984E4C"/>
    <w:rsid w:val="0099687B"/>
    <w:rsid w:val="009A24B8"/>
    <w:rsid w:val="009E672E"/>
    <w:rsid w:val="00A01926"/>
    <w:rsid w:val="00A678EF"/>
    <w:rsid w:val="00AA40CE"/>
    <w:rsid w:val="00B41FD1"/>
    <w:rsid w:val="00B440B3"/>
    <w:rsid w:val="00B82532"/>
    <w:rsid w:val="00BA5C9A"/>
    <w:rsid w:val="00BE4639"/>
    <w:rsid w:val="00C024FB"/>
    <w:rsid w:val="00C02793"/>
    <w:rsid w:val="00C309F5"/>
    <w:rsid w:val="00C567AC"/>
    <w:rsid w:val="00CA323B"/>
    <w:rsid w:val="00CE28AD"/>
    <w:rsid w:val="00D05EE6"/>
    <w:rsid w:val="00D119AC"/>
    <w:rsid w:val="00D355FD"/>
    <w:rsid w:val="00D44D8F"/>
    <w:rsid w:val="00D52A28"/>
    <w:rsid w:val="00D76B9B"/>
    <w:rsid w:val="00DA3072"/>
    <w:rsid w:val="00DE564B"/>
    <w:rsid w:val="00E04777"/>
    <w:rsid w:val="00E217A4"/>
    <w:rsid w:val="00E761AE"/>
    <w:rsid w:val="00E904C4"/>
    <w:rsid w:val="00EC7151"/>
    <w:rsid w:val="00EE1C05"/>
    <w:rsid w:val="00EE29BA"/>
    <w:rsid w:val="00EE7F47"/>
    <w:rsid w:val="00F2701A"/>
    <w:rsid w:val="00F30241"/>
    <w:rsid w:val="00F37221"/>
    <w:rsid w:val="00F5374F"/>
    <w:rsid w:val="00F53FD5"/>
    <w:rsid w:val="00F56DC3"/>
    <w:rsid w:val="00F63FF4"/>
    <w:rsid w:val="00F75CC9"/>
    <w:rsid w:val="00FB396F"/>
    <w:rsid w:val="00FB3D5F"/>
    <w:rsid w:val="00FC4C3F"/>
    <w:rsid w:val="00FE0CC7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AAD2C7"/>
  <w15:chartTrackingRefBased/>
  <w15:docId w15:val="{9EEC51B4-CEF8-48B0-BB79-468BC623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793"/>
    <w:pPr>
      <w:autoSpaceDE w:val="0"/>
      <w:autoSpaceDN w:val="0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C02793"/>
    <w:pPr>
      <w:jc w:val="center"/>
    </w:pPr>
    <w:rPr>
      <w:sz w:val="24"/>
      <w:szCs w:val="24"/>
    </w:rPr>
  </w:style>
  <w:style w:type="character" w:customStyle="1" w:styleId="Zkladntext2Char">
    <w:name w:val="Základný text 2 Char"/>
    <w:link w:val="Zkladntext2"/>
    <w:semiHidden/>
    <w:locked/>
    <w:rsid w:val="00C02793"/>
    <w:rPr>
      <w:sz w:val="24"/>
      <w:szCs w:val="24"/>
      <w:lang w:val="sk-SK" w:eastAsia="en-US" w:bidi="ar-SA"/>
    </w:rPr>
  </w:style>
  <w:style w:type="character" w:customStyle="1" w:styleId="Zstupntext1">
    <w:name w:val="Zástupný text1"/>
    <w:semiHidden/>
    <w:rsid w:val="00C0279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semiHidden/>
    <w:rsid w:val="0023447E"/>
    <w:rPr>
      <w:rFonts w:ascii="Tahoma" w:hAnsi="Tahoma" w:cs="Tahoma"/>
      <w:sz w:val="16"/>
      <w:szCs w:val="16"/>
    </w:rPr>
  </w:style>
  <w:style w:type="character" w:customStyle="1" w:styleId="Textzstupnhosymbolu">
    <w:name w:val="Text zástupného symbolu"/>
    <w:uiPriority w:val="99"/>
    <w:semiHidden/>
    <w:rsid w:val="00273AEB"/>
    <w:rPr>
      <w:color w:val="808080"/>
    </w:rPr>
  </w:style>
  <w:style w:type="character" w:customStyle="1" w:styleId="Textzstupnhosymbolu1">
    <w:name w:val="Text zástupného symbolu1"/>
    <w:semiHidden/>
    <w:rsid w:val="009227E9"/>
    <w:rPr>
      <w:rFonts w:ascii="Times New Roman" w:hAnsi="Times New Roman" w:cs="Times New Roman" w:hint="default"/>
      <w:color w:val="808080"/>
    </w:rPr>
  </w:style>
  <w:style w:type="character" w:styleId="Hypertextovprepojenie">
    <w:name w:val="Hyperlink"/>
    <w:uiPriority w:val="99"/>
    <w:unhideWhenUsed/>
    <w:rsid w:val="00060665"/>
    <w:rPr>
      <w:color w:val="0000FF"/>
      <w:u w:val="single"/>
    </w:rPr>
  </w:style>
  <w:style w:type="paragraph" w:styleId="Hlavika">
    <w:name w:val="header"/>
    <w:basedOn w:val="Normlny"/>
    <w:link w:val="HlavikaChar"/>
    <w:rsid w:val="004C42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C4276"/>
    <w:rPr>
      <w:lang w:eastAsia="en-US"/>
    </w:rPr>
  </w:style>
  <w:style w:type="paragraph" w:styleId="Pta">
    <w:name w:val="footer"/>
    <w:basedOn w:val="Normlny"/>
    <w:link w:val="PtaChar"/>
    <w:rsid w:val="004C42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C42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8918-2081-4EFF-9274-27D48D19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 A ROZVOJA VIDIEKA</vt:lpstr>
    </vt:vector>
  </TitlesOfParts>
  <Company>MP SR</Company>
  <LinksUpToDate>false</LinksUpToDate>
  <CharactersWithSpaces>1341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https://www.slov-lex.sk/pravne-predpisy/SK/ZZ/2003/245/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 A ROZVOJA VIDIEKA</dc:title>
  <dc:subject/>
  <dc:creator>iveta.szencziova</dc:creator>
  <cp:keywords/>
  <cp:lastModifiedBy>Benová Tímea</cp:lastModifiedBy>
  <cp:revision>12</cp:revision>
  <cp:lastPrinted>2025-06-17T09:17:00Z</cp:lastPrinted>
  <dcterms:created xsi:type="dcterms:W3CDTF">2024-06-13T09:32:00Z</dcterms:created>
  <dcterms:modified xsi:type="dcterms:W3CDTF">2025-06-17T09:17:00Z</dcterms:modified>
</cp:coreProperties>
</file>