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FD594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C2286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</w:t>
      </w:r>
    </w:p>
    <w:p w14:paraId="5551806E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2B8EAEE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1032"/>
        <w:gridCol w:w="254"/>
        <w:gridCol w:w="1417"/>
        <w:gridCol w:w="1560"/>
      </w:tblGrid>
      <w:tr w:rsidR="00612E08" w:rsidRPr="00612E08" w14:paraId="1D506900" w14:textId="77777777" w:rsidTr="000800FC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7B1986A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0C9073FE" w14:textId="77777777" w:rsidTr="000800FC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30D8E9D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553F7506" w14:textId="77777777" w:rsidTr="000800FC">
        <w:tc>
          <w:tcPr>
            <w:tcW w:w="9180" w:type="dxa"/>
            <w:gridSpan w:val="6"/>
            <w:tcBorders>
              <w:top w:val="single" w:sz="4" w:space="0" w:color="FFFFFF"/>
              <w:bottom w:val="single" w:sz="4" w:space="0" w:color="auto"/>
            </w:tcBorders>
          </w:tcPr>
          <w:p w14:paraId="1CBE8D4D" w14:textId="0BA8FFF3" w:rsidR="001B23B7" w:rsidRPr="00612E08" w:rsidRDefault="008F54BB" w:rsidP="007750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F54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zákona, ktorým sa mení a d</w:t>
            </w:r>
            <w:r w:rsidR="001860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opĺňa zákon č. 280/2017 Z. z. o </w:t>
            </w:r>
            <w:r w:rsidRPr="008F54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poskytovaní podpory a dotácie v pôdohospodárstve a rozvoji vidieka a o zmene zákona č. 292/2014 Z. z. o príspevku poskytovanom z európskych štrukturálnych a investičných fondov a o zmene a doplnení niektorých zákonov v znení neskorších predpis</w:t>
            </w:r>
            <w:r w:rsidR="00775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 v znení neskorších predpisov</w:t>
            </w:r>
            <w:r w:rsidR="00CE3937">
              <w:t xml:space="preserve"> </w:t>
            </w:r>
            <w:r w:rsidR="00CE3937" w:rsidRPr="00CE39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ktorým sa mení zákon č. 247/2024 Z. z. o príspevkoch poskytovaných z Európskeho poľnohospodárskeho fondu pre rozvoj vidieka a o zme</w:t>
            </w:r>
            <w:r w:rsidR="00AA52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 a doplnení niektorých zákonov</w:t>
            </w:r>
          </w:p>
        </w:tc>
      </w:tr>
      <w:tr w:rsidR="00612E08" w:rsidRPr="00612E08" w14:paraId="0EAE983F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E794DE7" w14:textId="77777777" w:rsidR="001B23B7" w:rsidRPr="00D34B25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4B25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13C20B51" w14:textId="77777777" w:rsidTr="000800FC"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37024" w14:textId="77777777" w:rsidR="001B23B7" w:rsidRPr="00D34B25" w:rsidRDefault="008F54B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4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pôdohospodárstva a rozvoja vidieka Slovenskej republiky</w:t>
            </w:r>
          </w:p>
        </w:tc>
      </w:tr>
      <w:tr w:rsidR="00612E08" w:rsidRPr="00612E08" w14:paraId="73C7C266" w14:textId="77777777" w:rsidTr="000800FC"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1638EE08" w14:textId="77777777" w:rsidR="001B23B7" w:rsidRPr="00D34B25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4B25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11066F3" w14:textId="77777777" w:rsidR="001B23B7" w:rsidRPr="00D34B25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4B2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A3B0B" w14:textId="6F99EAC5" w:rsidR="001B23B7" w:rsidRPr="00D34B25" w:rsidRDefault="008C7146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</w:t>
            </w:r>
            <w:r w:rsidR="001B23B7" w:rsidRPr="00D34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teriál nelegislatívnej </w:t>
            </w:r>
            <w:r w:rsidR="000C686D" w:rsidRPr="00D34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povahy</w:t>
            </w:r>
          </w:p>
        </w:tc>
      </w:tr>
      <w:tr w:rsidR="00612E08" w:rsidRPr="00612E08" w14:paraId="0119ED7D" w14:textId="77777777" w:rsidTr="000800FC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179C61B" w14:textId="77777777" w:rsidR="001B23B7" w:rsidRPr="00D34B25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7B1C7CF" w14:textId="77777777" w:rsidR="001B23B7" w:rsidRPr="00D34B25" w:rsidRDefault="008F54B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4B2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A4B2D6A" w14:textId="77777777" w:rsidR="001B23B7" w:rsidRPr="00D34B25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4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704EC756" w14:textId="77777777" w:rsidTr="000800FC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5AB88DCE" w14:textId="77777777" w:rsidR="001B23B7" w:rsidRPr="00D34B25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524F6EB" w14:textId="77777777" w:rsidR="001B23B7" w:rsidRPr="00D34B25" w:rsidRDefault="00D34B25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4B2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6218DEF" w14:textId="77777777" w:rsidR="001B23B7" w:rsidRPr="00D34B25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4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D34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D34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4622C6C1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19423351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34B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D34B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D34B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D34B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D34B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1BB774AF" w14:textId="4589363D" w:rsidR="00D34B25" w:rsidRDefault="00D34B25" w:rsidP="0018601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BF2A06C" w14:textId="5C3D876F" w:rsidR="001E2FDC" w:rsidRPr="00CA005E" w:rsidRDefault="00DF1A57" w:rsidP="00314C4F">
            <w:pPr>
              <w:pStyle w:val="Odsekzoznamu"/>
              <w:numPr>
                <w:ilvl w:val="0"/>
                <w:numId w:val="3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n</w:t>
            </w:r>
            <w:r w:rsidR="001E2FDC" w:rsidRPr="00314C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ariadenie </w:t>
            </w:r>
            <w:r w:rsidR="001E2FDC" w:rsidRPr="00314C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Európskeho parlamentu a Rady (EÚ) č. 1308/2013 zo 17. decembra 2013, ktorým sa vytvára spoločná organizácia trhov s poľnohospodárskymi výrobkami, a ktorým sa zrušujú nariadenia Rady (EHS) č. 922/72, (EHS) č. 234/79, (ES) č. 1037/2001 a (ES) č. 1234/2007 (Ú. v. EÚ L 347, 20.12.2013) v platnom znení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, </w:t>
            </w:r>
          </w:p>
          <w:p w14:paraId="3F81A07D" w14:textId="140736EF" w:rsidR="00DF1A57" w:rsidRPr="00CA005E" w:rsidRDefault="005619F8" w:rsidP="00314C4F">
            <w:pPr>
              <w:pStyle w:val="Odsekzoznamu"/>
              <w:numPr>
                <w:ilvl w:val="0"/>
                <w:numId w:val="3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delegované</w:t>
            </w:r>
            <w:r w:rsidRPr="005619F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nariadeni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5619F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61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Komisie (EÚ) 2016/1237 z 18. mája 2016, ktorým sa dopĺňa nariadenie Európskeho parlamentu a Rady (EÚ) č. 1308/2013, pokiaľ ide o pravidlá uplatňovania systému dovozných a vývozných licencií, a ktorým sa dopĺňa nariadenie Európskeho parlamentu a Rady (EÚ) č. 1306/2013, pokiaľ ide o pravidlá týkajúce sa uvoľnenia a prepadnutia zábezpeky zloženej pre takéto licencie, ktorým sa menia nariadenia Komisie (ES) č. 2535/2001, (ES) č. 1342/2003, (ES) č. 2336/2003, (ES) č. 951/2006, (ES) č. 341/2007 a (ES) č. 382/2008 a zrušujú nariadenia Komisie (ES) č. 2390/98, (ES) č. 1345/2005, (ES) č. 376/2008 a (ES) č. 507/2008 </w:t>
            </w:r>
            <w:r w:rsidRPr="005619F8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sk-SK"/>
              </w:rPr>
              <w:t>(Ú. v. E</w:t>
            </w:r>
            <w:r w:rsidR="00787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Ú</w:t>
            </w:r>
            <w:r w:rsidRPr="005619F8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sk-SK"/>
              </w:rPr>
              <w:t xml:space="preserve"> L</w:t>
            </w:r>
            <w:r w:rsidRPr="00561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Pr="005619F8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sk-SK"/>
              </w:rPr>
              <w:t>206 30.7.2016)</w:t>
            </w:r>
            <w:r w:rsidRPr="00561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v platnom znení </w:t>
            </w:r>
            <w:r w:rsidRPr="005619F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 poľnohospodárske výrobky</w:t>
            </w:r>
            <w:r w:rsidRPr="005619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uvedené v prílohe I k Zmluve o fungovaní Európskej únie (Ú. v. EÚ C 202, 7.6.2016)</w:t>
            </w:r>
            <w:r w:rsidRPr="00561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sk-SK"/>
              </w:rPr>
              <w:t xml:space="preserve"> </w:t>
            </w:r>
            <w:r w:rsidRPr="005619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v platnom znení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, </w:t>
            </w:r>
          </w:p>
          <w:p w14:paraId="3D70836D" w14:textId="45C14A74" w:rsidR="005619F8" w:rsidRPr="00CA005E" w:rsidRDefault="00C56A93" w:rsidP="00314C4F">
            <w:pPr>
              <w:pStyle w:val="Odsekzoznamu"/>
              <w:numPr>
                <w:ilvl w:val="0"/>
                <w:numId w:val="3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56A93"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sk-SK" w:bidi="sk-SK"/>
              </w:rPr>
              <w:t>vykonávac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ie</w:t>
            </w:r>
            <w:r w:rsidRPr="00C56A93"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sk-SK" w:bidi="sk-SK"/>
              </w:rPr>
              <w:t xml:space="preserve"> nariaden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ie</w:t>
            </w:r>
            <w:r w:rsidRPr="00C56A93"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 w:rsidRPr="00C56A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Komisie (EÚ) 2016/1239 z 18. mája 2016, ktorým sa stanovujú pravidlá uplatňovania nariadenia Európskeho parlamentu a Rady (EÚ) č. 1308/2013, pokiaľ ide o systém dovozných a vývozných licencií </w:t>
            </w:r>
            <w:r w:rsidRPr="00C56A93"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sk-SK" w:bidi="sk-SK"/>
              </w:rPr>
              <w:t>(Ú.</w:t>
            </w:r>
            <w:r w:rsidRPr="00C56A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 </w:t>
            </w:r>
            <w:r w:rsidRPr="00C56A93"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sk-SK" w:bidi="sk-SK"/>
              </w:rPr>
              <w:t>v. E</w:t>
            </w:r>
            <w:r w:rsidR="007871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Ú</w:t>
            </w:r>
            <w:r w:rsidRPr="00C56A93"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sk-SK" w:bidi="sk-SK"/>
              </w:rPr>
              <w:t xml:space="preserve"> L 206 30.7.2016)</w:t>
            </w:r>
            <w:r w:rsidRPr="00C56A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v platnom znení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, </w:t>
            </w:r>
          </w:p>
          <w:p w14:paraId="23521969" w14:textId="333FE7E2" w:rsidR="008528DE" w:rsidRPr="00CA005E" w:rsidRDefault="008528DE" w:rsidP="00314C4F">
            <w:pPr>
              <w:pStyle w:val="Odsekzoznamu"/>
              <w:numPr>
                <w:ilvl w:val="0"/>
                <w:numId w:val="3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vykonávacie nariadenie</w:t>
            </w:r>
            <w:r w:rsidRPr="008528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Komisie (EÚ) 2017/39 z 3. novembra 2016 o pravidlách uplatňovania nar</w:t>
            </w:r>
            <w:r w:rsidR="008272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iadenia Európskeho </w:t>
            </w:r>
            <w:r w:rsidR="00A64D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parla</w:t>
            </w:r>
            <w:r w:rsidR="00A64D70" w:rsidRPr="008528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mentu</w:t>
            </w:r>
            <w:r w:rsidRPr="008528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a Rady (EÚ) č. 1308/2013 v súvislosti s pomocou Únie na dodávanie ovocia, zeleniny, banánov a mlieka vo vzdelávacích zariadeniach </w:t>
            </w:r>
            <w:r w:rsidRPr="008528DE"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sk-SK" w:bidi="sk-SK"/>
              </w:rPr>
              <w:t>(Ú. v. E</w:t>
            </w:r>
            <w:r w:rsidR="00495CA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Ú</w:t>
            </w:r>
            <w:r w:rsidRPr="008528DE"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sk-SK" w:bidi="sk-SK"/>
              </w:rPr>
              <w:t xml:space="preserve"> L 005 10.1.2017)</w:t>
            </w:r>
            <w:r w:rsidRPr="008528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v platnom znení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, </w:t>
            </w:r>
          </w:p>
          <w:p w14:paraId="04FD847C" w14:textId="6D101D37" w:rsidR="00C56A93" w:rsidRPr="00CA005E" w:rsidRDefault="00C26C1C" w:rsidP="00314C4F">
            <w:pPr>
              <w:pStyle w:val="Odsekzoznamu"/>
              <w:numPr>
                <w:ilvl w:val="0"/>
                <w:numId w:val="3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delegované</w:t>
            </w:r>
            <w:r w:rsidRPr="00C26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nariadeni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e Komisie (EÚ) 2020/760 zo </w:t>
            </w:r>
            <w:r w:rsidRPr="00C26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17. decembra 2019, ktorým sa dopĺňa nariadenie Európskeho parlamentu a Rady (EÚ) č. 1308/2013, pokiaľ ide o pravidlá správy dovozných a vývozných colných kvót, ktoré podliehajú licenciám, a ktorým sa dopĺňa nariadenie Európskeho parlamentu a Rady (EÚ) č. 1306/2013, pokiaľ ide o zloženie zábezpeky pri správe colných kvót </w:t>
            </w:r>
            <w:r w:rsidRPr="00C26C1C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sk-SK"/>
              </w:rPr>
              <w:t>(Ú. v. E</w:t>
            </w:r>
            <w:r w:rsidR="00495C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Ú</w:t>
            </w:r>
            <w:r w:rsidRPr="00C26C1C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sk-SK"/>
              </w:rPr>
              <w:t xml:space="preserve"> L 185 12.6.2020)</w:t>
            </w:r>
            <w:r w:rsidR="00286FE1" w:rsidRPr="00286F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v platnom znení</w:t>
            </w:r>
            <w:r w:rsidR="00286F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, </w:t>
            </w:r>
          </w:p>
          <w:p w14:paraId="6300B230" w14:textId="5268FEBF" w:rsidR="00286FE1" w:rsidRPr="00CA005E" w:rsidRDefault="00787125" w:rsidP="00314C4F">
            <w:pPr>
              <w:pStyle w:val="Odsekzoznamu"/>
              <w:numPr>
                <w:ilvl w:val="0"/>
                <w:numId w:val="3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vykonávacie</w:t>
            </w:r>
            <w:r w:rsidRPr="007871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nariadenie</w:t>
            </w:r>
            <w:r w:rsidRPr="007871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Komisie (EÚ) 2020/761 zo 17. decembra 2019, ktorým sa stanovujú pravidlá uplatňovania nariadení Európskeho parlamentu a Rady (EÚ) č. 1306/2013, (EÚ) č. 1308/2013 a (EÚ) č. 510/2014, pokiaľ ide o systém správy colných kvót na základe licencií</w:t>
            </w:r>
            <w:r w:rsidRPr="00787125" w:rsidDel="00C83A6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 w:rsidRPr="007871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(Ú.</w:t>
            </w:r>
            <w:r w:rsidRPr="007871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7871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v.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EÚ</w:t>
            </w:r>
            <w:r w:rsidRPr="007871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L 185 12.6.2020) v platnom znení,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</w:p>
          <w:p w14:paraId="2101CD51" w14:textId="5ECB8E03" w:rsidR="00FB56D4" w:rsidRPr="00CA005E" w:rsidRDefault="00FB56D4" w:rsidP="00314C4F">
            <w:pPr>
              <w:pStyle w:val="Odsekzoznamu"/>
              <w:numPr>
                <w:ilvl w:val="0"/>
                <w:numId w:val="3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nariadenie </w:t>
            </w:r>
            <w:r w:rsidRPr="00FB56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Európskeho parlamentu a Ra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dy (EÚ) 2021/2115 z 2. decembra </w:t>
            </w:r>
            <w:r w:rsidRPr="00FB56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2021, ktorým sa stanovujú pravidlá podpory strategických plánov, ktoré majú zostaviť členské štáty v rámci spoločnej poľnohospodárskej politiky (strategické plány SPP) a ktoré sú financované z Európskeho poľnohospodárskeho záručného fondu (EPZF) a Európskeho poľnohospodárskeho fondu pre rozvoj vidieka (EPFRV), a ktorým sa zrušujú nariadenia (EÚ) č. 1305/2013 a (EÚ) č. 1307/2013 (Ú. v. E</w:t>
            </w:r>
            <w:r w:rsidR="009D7D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Ú</w:t>
            </w:r>
            <w:r w:rsidRPr="00FB56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L 435, 6.12.2021)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 w:rsidRPr="00FB56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v platnom znení,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</w:p>
          <w:p w14:paraId="4789F691" w14:textId="332D75E0" w:rsidR="00787125" w:rsidRPr="00314C4F" w:rsidRDefault="00CC2495" w:rsidP="00314C4F">
            <w:pPr>
              <w:pStyle w:val="Odsekzoznamu"/>
              <w:numPr>
                <w:ilvl w:val="0"/>
                <w:numId w:val="3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314C4F">
              <w:rPr>
                <w:rFonts w:ascii="Times New Roman" w:hAnsi="Times New Roman" w:cs="Times New Roman"/>
                <w:bCs/>
                <w:sz w:val="20"/>
              </w:rPr>
              <w:t>nariadenie Európskeho parlamentu a Rady (EÚ) 2021/2116 z 2. decembra 2021 o financovaní, riadení a monitorovaní spoločnej poľnohospodárskej politiky a o zrušení nariadenia (EÚ) č. 1306/2013 (Ú. v. ES L 435, 6.12.2021) a čl. 24 až 28 delegovaného nariadenia Komisie (EÚ) 2022/127 zo 7. decembra 2021, ktorým sa dopĺňa nariadenie Európskeho parlamentu a Rady (EÚ) 2021/2116 o pravidlá platné pre platobné agentúry a iné orgány, finančné riadenie, schvaľovanie účtov, zábezpeky a používanie eura (</w:t>
            </w:r>
            <w:r w:rsidRPr="00314C4F">
              <w:rPr>
                <w:rFonts w:ascii="Times New Roman" w:hAnsi="Times New Roman" w:cs="Times New Roman"/>
                <w:bCs/>
                <w:iCs/>
                <w:sz w:val="20"/>
              </w:rPr>
              <w:t>Ú. v. EÚ L 20, 31.1.2022</w:t>
            </w:r>
            <w:r w:rsidRPr="00314C4F">
              <w:rPr>
                <w:rFonts w:ascii="Times New Roman" w:hAnsi="Times New Roman" w:cs="Times New Roman"/>
                <w:bCs/>
                <w:sz w:val="20"/>
              </w:rPr>
              <w:t xml:space="preserve">) v platnom znení, </w:t>
            </w:r>
          </w:p>
          <w:p w14:paraId="720FEADD" w14:textId="56DECD75" w:rsidR="00FB56D4" w:rsidRPr="00314C4F" w:rsidRDefault="009D7DE5" w:rsidP="00314C4F">
            <w:pPr>
              <w:pStyle w:val="Odsekzoznamu"/>
              <w:numPr>
                <w:ilvl w:val="0"/>
                <w:numId w:val="3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lang w:eastAsia="sk-SK" w:bidi="sk-SK"/>
              </w:rPr>
              <w:t>delegované nariadenie</w:t>
            </w:r>
            <w:r w:rsidRPr="009D7DE5">
              <w:rPr>
                <w:rFonts w:ascii="Times New Roman" w:eastAsia="Times New Roman" w:hAnsi="Times New Roman" w:cs="Times New Roman"/>
                <w:bCs/>
                <w:iCs/>
                <w:sz w:val="20"/>
                <w:lang w:eastAsia="sk-SK" w:bidi="sk-SK"/>
              </w:rPr>
              <w:t xml:space="preserve"> Komisie (EÚ) 2022/126 zo 7. decembra 2021, ktorým sa dopĺňa nariadenie Európskeho parlamentu a Rady (EÚ) 2021/2115 o dodatočné požiadavky na určité typy intervencie </w:t>
            </w:r>
            <w:r w:rsidRPr="009D7DE5">
              <w:rPr>
                <w:rFonts w:ascii="Times New Roman" w:eastAsia="Times New Roman" w:hAnsi="Times New Roman" w:cs="Times New Roman"/>
                <w:bCs/>
                <w:iCs/>
                <w:sz w:val="20"/>
                <w:lang w:eastAsia="sk-SK" w:bidi="sk-SK"/>
              </w:rPr>
              <w:lastRenderedPageBreak/>
              <w:t>stanovené členskými štátmi v ich strategických plánoch SPP na obdobie 2023 až 2027 podľa uvedeného nariadenia, ako aj o pravidlá týkajúce sa pomeru pre normu dobrého poľnohospodárskeho</w:t>
            </w:r>
            <w:r w:rsidRPr="009D7DE5">
              <w:rPr>
                <w:rFonts w:ascii="Times New Roman" w:eastAsia="Times New Roman" w:hAnsi="Times New Roman" w:cs="Times New Roman"/>
                <w:bCs/>
                <w:iCs/>
                <w:sz w:val="20"/>
                <w:lang w:eastAsia="sk-SK" w:bidi="sk-SK"/>
              </w:rPr>
              <w:br/>
              <w:t>a environmentálneho stavu 1 (norma GAEC 1) (Ú. v. E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lang w:eastAsia="sk-SK" w:bidi="sk-SK"/>
              </w:rPr>
              <w:t>Ú</w:t>
            </w:r>
            <w:r w:rsidRPr="009D7DE5">
              <w:rPr>
                <w:rFonts w:ascii="Times New Roman" w:eastAsia="Times New Roman" w:hAnsi="Times New Roman" w:cs="Times New Roman"/>
                <w:bCs/>
                <w:iCs/>
                <w:sz w:val="20"/>
                <w:lang w:eastAsia="sk-SK" w:bidi="sk-SK"/>
              </w:rPr>
              <w:t xml:space="preserve"> L 20, 31.1.2022)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lang w:eastAsia="sk-SK" w:bidi="sk-SK"/>
              </w:rPr>
              <w:t xml:space="preserve"> </w:t>
            </w:r>
            <w:r w:rsidRPr="009D7DE5">
              <w:rPr>
                <w:rFonts w:ascii="Times New Roman" w:eastAsia="Times New Roman" w:hAnsi="Times New Roman" w:cs="Times New Roman"/>
                <w:bCs/>
                <w:iCs/>
                <w:sz w:val="20"/>
                <w:lang w:eastAsia="sk-SK" w:bidi="sk-SK"/>
              </w:rPr>
              <w:t>v platnom znení,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lang w:eastAsia="sk-SK" w:bidi="sk-SK"/>
              </w:rPr>
              <w:t xml:space="preserve"> </w:t>
            </w:r>
          </w:p>
          <w:p w14:paraId="0A790687" w14:textId="7CF3774D" w:rsidR="00CC2495" w:rsidRPr="00CA005E" w:rsidRDefault="008B4655" w:rsidP="00314C4F">
            <w:pPr>
              <w:pStyle w:val="Odsekzoznamu"/>
              <w:numPr>
                <w:ilvl w:val="0"/>
                <w:numId w:val="3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delegované nariadenie</w:t>
            </w:r>
            <w:r w:rsidRPr="008B46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 xml:space="preserve"> Komisie (EÚ) 2022/127 zo 7. decembra 2021, ktorým sa dopĺňa nariadenie Európskeho parlamentu a Rady (EÚ) 2021/2116 o pravidlá platné pre platobné agentúry a iné orgány, finančné riadenie, schvaľovanie účtov, zábezpeky a používanie eura (</w:t>
            </w:r>
            <w:r w:rsidRPr="008B4655">
              <w:rPr>
                <w:rFonts w:ascii="Times New Roman" w:eastAsia="Times New Roman" w:hAnsi="Times New Roman" w:cs="Times New Roman"/>
                <w:bCs/>
                <w:iCs/>
                <w:sz w:val="20"/>
                <w:lang w:eastAsia="sk-SK"/>
              </w:rPr>
              <w:t>Ú. v. E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lang w:eastAsia="sk-SK"/>
              </w:rPr>
              <w:t>Ú</w:t>
            </w:r>
            <w:r w:rsidRPr="008B4655">
              <w:rPr>
                <w:rFonts w:ascii="Times New Roman" w:eastAsia="Times New Roman" w:hAnsi="Times New Roman" w:cs="Times New Roman"/>
                <w:bCs/>
                <w:iCs/>
                <w:sz w:val="20"/>
                <w:lang w:eastAsia="sk-SK"/>
              </w:rPr>
              <w:t xml:space="preserve"> L 20, 31.1.2022</w:t>
            </w:r>
            <w:r w:rsidRPr="008B46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) v platnom znení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 xml:space="preserve">, </w:t>
            </w:r>
          </w:p>
          <w:p w14:paraId="769A126B" w14:textId="071B1253" w:rsidR="00E30018" w:rsidRPr="00314C4F" w:rsidRDefault="00E30018" w:rsidP="00314C4F">
            <w:pPr>
              <w:pStyle w:val="Odsekzoznamu"/>
              <w:numPr>
                <w:ilvl w:val="0"/>
                <w:numId w:val="3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314C4F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vykonávacie nariadenie Komisie (EÚ) 2022/128 z 21. decembra 2021, ktorým sa stanovujú pravidlá uplatňovania nariadenia (EÚ) Európskeho parlamentu a Rady (EÚ) 2021/2116 vzhľadom na platobné agentúry a ostatné orgány, finančné riadenie, schvaľovanie účtov, kontroly, zábezpeky a transparentnosť (</w:t>
            </w:r>
            <w:r w:rsidRPr="00314C4F">
              <w:rPr>
                <w:rFonts w:ascii="Times New Roman" w:eastAsia="Times New Roman" w:hAnsi="Times New Roman" w:cs="Times New Roman"/>
                <w:bCs/>
                <w:iCs/>
                <w:sz w:val="20"/>
                <w:lang w:eastAsia="sk-SK"/>
              </w:rPr>
              <w:t>Ú. v. EÚ L 20, 31.1.2022</w:t>
            </w:r>
            <w:r w:rsidRPr="00314C4F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)</w:t>
            </w:r>
            <w:r w:rsidRPr="00E30018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 xml:space="preserve"> </w:t>
            </w:r>
            <w:r w:rsidRPr="00314C4F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v platnom znení</w:t>
            </w:r>
            <w:r w:rsidR="0082728E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.</w:t>
            </w:r>
          </w:p>
          <w:p w14:paraId="7F179101" w14:textId="77777777" w:rsidR="001B23B7" w:rsidRPr="00D34B25" w:rsidRDefault="001B23B7" w:rsidP="00314C4F">
            <w:pPr>
              <w:pStyle w:val="Textkomentra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612E08" w:rsidRPr="00612E08" w14:paraId="62AE12C2" w14:textId="77777777" w:rsidTr="000800FC"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F2FA976" w14:textId="77777777" w:rsidR="001B23B7" w:rsidRPr="00D34B25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4B25">
              <w:rPr>
                <w:rFonts w:ascii="Times New Roman" w:eastAsia="Calibri" w:hAnsi="Times New Roman" w:cs="Times New Roman"/>
                <w:b/>
              </w:rPr>
              <w:lastRenderedPageBreak/>
              <w:t>Termín začiatku a ukončenia PPK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FB6C" w14:textId="3FBE12C8" w:rsidR="001B23B7" w:rsidRPr="00D34B25" w:rsidRDefault="00DC4A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2170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  <w:r w:rsidR="001423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2170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1423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apríl</w:t>
            </w:r>
            <w:r w:rsidR="0018601D" w:rsidRPr="00D34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2025</w:t>
            </w:r>
          </w:p>
        </w:tc>
      </w:tr>
      <w:tr w:rsidR="00612E08" w:rsidRPr="00612E08" w14:paraId="109826FF" w14:textId="77777777" w:rsidTr="000800FC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B1282FA" w14:textId="77777777" w:rsidR="001B23B7" w:rsidRPr="00D34B25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4B25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D34B25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D3E" w14:textId="214C523A" w:rsidR="001B23B7" w:rsidRPr="00D34B25" w:rsidRDefault="00F71E1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máj </w:t>
            </w:r>
            <w:r w:rsidR="00D34B25" w:rsidRPr="00D34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2025</w:t>
            </w:r>
          </w:p>
        </w:tc>
      </w:tr>
      <w:tr w:rsidR="00612E08" w:rsidRPr="00612E08" w14:paraId="33E7252F" w14:textId="77777777" w:rsidTr="00D2313B">
        <w:trPr>
          <w:trHeight w:val="32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81CC573" w14:textId="77777777" w:rsidR="001B23B7" w:rsidRPr="00D34B25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D34B25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D34B25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B30" w14:textId="77777777" w:rsidR="001B23B7" w:rsidRPr="00D34B25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3EF83933" w14:textId="77777777" w:rsidTr="000800FC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58A4042" w14:textId="77777777" w:rsidR="001B23B7" w:rsidRPr="00D34B25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34B25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090E" w14:textId="77777777" w:rsidR="001B23B7" w:rsidRPr="00D34B25" w:rsidRDefault="00D34B2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D34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ún 2025</w:t>
            </w:r>
          </w:p>
        </w:tc>
      </w:tr>
      <w:tr w:rsidR="00612E08" w:rsidRPr="00612E08" w14:paraId="35827719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B72E9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4489F77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1FCEA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2431D619" w14:textId="77777777" w:rsidTr="000800FC"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A38D2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1602D105" w14:textId="77777777" w:rsidR="008F54BB" w:rsidRDefault="008F54BB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51962B2" w14:textId="60E28A0D" w:rsidR="001B23B7" w:rsidRDefault="0094390B" w:rsidP="00C30D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V oblasti hodnotenia účinnosti </w:t>
            </w:r>
            <w:r w:rsidR="005E24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podporných nástrojov spoločnej poľnohospodárskej politiky</w:t>
            </w:r>
            <w:r w:rsid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5E24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len „SPP“)</w:t>
            </w:r>
            <w:r w:rsidR="005E24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 p</w:t>
            </w:r>
            <w:r w:rsidR="008F54BB" w:rsidRPr="008F54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otreb</w:t>
            </w:r>
            <w:r w:rsidR="00D076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né</w:t>
            </w:r>
            <w:r w:rsidR="008F54BB" w:rsidRPr="008F54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5E24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ustanoviť </w:t>
            </w:r>
            <w:r w:rsidR="008F54BB" w:rsidRPr="008F54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legislatívn</w:t>
            </w:r>
            <w:r w:rsid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</w:t>
            </w:r>
            <w:r w:rsidR="008F54BB" w:rsidRPr="008F54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rám</w:t>
            </w:r>
            <w:r w:rsid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ec</w:t>
            </w:r>
            <w:r w:rsidR="008F54BB" w:rsidRPr="008F54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</w:t>
            </w:r>
            <w:r w:rsid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421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získavanie </w:t>
            </w:r>
            <w:r w:rsidR="008F65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rezortných </w:t>
            </w:r>
            <w:r w:rsidR="008F54BB" w:rsidRPr="008F54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štatistických </w:t>
            </w:r>
            <w:r w:rsidR="00421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údajov</w:t>
            </w:r>
            <w:r w:rsidR="008F54BB" w:rsidRPr="008F54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ktoré slúžia </w:t>
            </w:r>
            <w:r w:rsidR="00865E3C" w:rsidRPr="004B17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účely podľa </w:t>
            </w:r>
            <w:r w:rsidR="003B10FD" w:rsidRPr="003B10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§ 5</w:t>
            </w:r>
            <w:r w:rsidR="003B10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B10FD" w:rsidRPr="004B17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ods</w:t>
            </w:r>
            <w:r w:rsidR="003B10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8F65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5E24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 písm. </w:t>
            </w:r>
            <w:r w:rsidR="003B10FD" w:rsidRPr="004B17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c)</w:t>
            </w:r>
            <w:r w:rsidR="003D3C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 w:rsidR="003B10FD" w:rsidRPr="004B17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d) </w:t>
            </w:r>
            <w:r w:rsidR="005E24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zákona </w:t>
            </w:r>
            <w:r w:rsidR="00775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č. 280/2017 Z. z. o </w:t>
            </w:r>
            <w:r w:rsidR="007750B2" w:rsidRPr="008F54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poskytovaní podpo</w:t>
            </w:r>
            <w:r w:rsidR="00BA15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ry a dotácie v pôdohospodárstve</w:t>
            </w:r>
            <w:r w:rsidR="00BA15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="007750B2" w:rsidRPr="008F54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r</w:t>
            </w:r>
            <w:r w:rsidR="00775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ozvoji</w:t>
            </w:r>
            <w:r w:rsidR="005E24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vidieka a o zmene zákona </w:t>
            </w:r>
            <w:r w:rsidR="007750B2" w:rsidRPr="008F54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292/2014 Z. z. o príspevku poskytova</w:t>
            </w:r>
            <w:r w:rsidR="005E24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nom z európskych štrukturálnych</w:t>
            </w:r>
            <w:r w:rsidR="005E24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="007750B2" w:rsidRPr="008F54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 investičných fondov a o zmene a doplnení niektorých zákonov v znení neskorších predpisov v znení neskorších predpisov </w:t>
            </w:r>
            <w:r w:rsidR="005E24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(ďalej len „zákon </w:t>
            </w:r>
            <w:r w:rsidR="00775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280/2017 Z. z.“) –</w:t>
            </w:r>
            <w:r w:rsidR="00EC561D" w:rsidRPr="00EC56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analýzy,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C561D" w:rsidRPr="00EC56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vypracovan</w:t>
            </w:r>
            <w:r w:rsidR="00EB79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ie</w:t>
            </w:r>
            <w:r w:rsidR="00F63A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B79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Správy</w:t>
            </w:r>
            <w:r w:rsidR="00F63A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B79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poľnohospodárstve a</w:t>
            </w:r>
            <w:r w:rsid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EC561D" w:rsidRPr="00EC56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potravinárstve v</w:t>
            </w:r>
            <w:r w:rsidR="00EB79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Slovenskej republike, Správy o </w:t>
            </w:r>
            <w:r w:rsidR="001860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lesnom hospodárstve v </w:t>
            </w:r>
            <w:r w:rsidR="00EC561D" w:rsidRPr="00EC56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Slovenskej republike, vypracovanie integrovaných environmentálnych a ekonomických účtov pre lesy, vypracovanie Ekonomického </w:t>
            </w:r>
            <w:r w:rsidR="005E24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poľnohospodárskeho účtu </w:t>
            </w:r>
            <w:r w:rsidR="00EC561D" w:rsidRPr="00EC56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na hodnotenie Strategického plánu SPP</w:t>
            </w:r>
            <w:r w:rsidR="008F54BB" w:rsidRPr="008F54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DD6FC45" w14:textId="5490D2C4" w:rsidR="009516AB" w:rsidRDefault="009516AB" w:rsidP="00C30D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2F27B66" w14:textId="22E65C4B" w:rsidR="009516AB" w:rsidRPr="00687E15" w:rsidRDefault="009516AB" w:rsidP="00C30D8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Vo vzťahu k dovozným alebo vývozným licenciám </w:t>
            </w:r>
            <w:r w:rsidR="00071E74" w:rsidRPr="00071E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 poľnohospodárske výrobky</w:t>
            </w:r>
            <w:r w:rsidR="00071E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071E74" w:rsidRPr="00071E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ktoré patria pod spoločnú organizáciu poľnohospodárskych trhov</w:t>
            </w:r>
            <w:r w:rsidR="001160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vrátane dovozov alebo vývozov týchto poľnohospodárskych výrobkov v rámci colnej kvóty</w:t>
            </w:r>
            <w:r w:rsidR="00835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s tým súvisiacej </w:t>
            </w:r>
            <w:r w:rsidR="00FC44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povinnej </w:t>
            </w:r>
            <w:r w:rsidR="00835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registrácie hospodárskych subjektov </w:t>
            </w:r>
            <w:r w:rsidR="00FC44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835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83539D" w:rsidRPr="00835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elektronickom systéme registrácie a identifikácie hospod</w:t>
            </w:r>
            <w:r w:rsidR="00835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árskych subjektov žiadajúcich o</w:t>
            </w:r>
            <w:r w:rsidR="00FC44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83539D" w:rsidRPr="00835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licenciu</w:t>
            </w:r>
            <w:r w:rsidR="00FC44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sankčnými mechanizmami pre tieto </w:t>
            </w:r>
            <w:r w:rsidR="00FC44F3" w:rsidRPr="00687E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hospodárske subjekty na úrovni Európskej únie v podobe obmedzení týchto dovozov alebo vývozov či obmedzení udeľovania licencií pre tieto subjekty, </w:t>
            </w:r>
            <w:r w:rsidR="00BE6CA9" w:rsidRPr="00687E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ako aj vo vzťahu k požiadavke </w:t>
            </w:r>
            <w:r w:rsidR="0076096F" w:rsidRPr="00687E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osobitného </w:t>
            </w:r>
            <w:r w:rsidR="00BE6CA9" w:rsidRPr="00687E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oprávnenia </w:t>
            </w:r>
            <w:r w:rsidR="0076096F" w:rsidRPr="00687E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 dovoz </w:t>
            </w:r>
            <w:r w:rsidR="0076096F" w:rsidRPr="00687E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konopných semien určených na iný účel ako na siatie do Európskej únie, sú aktuálne ustanovené právomoci orgánov verejnej moci Slovenskej republiky nedostatočné na to, aby umožnili </w:t>
            </w:r>
            <w:r w:rsidR="00CF2B06" w:rsidRPr="00687E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implementáciu</w:t>
            </w:r>
            <w:r w:rsidR="0076096F" w:rsidRPr="00687E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všetkých požiadaviek ustanovených v práve Európskej únie na úrovni Slovenskej republiky.</w:t>
            </w:r>
          </w:p>
          <w:p w14:paraId="7A6F6D47" w14:textId="2AE4E439" w:rsidR="00687E15" w:rsidRDefault="00687E15" w:rsidP="00C30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Ďalším problémom sú nedostatočné právomoci vo vzťahu k podpore, ktorá síce bola legálne poskytnutá na základe zákonne vydaného rozhodnutia, ale ktorú by mal jej prijímateľ vrátiť z dôvodu, že nesplnil požiadavky, ktoré je podľa práva Európskej únie alebo podľa vnútroštátneho práva Slovenskej republiky povinný spĺňať po jej poskytnutí, a to predovšetkým požiadavky na udržateľnosť investičných aktív, ktoré si z tejto podpory obstaral.</w:t>
            </w:r>
          </w:p>
          <w:p w14:paraId="2A14395F" w14:textId="3E9C910C" w:rsidR="00D60C83" w:rsidRDefault="00D60C83" w:rsidP="00C30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55F6A" w14:textId="738D8BAB" w:rsidR="00D60C83" w:rsidRDefault="00D60C83" w:rsidP="00C30D8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Zákon č. 280/2017 Z. z. v spojení s nariadením vlády Slovenskej republiky č. 55/2015 Z. z. ďalej ustanovuje neaktuálny spôsob vedenia evidencie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prvonákupcov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surového mlieka na platobnej agentúre, s povinnosťami zasahujúcimi </w:t>
            </w:r>
            <w:r w:rsidR="00817418">
              <w:rPr>
                <w:rFonts w:ascii="Times New Roman" w:hAnsi="Times New Roman" w:cs="Times New Roman"/>
                <w:sz w:val="20"/>
                <w:szCs w:val="20"/>
              </w:rPr>
              <w:t xml:space="preserve">do oblasti hygieny potravín, a s neaktuálnymi </w:t>
            </w:r>
            <w:r w:rsidR="00E17719">
              <w:rPr>
                <w:rFonts w:ascii="Times New Roman" w:hAnsi="Times New Roman" w:cs="Times New Roman"/>
                <w:sz w:val="20"/>
                <w:szCs w:val="20"/>
              </w:rPr>
              <w:t xml:space="preserve">povinnosťami právnických osôb žiadajúcich v Slovenskej republike o svoje uznanie za organizáciu výrobcov </w:t>
            </w:r>
            <w:r w:rsidR="00026467">
              <w:rPr>
                <w:rFonts w:ascii="Times New Roman" w:hAnsi="Times New Roman" w:cs="Times New Roman"/>
                <w:sz w:val="20"/>
                <w:szCs w:val="20"/>
              </w:rPr>
              <w:t xml:space="preserve">mlieka a mliečnych výrobkov, za združenie organizácií výrobcov </w:t>
            </w:r>
            <w:r w:rsidR="00026467" w:rsidRPr="00026467">
              <w:rPr>
                <w:rFonts w:ascii="Times New Roman" w:hAnsi="Times New Roman" w:cs="Times New Roman"/>
                <w:sz w:val="20"/>
                <w:szCs w:val="20"/>
              </w:rPr>
              <w:t>mlieka a mliečnych výrobkov</w:t>
            </w:r>
            <w:r w:rsidR="00026467">
              <w:rPr>
                <w:rFonts w:ascii="Times New Roman" w:hAnsi="Times New Roman" w:cs="Times New Roman"/>
                <w:sz w:val="20"/>
                <w:szCs w:val="20"/>
              </w:rPr>
              <w:t xml:space="preserve"> alebo za medziodvetvovú organizáciu </w:t>
            </w:r>
            <w:r w:rsidR="00256338" w:rsidRPr="00256338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podľa čl. 15</w:t>
            </w:r>
            <w:r w:rsidR="007676F3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7</w:t>
            </w:r>
            <w:r w:rsidR="00256338" w:rsidRPr="00256338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ods. 1 nariadenia (EÚ) č. 1308/2013 </w:t>
            </w:r>
            <w:r w:rsidR="007676F3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v platnom znení </w:t>
            </w:r>
            <w:r w:rsidR="00256338" w:rsidRPr="00256338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alebo podľa čl. </w:t>
            </w:r>
            <w:r w:rsidR="00C92B11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11</w:t>
            </w:r>
            <w:r w:rsidR="00256338" w:rsidRPr="00256338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nariadenia (EÚ) č. 1379/2013</w:t>
            </w:r>
            <w:r w:rsidR="00C92B11" w:rsidRPr="00C9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6A27">
              <w:rPr>
                <w:rFonts w:ascii="Times New Roman" w:hAnsi="Times New Roman" w:cs="Times New Roman"/>
                <w:sz w:val="20"/>
                <w:szCs w:val="20"/>
              </w:rPr>
              <w:t xml:space="preserve">(ďalej len „medziodvetvová organizácia“) </w:t>
            </w:r>
            <w:r w:rsidR="00C92B11" w:rsidRPr="00C92B11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mlieka a mliečnych výrobkov</w:t>
            </w:r>
            <w:r w:rsidR="00C92B11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.</w:t>
            </w:r>
          </w:p>
          <w:p w14:paraId="6FBC17F6" w14:textId="1F6D9E37" w:rsidR="00F06762" w:rsidRDefault="00F06762" w:rsidP="00C30D8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</w:pPr>
          </w:p>
          <w:p w14:paraId="4B5B5967" w14:textId="3D0BBD04" w:rsidR="00F06762" w:rsidRDefault="00F06762" w:rsidP="00C30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762">
              <w:rPr>
                <w:rFonts w:ascii="Times New Roman" w:hAnsi="Times New Roman" w:cs="Times New Roman"/>
                <w:sz w:val="20"/>
                <w:szCs w:val="20"/>
              </w:rPr>
              <w:t>Zákon č. 280/2017 Z. 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nereflektuje všetky činnosti platobnej agentúry vo vzťahu ku školskému programu Slovenskej republiky a</w:t>
            </w:r>
            <w:r w:rsidR="00245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FDD">
              <w:rPr>
                <w:rFonts w:ascii="Times New Roman" w:hAnsi="Times New Roman" w:cs="Times New Roman"/>
                <w:sz w:val="20"/>
                <w:szCs w:val="20"/>
              </w:rPr>
              <w:t xml:space="preserve">vo vzťahu k príručkám </w:t>
            </w:r>
            <w:r w:rsidR="009023C1">
              <w:rPr>
                <w:rFonts w:ascii="Times New Roman" w:hAnsi="Times New Roman" w:cs="Times New Roman"/>
                <w:sz w:val="20"/>
                <w:szCs w:val="20"/>
              </w:rPr>
              <w:t>pre </w:t>
            </w:r>
            <w:r w:rsidR="00855FDD">
              <w:rPr>
                <w:rFonts w:ascii="Times New Roman" w:hAnsi="Times New Roman" w:cs="Times New Roman"/>
                <w:sz w:val="20"/>
                <w:szCs w:val="20"/>
              </w:rPr>
              <w:t xml:space="preserve">prijímateľov podpory, </w:t>
            </w:r>
            <w:r w:rsidR="002457A7">
              <w:rPr>
                <w:rFonts w:ascii="Times New Roman" w:hAnsi="Times New Roman" w:cs="Times New Roman"/>
                <w:sz w:val="20"/>
                <w:szCs w:val="20"/>
              </w:rPr>
              <w:t xml:space="preserve">hlavne vo vzťahu k informačným </w:t>
            </w:r>
            <w:r w:rsidR="00245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povinnostiam členského štátu Európskej únie voči poľnohospodárom v rámci strategického plánu spoločnej poľnohospodárskej politiky.</w:t>
            </w:r>
          </w:p>
          <w:p w14:paraId="1693C280" w14:textId="0481410A" w:rsidR="00BB01EA" w:rsidRDefault="00BB01EA" w:rsidP="00C30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8CC23" w14:textId="1E394722" w:rsidR="00BB01EA" w:rsidRPr="00314C4F" w:rsidRDefault="005C3EC6" w:rsidP="00C30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Procesy administrovania zábezpek, najmä ich uvoľňovania, prepadnutia alebo ukladania povinnosti nahradiť prijatú zábezpeku inou zábezpekou</w:t>
            </w:r>
            <w:r w:rsidR="001774F6">
              <w:rPr>
                <w:rFonts w:ascii="Times New Roman" w:hAnsi="Times New Roman" w:cs="Times New Roman"/>
                <w:sz w:val="20"/>
                <w:szCs w:val="20"/>
              </w:rPr>
              <w:t>, ktorými sa zasahuje do práv alebo povinností osôb, sa v rámci všeobecnej pôsobnosti správneho poriadku v znení neskorších predpisov riadia týmto správnym poriadkom, aj keď je to v mnohých prípadoch vecne nevhodné a komplikujúce riadnu administráciu.</w:t>
            </w:r>
            <w:r w:rsidR="001D7761">
              <w:rPr>
                <w:rFonts w:ascii="Times New Roman" w:hAnsi="Times New Roman" w:cs="Times New Roman"/>
                <w:sz w:val="20"/>
                <w:szCs w:val="20"/>
              </w:rPr>
              <w:t xml:space="preserve"> Toto je zrejmé najmä pri uvoľňovaní zloženej zábezpeky, pri ktorom je nadbytočné vydávať rozhodnutie, keď postačuje poskytnúť plnenie zodpovedajúce tomuto uvoľneniu, a vydať príslušné písomné potvrdenie.</w:t>
            </w:r>
          </w:p>
          <w:p w14:paraId="39EBEAC8" w14:textId="77777777" w:rsidR="00C30D88" w:rsidRDefault="00C30D88" w:rsidP="00C30D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A9AC343" w14:textId="75A2E08E" w:rsidR="00C30D88" w:rsidRDefault="00C30D88" w:rsidP="00C30D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oblasti kontroly súčasný výkon kontrol podľa </w:t>
            </w:r>
            <w:r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§ 8 až 12 zákona Národn</w:t>
            </w:r>
            <w:r w:rsidR="00BA15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ej rady Slovenskej republiky</w:t>
            </w:r>
            <w:r w:rsidR="00BA15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 </w:t>
            </w:r>
            <w:r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10/1996 Z. z. o kontrole v štátnej správe v znení neskorších predpisov nezohľadňuj</w:t>
            </w:r>
            <w:r w:rsidR="005E49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BA15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špecifiká pri výkone kontroly </w:t>
            </w:r>
            <w:r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oblasti priamych podpôr (napr. administratívna kontrola, správa o kontrole na mieste, diaľkové snímanie dielov pôdnych bloko</w:t>
            </w:r>
            <w:r w:rsidR="002F35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v, systém monitorovania plôch)</w:t>
            </w:r>
            <w:r w:rsidR="008C4C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</w:t>
            </w:r>
            <w:r w:rsidR="00FC4EE8" w:rsidRPr="00FC4EE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podp</w:t>
            </w:r>
            <w:r w:rsidR="00FC4EE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ôr, poskytovaných</w:t>
            </w:r>
            <w:r w:rsidR="00FC4EE8" w:rsidRPr="00FC4EE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v rámci spoločnej organizácie poľnohospodárskych trhov, alebo poskytovan</w:t>
            </w:r>
            <w:r w:rsidR="00356B4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ých</w:t>
            </w:r>
            <w:r w:rsidR="00FC4EE8" w:rsidRPr="00FC4EE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na sektorové intervencie</w:t>
            </w:r>
            <w:r w:rsidR="002F35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13E5DEF" w14:textId="7BFEC32C" w:rsidR="006205D0" w:rsidRDefault="006205D0" w:rsidP="00C30D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7926D63" w14:textId="54CD0D30" w:rsidR="006205D0" w:rsidRDefault="00370016" w:rsidP="00C30D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 rozdiel od konaní vo veciach priamych podpôr, </w:t>
            </w:r>
            <w:r w:rsidR="00234A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 konania </w:t>
            </w:r>
            <w:r w:rsidR="002B62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správnych orgánov </w:t>
            </w:r>
            <w:r w:rsidR="00234A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vo veciach </w:t>
            </w:r>
            <w:r w:rsidR="00234A92" w:rsidRPr="00234A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spoločnej organizácie poľnohospodárskych trhov</w:t>
            </w:r>
            <w:r w:rsidR="00234A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alebo vo veciach podpôr poskytovaných na sektorové intervencie sa vzťahuje správny poriadok v znení neskorších predpisov, </w:t>
            </w:r>
            <w:r w:rsidR="002B623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avšak bez potrebných odchýlok. Na tieto typy konaní správnych orgánov sa </w:t>
            </w:r>
            <w:r w:rsidR="002B6236" w:rsidRPr="002B623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správny poriadok v znení neskorších predpisov</w:t>
            </w:r>
            <w:r w:rsidR="002B623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môže vzťahovať ako všeobecný procesný predpis, však určité </w:t>
            </w:r>
            <w:r w:rsidR="00BD66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špecifické typy týchto konaní si vyžadujú </w:t>
            </w:r>
            <w:r w:rsidR="001C78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isté</w:t>
            </w:r>
            <w:r w:rsidR="00BD66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odchýlky, najmä pokiaľ ide o potrebu okamžitých právnych účinkov rozhodnutia vo veci samej, či o nadbytočnosť vydávania písomného vyhotovenia rozhodnutia v prípadoch, v ktorých postačuje vydanie osobitného dokladu.</w:t>
            </w:r>
          </w:p>
          <w:p w14:paraId="0E41BB8F" w14:textId="77777777" w:rsidR="00C30D88" w:rsidRDefault="00C30D88" w:rsidP="00C30D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AC504BD" w14:textId="0AD25B12" w:rsidR="00C30D88" w:rsidRDefault="00C30D88" w:rsidP="00C30D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oblasti predchádzania</w:t>
            </w:r>
            <w:r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nezrovnalostiam a podvodom, ich odhaľovania a</w:t>
            </w:r>
            <w:r w:rsidR="004760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nápravy</w:t>
            </w:r>
            <w:r w:rsidR="004760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  <w:r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ktoré</w:t>
            </w:r>
            <w:r w:rsidR="002F35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opatrenia </w:t>
            </w:r>
            <w:r w:rsidR="00F638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ochranu finančných záujmov EÚ </w:t>
            </w:r>
            <w:r w:rsidR="002F35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nie </w:t>
            </w:r>
            <w:r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sú </w:t>
            </w:r>
            <w:r w:rsidR="00F638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súlade s</w:t>
            </w:r>
            <w:r w:rsidR="002F35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podmienkam</w:t>
            </w:r>
            <w:r w:rsidR="00F638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</w:t>
            </w:r>
            <w:r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poskytnuti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podpôr, napr. </w:t>
            </w:r>
            <w:r w:rsidR="00BA15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§ 13 ods. 12 zákona</w:t>
            </w:r>
            <w:r w:rsidR="00BA15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="00180F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280/2017</w:t>
            </w:r>
            <w:r w:rsidR="00E926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Z. z., na základe ktorého platobná agentúra zamietne podporu, ak sa zistí, že prijímateľ, štatutárny orgán alebo člen štatutárneho orgánu prijímateľa, alebo osoba, ktorá koná v mene a na účet prijímat</w:t>
            </w:r>
            <w:r w:rsidR="00180F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eľa, bola odsúdená</w:t>
            </w:r>
            <w:r w:rsidR="00E926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 niektorý trestný čin uvedený v § 212 až 283 Trestného zákona. </w:t>
            </w:r>
          </w:p>
          <w:p w14:paraId="43538B72" w14:textId="77777777" w:rsidR="00231372" w:rsidRDefault="00231372" w:rsidP="00C30D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7196482" w14:textId="77777777" w:rsidR="007750B2" w:rsidRPr="007750B2" w:rsidRDefault="00231372" w:rsidP="008673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775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oblasti konania o</w:t>
            </w:r>
            <w:r w:rsidR="00775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priamych podporách </w:t>
            </w:r>
            <w:r w:rsidR="008673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sa vyskytujú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problémy v aplikačnej praxi v súvislosti so spôsobom, akým je možné urobi</w:t>
            </w:r>
            <w:r w:rsidR="008673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ť podanie, ako aj v súvislosti s vysokým počtom odvolaní a podnetov na preskúmanie rozhodnutia mimo odvolacieho konania, ktoré neboli vyriešené </w:t>
            </w:r>
            <w:proofErr w:type="spellStart"/>
            <w:r w:rsidR="008673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autoremedúrou</w:t>
            </w:r>
            <w:proofErr w:type="spellEnd"/>
            <w:r w:rsidR="008673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14:paraId="46A17083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6EF552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Ciele a výsledný stav</w:t>
            </w:r>
          </w:p>
        </w:tc>
      </w:tr>
      <w:tr w:rsidR="00612E08" w:rsidRPr="00612E08" w14:paraId="03A2C255" w14:textId="77777777" w:rsidTr="000800FC">
        <w:trPr>
          <w:trHeight w:val="741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61AC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7A1EC957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A1F0884" w14:textId="751743D3" w:rsidR="00780002" w:rsidRDefault="00CB74F5" w:rsidP="002F35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="00780002" w:rsidRPr="007800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ezortné štatistické zisťovania sú jedinečným </w:t>
            </w:r>
            <w:r w:rsidR="004B17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="00180F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drojom štatistických údajov o </w:t>
            </w:r>
            <w:r w:rsidR="00780002" w:rsidRPr="007800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produkčný</w:t>
            </w:r>
            <w:r w:rsidR="00775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 a ekonomických ukazovateľoch </w:t>
            </w:r>
            <w:r w:rsidR="00780002" w:rsidRPr="007800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slovenských poľnohospodárskych </w:t>
            </w:r>
            <w:r w:rsidR="00D554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 potravinárskych </w:t>
            </w:r>
            <w:r w:rsidR="00780002" w:rsidRPr="007800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podnikov</w:t>
            </w:r>
            <w:r w:rsidR="006F1B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3B10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 w:rsidR="00480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F1B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taktiež </w:t>
            </w:r>
            <w:r w:rsidR="003B10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podniko</w:t>
            </w:r>
            <w:r w:rsidR="006F1B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3B10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lesného a rybného hospodárstva</w:t>
            </w:r>
            <w:r w:rsidR="004B17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Legislatívny rámec</w:t>
            </w:r>
            <w:r w:rsidR="00DF2E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umožní získavanie údajov a</w:t>
            </w:r>
            <w:r w:rsidR="004B17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zefektívni </w:t>
            </w:r>
            <w:r w:rsidR="00DF2E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jeho </w:t>
            </w:r>
            <w:r w:rsidR="004B17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proces </w:t>
            </w:r>
            <w:r w:rsidR="004B1776" w:rsidRPr="004B17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účely podľa </w:t>
            </w:r>
            <w:r w:rsidR="003B10FD" w:rsidRPr="003B10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§ 5</w:t>
            </w:r>
            <w:r w:rsidR="003B10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B1776" w:rsidRPr="004B17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ods</w:t>
            </w:r>
            <w:r w:rsidR="003B10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4B1776" w:rsidRPr="004B17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3 písm. c)</w:t>
            </w:r>
            <w:r w:rsidR="00473A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</w:t>
            </w:r>
            <w:r w:rsidR="004B1776" w:rsidRPr="004B17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d) </w:t>
            </w:r>
            <w:r w:rsidR="00775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zákona č. 280/2017 Z. z</w:t>
            </w:r>
            <w:r w:rsidR="004B1776" w:rsidRPr="004B17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39677CF" w14:textId="2A26A85F" w:rsidR="002F3584" w:rsidRDefault="002F3584" w:rsidP="002F35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C58ACCD" w14:textId="19387499" w:rsidR="00DB54A1" w:rsidRPr="00DB54A1" w:rsidRDefault="00DB54A1" w:rsidP="00DB54A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</w:pPr>
            <w:r w:rsidRPr="00DB54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Vo vzťahu k dovozným alebo vývozným licenciám na poľnohospodárske výrobky, ktoré patria pod spoločnú organizáciu poľnohospodárskych trhov, vrátane dovozov alebo vývozov týchto poľnohospodárskych výrobkov v rámci colnej kvóty a s tým súvisiacej povinnej registrácie hospodárskych subjektov v elektronickom systéme registrácie a identifikácie hospodárskych subjektov žiadajúcich o licenciu a sankčnými mechanizmami pre tieto hospodárske subjekty na úrovni Európskej únie v podobe obmedzení týchto dovozov alebo vývozov či obmedzení udeľovania licencií pre tieto subjekty, ako aj vo vzťahu k požiadavke osobitného oprávnenia na dovoz </w:t>
            </w:r>
            <w:r w:rsidRPr="00DB54A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konopných semien určených na iný účel ako na siatie do Európskej únie,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je potrebné ustanoviť</w:t>
            </w:r>
            <w:r w:rsidRPr="00DB54A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právomoci orgánov verejnej moci Slovenskej republiky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dostatočným spôsobom</w:t>
            </w:r>
            <w:r w:rsidRPr="00DB54A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na to, aby umožnili implementáciu všetkých požiadaviek ustanovených v práve Európskej únie na úrovni Slovenskej republiky.</w:t>
            </w:r>
          </w:p>
          <w:p w14:paraId="2816057A" w14:textId="6524FCF6" w:rsidR="00DB54A1" w:rsidRDefault="00DB54A1" w:rsidP="00DB54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Rovnako je potrebné ustanoviť </w:t>
            </w:r>
            <w:r w:rsidRPr="00DB54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dostatočné právomoci </w:t>
            </w:r>
            <w:r w:rsidR="006B076E" w:rsidRPr="006B0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orgánov verejnej moci Slovenskej republiky </w:t>
            </w:r>
            <w:r w:rsidRPr="00DB54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 vzťahu k podpore, ktorá síce bola legálne poskytnutá na základe zákonne vydaného rozhodnutia, ale ktorú by mal jej prijímateľ vrátiť z dôvodu, že nesplnil požiadavky, ktoré je podľa práva Európskej únie alebo podľa vnútroštátneho práva Slovenskej republiky povinný spĺňať po jej poskytnutí, a to predovšetkým požiadavky na udržateľnosť investičných aktív, ktoré si z tejto podpory obstaral.</w:t>
            </w:r>
          </w:p>
          <w:p w14:paraId="57095F01" w14:textId="6D79F11A" w:rsidR="006B076E" w:rsidRDefault="006B076E" w:rsidP="00DB54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A235892" w14:textId="0EC2CE55" w:rsidR="006B076E" w:rsidRDefault="00F636EE" w:rsidP="00DB54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Je potrebné ustanoviť jasné </w:t>
            </w:r>
            <w:r w:rsidR="008D50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informačné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povinnosti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prvonákupcov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surového mlieka </w:t>
            </w:r>
            <w:r w:rsidR="008D50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vo vzťahu k platobnej agentúre, ako k príslušnému orgánu Slovenskej republiky, ktorému sú </w:t>
            </w:r>
            <w:proofErr w:type="spellStart"/>
            <w:r w:rsidR="008D50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prvonákupcovia</w:t>
            </w:r>
            <w:proofErr w:type="spellEnd"/>
            <w:r w:rsidR="008D50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D50C2" w:rsidRPr="008D50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surového mlieka</w:t>
            </w:r>
            <w:r w:rsidR="008D50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D50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</w:t>
            </w:r>
            <w:r w:rsidR="008D50C2" w:rsidRPr="008D50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odľa článku 151 nariadenia (EÚ) č. 1308/2013 v platnom znení</w:t>
            </w:r>
            <w:r w:rsidR="008D50C2" w:rsidRPr="008D50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sk-SK"/>
              </w:rPr>
              <w:t xml:space="preserve"> </w:t>
            </w:r>
            <w:r w:rsidR="008D50C2" w:rsidRPr="008D50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povinní nahl</w:t>
            </w:r>
            <w:r w:rsidR="008D50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asovať</w:t>
            </w:r>
            <w:r w:rsidR="008D50C2" w:rsidRPr="008D50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množstvo surového mlieka, </w:t>
            </w:r>
            <w:r w:rsidR="008D50C2" w:rsidRPr="008D50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lastRenderedPageBreak/>
              <w:t>ktoré im bolo každý mesiac dodané, a priemernú cenu, ktorú zaň zaplatili.</w:t>
            </w:r>
            <w:r w:rsidR="00EB2D6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Zároveň je potrebné zrušiť neaktuálne povinnosti </w:t>
            </w:r>
            <w:r w:rsidR="00EB2D6A" w:rsidRPr="00EB2D6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právnických osôb žiadajúcich v Slovenskej republike o svoje uznanie za organizáciu výrobcov mlieka a mliečnych výrobkov, za združenie organizácií výrobcov mlieka a mliečnych výrobkov alebo za medziodvetvovú organizáciu mlieka a mliečnych výrobkov.</w:t>
            </w:r>
          </w:p>
          <w:p w14:paraId="5C7B3769" w14:textId="6FE3B75C" w:rsidR="00DB54A1" w:rsidRDefault="00DB54A1" w:rsidP="002F35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FE2E39" w14:textId="0F040AAC" w:rsidR="00574B0A" w:rsidRDefault="00574B0A" w:rsidP="002F35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 potrebné ustanoviť pôsobnosť a povinnosti</w:t>
            </w:r>
            <w:r w:rsidRPr="00574B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platobnej agentúry vo vzťahu ku školskému programu Slovenskej republiky a vo vzťahu k príručkám </w:t>
            </w:r>
            <w:r w:rsidR="009023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 </w:t>
            </w:r>
            <w:r w:rsidRPr="00574B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prijímateľov podpory, hlavne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ňou vykonávané </w:t>
            </w:r>
            <w:r w:rsidRPr="00574B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informačn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é</w:t>
            </w:r>
            <w:r w:rsidRPr="00574B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povinnosti členského štátu Európskej únie voči poľnohospodárom v rámci strategického plánu spoločnej poľnohospodárskej politiky.</w:t>
            </w:r>
          </w:p>
          <w:p w14:paraId="397C450D" w14:textId="6E13A4B5" w:rsidR="00B943E3" w:rsidRDefault="00B943E3" w:rsidP="002F35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2A29B3C" w14:textId="4029E137" w:rsidR="00B943E3" w:rsidRDefault="00B943E3" w:rsidP="002F35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 potrebné ustanoviť špecifické odchýlky od správneho poriadku v znení neskorších predpisov pri administrovaní</w:t>
            </w:r>
            <w:r w:rsidRPr="00B943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zábezpek, najmä </w:t>
            </w:r>
            <w:r w:rsidR="00FB3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 administrovaní </w:t>
            </w:r>
            <w:r w:rsidRPr="00B943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ich uvoľňovania, prepadnutia alebo ukladania povinnosti nahradiť prijatú zábezpeku inou zábezpekou, ktorými sa zasahuje do práv alebo povi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nností osôb. Napríklad</w:t>
            </w:r>
            <w:r w:rsidRPr="00B943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pri uvoľ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ňovaní zloženej zábezpeky</w:t>
            </w:r>
            <w:r w:rsidRPr="00B943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nadbytočné vydávať rozhodnutie, keď postačuje poskytnúť plnenie zodpovedajúce tomuto uvoľneniu, a vydať príslušné písomné potvrdenie.</w:t>
            </w:r>
          </w:p>
          <w:p w14:paraId="47D4C1BD" w14:textId="77777777" w:rsidR="00574B0A" w:rsidRDefault="00574B0A" w:rsidP="002F35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E7F2175" w14:textId="3A1E06B7" w:rsidR="002F3584" w:rsidRDefault="002F3584" w:rsidP="002F35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oblasti kontroly osobitná úprava zabezpečí primeranú </w:t>
            </w:r>
            <w:r w:rsidR="00775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mieru</w:t>
            </w:r>
            <w:r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právnej istoty a ochrany finančných záujmov EÚ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vo vzťahu k špecifikám </w:t>
            </w:r>
            <w:r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 výkone kontroly v oblasti priamych podpôr </w:t>
            </w:r>
            <w:r w:rsidR="004760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 v oblasti </w:t>
            </w:r>
            <w:r w:rsidR="002B510D" w:rsidRPr="002B510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podpôr, poskytovaných v rámci spoločnej organizácie poľnohospodárskych trhov, alebo poskytovaných na sektorové intervencie</w:t>
            </w:r>
            <w:r w:rsidR="002B510D" w:rsidRPr="002B510D" w:rsidDel="002B51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7606D"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(napr. administratívna kontrola, správa o kontrole na mieste, diaľkové snímanie dielov pôdnych bloko</w:t>
            </w:r>
            <w:r w:rsidR="004760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v, systém monitorovania plôch)</w:t>
            </w:r>
            <w:r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0E335681" w14:textId="61408AEB" w:rsidR="002F3584" w:rsidRDefault="002F3584" w:rsidP="002F35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251496F" w14:textId="4F1D8800" w:rsidR="00CA2A0A" w:rsidRPr="00CA2A0A" w:rsidRDefault="00CA2A0A" w:rsidP="00CA2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CA2A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 konania správnych orgánov vo veciach </w:t>
            </w:r>
            <w:r w:rsidRPr="00CA2A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spoločnej organizácie poľnohospodárskych trhov alebo vo veciach podpôr poskytovaných na sektorové intervencie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by sa mal naďalej</w:t>
            </w:r>
            <w:r w:rsidRPr="00CA2A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vzťahovať </w:t>
            </w:r>
            <w:r w:rsidRPr="00CA2A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správny poriadok v znení neskorších predpisov, avšak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s</w:t>
            </w:r>
            <w:r w:rsidR="00380D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 ustanovením </w:t>
            </w:r>
            <w:r w:rsidRPr="00CA2A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otrebný</w:t>
            </w:r>
            <w:r w:rsidR="00380D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ch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odchýl</w:t>
            </w:r>
            <w:r w:rsidR="00380D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ok</w:t>
            </w:r>
            <w:r w:rsidRPr="00CA2A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. Na tieto typy konaní správnych orgánov sa správny poriadok v znení neskorších predpisov môže vzťahovať ako všeobecný procesný predpis, </w:t>
            </w:r>
            <w:r w:rsidR="00380D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a</w:t>
            </w:r>
            <w:r w:rsidRPr="00CA2A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však </w:t>
            </w:r>
            <w:r w:rsidR="00380D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na niektoré</w:t>
            </w:r>
            <w:r w:rsidRPr="00CA2A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špecifické typy týchto konaní </w:t>
            </w:r>
            <w:r w:rsidR="00380D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je potrebné ustanoviť</w:t>
            </w:r>
            <w:r w:rsidRPr="00CA2A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 w:rsidR="00380D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urči</w:t>
            </w:r>
            <w:r w:rsidRPr="00CA2A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té odchýlky, najmä pokiaľ ide o okamžit</w:t>
            </w:r>
            <w:r w:rsidR="00380D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é</w:t>
            </w:r>
            <w:r w:rsidRPr="00CA2A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právn</w:t>
            </w:r>
            <w:r w:rsidR="00380D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e</w:t>
            </w:r>
            <w:r w:rsidRPr="00CA2A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účink</w:t>
            </w:r>
            <w:r w:rsidR="00380D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y</w:t>
            </w:r>
            <w:r w:rsidRPr="00CA2A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rozhodnutia vo veci samej, či o</w:t>
            </w:r>
            <w:r w:rsidR="00380D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 ne</w:t>
            </w:r>
            <w:r w:rsidRPr="00CA2A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vydáva</w:t>
            </w:r>
            <w:r w:rsidR="00380D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nie</w:t>
            </w:r>
            <w:r w:rsidRPr="00CA2A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písomné</w:t>
            </w:r>
            <w:r w:rsidR="00380D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ho vyhotovenia</w:t>
            </w:r>
            <w:r w:rsidRPr="00CA2A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rozhodnutia v prípadoch, v ktorých postačuje vydanie osobitného dokladu.</w:t>
            </w:r>
          </w:p>
          <w:p w14:paraId="49509DBE" w14:textId="77777777" w:rsidR="00CA2A0A" w:rsidRDefault="00CA2A0A" w:rsidP="002F35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28A53E6" w14:textId="4985B1BC" w:rsidR="002F3584" w:rsidRDefault="002F3584" w:rsidP="004760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oblasti </w:t>
            </w:r>
            <w:r w:rsidR="004760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predchádzania</w:t>
            </w:r>
            <w:r w:rsidR="0047606D"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nezrovnalostiam a podvodom, ich odhaľovania a</w:t>
            </w:r>
            <w:r w:rsidR="00775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7606D"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nápravy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základným cieľom</w:t>
            </w:r>
            <w:r w:rsidRPr="002F35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zosúladenie</w:t>
            </w:r>
            <w:r w:rsidRPr="002F35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760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opatrení </w:t>
            </w:r>
            <w:r w:rsidR="00DF2E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ochranu finančných záujmov EÚ </w:t>
            </w:r>
            <w:r w:rsidRPr="002F35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 podmie</w:t>
            </w:r>
            <w:r w:rsidR="00551A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nkami oprávnenosti definovanými</w:t>
            </w:r>
            <w:r w:rsidR="00551A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Pr="002F35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Strategickom pláne SPP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zabezpečenie</w:t>
            </w:r>
            <w:r w:rsidRPr="002F35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prijímateľov</w:t>
            </w:r>
            <w:r w:rsidRPr="002F35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 procese zisťovania </w:t>
            </w:r>
            <w:r w:rsidRPr="00FC5A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nezrovnalostí (napr. právo podať námietky).</w:t>
            </w:r>
          </w:p>
          <w:p w14:paraId="6FC191DE" w14:textId="77777777" w:rsidR="00A97EF3" w:rsidRDefault="00A97EF3" w:rsidP="004760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005E064" w14:textId="53C3AEC8" w:rsidR="00867324" w:rsidRDefault="00A97EF3" w:rsidP="004760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oblasti konania o priamych podporách je cieľom zefektívnenie administratívnych procesov, čo by mohlo </w:t>
            </w:r>
            <w:r w:rsidR="00D60FD3" w:rsidRPr="00314C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obmedziť</w:t>
            </w:r>
            <w:r w:rsidR="00066653" w:rsidRPr="00314C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314C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="00867324" w:rsidRPr="00314C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árast počtu odvolaní a podnetov na preskúmanie rozhodnutia mimo odvolacieho konania, ktoré </w:t>
            </w:r>
            <w:r w:rsidR="004800C5" w:rsidRPr="00314C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by </w:t>
            </w:r>
            <w:r w:rsidR="00867324" w:rsidRPr="00314C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boli vyriešené </w:t>
            </w:r>
            <w:r w:rsidR="00180F12" w:rsidRPr="00314C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rámci </w:t>
            </w:r>
            <w:proofErr w:type="spellStart"/>
            <w:r w:rsidR="00180F12" w:rsidRPr="00314C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autoremedúry</w:t>
            </w:r>
            <w:proofErr w:type="spellEnd"/>
            <w:r w:rsidR="008673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Zároveň sa zefektívn</w:t>
            </w:r>
            <w:r w:rsidR="00480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 proces administrácie podaní v </w:t>
            </w:r>
            <w:r w:rsidR="008673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konaní o priamych podporách.</w:t>
            </w:r>
          </w:p>
          <w:p w14:paraId="2C7E4827" w14:textId="77777777" w:rsidR="00867324" w:rsidRPr="00612E08" w:rsidRDefault="00867324" w:rsidP="004760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E387CFE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605F945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612E08" w:rsidRPr="00612E08" w14:paraId="4548C1A2" w14:textId="77777777" w:rsidTr="000800FC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00D9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60B53FBA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D87A7EF" w14:textId="64BCCD3E" w:rsidR="002A6FCE" w:rsidRDefault="002F35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pôdohospodárstva a rozvoja vidieka Slovenskej republiky, Pôdohospodárska platobná agentúra, ž</w:t>
            </w:r>
            <w:r w:rsidRPr="0065096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iadatelia o podporu </w:t>
            </w:r>
            <w:r w:rsidR="00775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poskytovanú 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 poľnohospodárskeho zá</w:t>
            </w:r>
            <w:r w:rsidR="00775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ručného fondu (priame </w:t>
            </w:r>
            <w:r w:rsidR="00DF2E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platby</w:t>
            </w:r>
            <w:r w:rsidR="00480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="00775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480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podpora</w:t>
            </w:r>
            <w:r w:rsidR="001423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13CD7" w:rsidRPr="00313C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poskytovan</w:t>
            </w:r>
            <w:r w:rsidR="00313C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á</w:t>
            </w:r>
            <w:r w:rsidR="00313CD7" w:rsidRPr="00313C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v rámci spoločnej organizácie poľnohospodárskych trhov, alebo poskytovan</w:t>
            </w:r>
            <w:r w:rsidR="00313C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á</w:t>
            </w:r>
            <w:r w:rsidR="00313CD7" w:rsidRPr="00313C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na sektorové intervencie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),</w:t>
            </w:r>
            <w:r w:rsidR="00DF2E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žiada</w:t>
            </w:r>
            <w:r w:rsidR="00480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telia o </w:t>
            </w:r>
            <w:r w:rsidR="001423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podporu poskytovanú </w:t>
            </w:r>
            <w:r w:rsidR="00480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</w:t>
            </w:r>
            <w:r w:rsidR="00DF2E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</w:t>
            </w:r>
            <w:r w:rsidR="001423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skeho poľnohospodárskeho fondu </w:t>
            </w:r>
            <w:r w:rsidR="00DF2E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 rozvoj vidieka (neprojektové opatrenia),</w:t>
            </w:r>
            <w:r w:rsidR="001423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subjekty</w:t>
            </w:r>
            <w:r w:rsidR="001423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80002" w:rsidRPr="007800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poľnohospodárskej výroby</w:t>
            </w:r>
            <w:r w:rsidR="002A6F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dovozcovia alebo vývozcovia </w:t>
            </w:r>
            <w:r w:rsidR="002A6FCE" w:rsidRPr="002A6F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poľnohospodársk</w:t>
            </w:r>
            <w:r w:rsidR="002A6F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ych výrobkov</w:t>
            </w:r>
            <w:r w:rsidR="002A6FCE" w:rsidRPr="002A6F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ktoré patria pod spoločnú organizáciu poľnohospodárskych trhov</w:t>
            </w:r>
            <w:r w:rsidR="002A6F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245AAA6C" w14:textId="3A1AC034" w:rsidR="00867324" w:rsidRPr="00867324" w:rsidRDefault="008673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56DE792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33939D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71AFB1E8" w14:textId="77777777" w:rsidTr="000800FC">
        <w:trPr>
          <w:trHeight w:val="1524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9916C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6B2CBDB7" w14:textId="77777777" w:rsidR="002B5B7B" w:rsidRPr="00612E08" w:rsidRDefault="002B5B7B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E76FB62" w14:textId="77777777" w:rsidR="008C4C2D" w:rsidRDefault="00C30764" w:rsidP="008C4C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Neboli identifikované žiadne alternatívne riešenie.</w:t>
            </w:r>
          </w:p>
          <w:p w14:paraId="2596B9A4" w14:textId="77777777" w:rsidR="008C4C2D" w:rsidRDefault="008C4C2D" w:rsidP="008C4C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25C96A8" w14:textId="11506AF9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</w:t>
            </w:r>
            <w:r w:rsidR="00650D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úprav v predkladanom materiáli</w:t>
            </w:r>
            <w:r w:rsidR="00650D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br/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 alternatívne riešenia/spôsoby dosiahnutia cieľov uvedených v bode 3.</w:t>
            </w:r>
          </w:p>
          <w:p w14:paraId="550C68D9" w14:textId="77777777" w:rsidR="00517C6A" w:rsidRDefault="00517C6A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81F210D" w14:textId="6DEF171D" w:rsidR="00517C6A" w:rsidRDefault="008C4C2D" w:rsidP="008C4C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>V oblasti hodnotenia</w:t>
            </w:r>
            <w:r w:rsidR="00DF2E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účinnosti podporných nástrojov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SPP, ú</w:t>
            </w:r>
            <w:r w:rsidR="00517C6A" w:rsidRPr="00750A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daje zbierané Finančnou správou </w:t>
            </w:r>
            <w:r w:rsidR="007450B9" w:rsidRPr="00750A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SR </w:t>
            </w:r>
            <w:r w:rsidR="00517C6A" w:rsidRPr="00750A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vo </w:t>
            </w:r>
            <w:r w:rsidR="00517C6A" w:rsidRPr="00517C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forme účtovných závierok nie sú dostatočným zdrojom informácií pre</w:t>
            </w:r>
            <w:r w:rsidR="00480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B79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analýzu a </w:t>
            </w:r>
            <w:r w:rsidR="00517C6A" w:rsidRPr="00517C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vyhodnocovanie stavu </w:t>
            </w:r>
            <w:r w:rsidR="00EB79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poľnohospodárstva a </w:t>
            </w:r>
            <w:r w:rsidR="00517C6A" w:rsidRPr="00517C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potravinárstva na</w:t>
            </w:r>
            <w:r w:rsidR="007450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517C6A" w:rsidRPr="00517C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</w:t>
            </w:r>
            <w:r w:rsidR="008F65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vensku, nakoľko nemajú potrebnú</w:t>
            </w:r>
            <w:r w:rsidR="00517C6A" w:rsidRPr="00517C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detailnú  štruktúru. </w:t>
            </w:r>
            <w:r w:rsidR="007450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 absencii zberu údajov r</w:t>
            </w:r>
            <w:r w:rsidR="007450B9" w:rsidRPr="007800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ezortn</w:t>
            </w:r>
            <w:r w:rsidR="007450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ým</w:t>
            </w:r>
            <w:r w:rsidR="007450B9" w:rsidRPr="007800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štatistick</w:t>
            </w:r>
            <w:r w:rsidR="007450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ým</w:t>
            </w:r>
            <w:r w:rsidR="007450B9" w:rsidRPr="007800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zisťovan</w:t>
            </w:r>
            <w:r w:rsidR="007450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ím by nebolo možné komplexné </w:t>
            </w:r>
            <w:r w:rsidR="007450B9" w:rsidRPr="008F54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posúdenie vývoja </w:t>
            </w:r>
            <w:r w:rsidR="00775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 stavu poľnohospodárstva a </w:t>
            </w:r>
            <w:r w:rsidR="007450B9" w:rsidRPr="008F54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potravinárstva na</w:t>
            </w:r>
            <w:r w:rsidR="007450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7450B9" w:rsidRPr="008F54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Slovensku.</w:t>
            </w:r>
            <w:r w:rsidR="002C70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C7093" w:rsidRPr="002B5B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„Informačné listy MPRV SR“ nie je možné zrušiť do roku 2031 pre zachovanie kontinuity hodnotenia programového obdobia </w:t>
            </w:r>
            <w:r w:rsidR="001E3CC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2023-2027 </w:t>
            </w:r>
            <w:r w:rsidR="000769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2C7093" w:rsidRPr="002B5B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poločnej poľnohospodárs</w:t>
            </w:r>
            <w:r w:rsidR="008F65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="002C7093" w:rsidRPr="002B5B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ej politiky</w:t>
            </w:r>
            <w:r w:rsidR="002C7093" w:rsidRPr="000932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08569ADD" w14:textId="64633051" w:rsidR="001271DD" w:rsidRDefault="001271DD" w:rsidP="008C4C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C417D99" w14:textId="50CBF86B" w:rsidR="001271DD" w:rsidRDefault="001271DD" w:rsidP="008C4C2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 by sa </w:t>
            </w:r>
            <w:r w:rsidRPr="001271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právomoci orgánov verejnej moci Slovenskej republiky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neustanovili </w:t>
            </w:r>
            <w:r w:rsidRPr="001271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dostatočným spôsobom na to, aby</w:t>
            </w:r>
            <w:r w:rsidR="00413CC5" w:rsidRPr="00413C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umožnili implementáciu všetkých požiadaviek ustanovených v práve Európskej únie na úrovni Slovenskej republiky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 w:rsidR="00E7186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v</w:t>
            </w:r>
            <w:r w:rsidR="00E71861" w:rsidRPr="00E7186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o vzťahu k dovozným alebo vývozným licenciám na poľnohospodárske výrobky, ktoré patria pod spoločnú organizáciu poľnohospodárskych trhov, vrátane dovozov alebo vývozov týchto poľnohospodárskych výrobkov v rámci colnej kvóty a s tým súvisiacej povinnej registrácie hospodárskych subjektov v elektronickom systéme registrácie a identifikácie hospodárskych subjektov žiadajúcich o licenciu a sankčnými mechanizmami pre tieto hospodárske subjekty na úrovni Európskej únie v podobe obmedzení týchto dovozov alebo vývozov či obmedzení udeľovania licencií pre tieto subjekty, ako aj vo vzťahu k požiadavke osobitného oprávnenia na dovoz konopných semien určených na iný účel ako na siatie do Európskej únie</w:t>
            </w:r>
            <w:r w:rsidR="00E7186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, </w:t>
            </w:r>
            <w:r w:rsidR="004968A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Slovenská republika by tieto požiadavky práva Európskej únie nedokázala dostatočne plniť.</w:t>
            </w:r>
          </w:p>
          <w:p w14:paraId="3C05F768" w14:textId="36FB1926" w:rsidR="00957BA8" w:rsidRDefault="00957BA8" w:rsidP="008C4C2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</w:pPr>
            <w:r w:rsidRPr="00957BA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Rovnako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,</w:t>
            </w:r>
            <w:r w:rsidRPr="00957BA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ak by sa neustanovili</w:t>
            </w:r>
            <w:r w:rsidRPr="00957BA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dostatočné právomoci orgánov verejnej moci Slovenskej republiky vo vzťahu k podpore, ktorá síce bola legálne poskytnutá na základe zákonne vydaného rozhodnutia, ale ktorú by mal jej prijímateľ vrátiť z dôvodu, že nesplnil požiadavky, ktoré je podľa práva Európskej únie alebo podľa vnútroštátneho práva Slovenskej republiky povinný spĺňať po jej poskytnutí, </w:t>
            </w:r>
            <w:r w:rsidR="00B33F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Slovenská republika by nemala dostatočný mechanizmus na vymáhanie tejto poskytnutej podpory.</w:t>
            </w:r>
          </w:p>
          <w:p w14:paraId="5A008DE9" w14:textId="79A43FBA" w:rsidR="00434080" w:rsidRDefault="00434080" w:rsidP="008C4C2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</w:pPr>
          </w:p>
          <w:p w14:paraId="2D2DB18A" w14:textId="7447F26D" w:rsidR="00434080" w:rsidRDefault="00C743AD" w:rsidP="008C4C2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 by neboli</w:t>
            </w:r>
            <w:r w:rsidR="00434080" w:rsidRPr="004340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ustanovené</w:t>
            </w:r>
            <w:r w:rsidR="00434080" w:rsidRPr="004340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jasné informačné povinnosti </w:t>
            </w:r>
            <w:proofErr w:type="spellStart"/>
            <w:r w:rsidR="00434080" w:rsidRPr="004340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prvonákupcov</w:t>
            </w:r>
            <w:proofErr w:type="spellEnd"/>
            <w:r w:rsidR="00434080" w:rsidRPr="004340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surového mlieka vo vzťahu k platobnej agentúre, ako k príslušnému orgánu Slovenskej republiky, ktorému sú </w:t>
            </w:r>
            <w:proofErr w:type="spellStart"/>
            <w:r w:rsidR="00434080" w:rsidRPr="004340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prvonákupcovia</w:t>
            </w:r>
            <w:proofErr w:type="spellEnd"/>
            <w:r w:rsidR="00434080" w:rsidRPr="004340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surového mlieka </w:t>
            </w:r>
            <w:r w:rsidR="00434080" w:rsidRPr="004340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podľa článku 151 nariadenia (EÚ) č. 1308/2013 v platnom znení povinní nahlasovať množstvo surového mlieka, ktoré im bolo každý mesiac dodané, a priemernú cenu, ktorú zaň zaplatili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, vznikali by problémy pri nahlasovaní týchto údajov zo strany Slovenskej republiky na Európsku komisiu.</w:t>
            </w:r>
            <w:r w:rsidR="00434080" w:rsidRPr="004340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Ak by ďalej neboli zrušené</w:t>
            </w:r>
            <w:r w:rsidR="00434080" w:rsidRPr="004340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neaktuálne povinnosti právnických osôb žiadajúcich v Slovenskej republike o svoje uznanie za organizáciu výrobcov mlieka a mliečnych výrobkov, za združenie organizácií výrobcov mlieka a mliečnych výrobkov alebo za medziodvetvovú organizáciu mlieka a mliečnych výrobkov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, </w:t>
            </w:r>
            <w:r w:rsidR="006E0B4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proces tohto ich uznávania by </w:t>
            </w:r>
            <w:r w:rsidR="0091722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zahŕňal plnenie povinností týchto právnických osôb, ktoré však </w:t>
            </w:r>
            <w:r w:rsidR="00957E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už </w:t>
            </w:r>
            <w:r w:rsidR="0091722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pre proces ich uznávania nemajú nijaký praktický význam.</w:t>
            </w:r>
          </w:p>
          <w:p w14:paraId="072C425A" w14:textId="6814E230" w:rsidR="008B425A" w:rsidRDefault="008B425A" w:rsidP="008C4C2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</w:pPr>
          </w:p>
          <w:p w14:paraId="15BB3D66" w14:textId="47F44EBF" w:rsidR="008B425A" w:rsidRPr="008B425A" w:rsidRDefault="00194639" w:rsidP="008B425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Ak by sa neustanovili pôsobnosti</w:t>
            </w:r>
            <w:r w:rsidR="008B425A" w:rsidRPr="008B42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a povinnosti platobnej agentúry vo vzťahu ku školskému programu Slovenskej republiky a vo vzťahu k príručkám </w:t>
            </w:r>
            <w:r w:rsidR="009023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pre </w:t>
            </w:r>
            <w:r w:rsidR="008B425A" w:rsidRPr="008B42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prijímateľov podpory, hlavne ňou vykonávané informačné povinnosti členského štátu Európskej únie voči poľnohospodárom v rámci strategického plánu spolo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čnej poľnohospodárskej politiky, nebolo by zrejmé, že ich má vnútroštátne vykonávať práve platobná agentúra.</w:t>
            </w:r>
          </w:p>
          <w:p w14:paraId="4B2F2E72" w14:textId="77777777" w:rsidR="008B425A" w:rsidRPr="008B425A" w:rsidRDefault="008B425A" w:rsidP="008B425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</w:pPr>
          </w:p>
          <w:p w14:paraId="37E4306C" w14:textId="0E60E406" w:rsidR="00E9313A" w:rsidRPr="00E9313A" w:rsidRDefault="00E9313A" w:rsidP="00E931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 by sa </w:t>
            </w:r>
            <w:r w:rsidR="003845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ustanovili</w:t>
            </w:r>
            <w:r w:rsidRPr="00E9313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špecifické odchýlky od správneho poriadku v znení neskorších predpisov pri administrovaní zábezpek, najmä pri administrovaní ich uvoľňovania, prepadnutia alebo ukladania povinnosti nahradiť prijatú zábezpeku inou zábezpekou, ktorými sa zasahuje do práv alebo povi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nností osôb, tento proces by bol disproporčne komplikovaný v porovnaní s výsledkom, ktorý sa ním má dosiahnuť.</w:t>
            </w:r>
            <w:r w:rsidRPr="00E9313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Napríklad pri uvoľňovaní zloženej zábezpeky je nadbytočné vydávať rozhodnutie, keď postačuje poskytnúť plnenie zodpovedajúce tomuto uvoľneniu, a vydať príslušné písomné potvrdenie.</w:t>
            </w:r>
          </w:p>
          <w:p w14:paraId="3D43CFDB" w14:textId="77777777" w:rsidR="008C4C2D" w:rsidRDefault="008C4C2D" w:rsidP="008C4C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D89E01E" w14:textId="613D50A5" w:rsidR="008C4C2D" w:rsidRDefault="001D03C5" w:rsidP="008C4C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="008C4C2D"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ezohľad</w:t>
            </w:r>
            <w:r w:rsidR="008C4C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nením</w:t>
            </w:r>
            <w:r w:rsidR="008C4C2D"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š</w:t>
            </w:r>
            <w:r w:rsidR="008C4C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pecifík</w:t>
            </w:r>
            <w:r w:rsidR="008C4C2D"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pri výkone kontroly v oblasti priamych podpôr</w:t>
            </w:r>
            <w:r w:rsidR="008C4C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 w:rsidR="004760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v oblasti podpôr</w:t>
            </w:r>
            <w:r w:rsidR="003D0B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7606D" w:rsidRPr="002F35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rámci organizovania trhu s </w:t>
            </w:r>
            <w:r w:rsidR="0047606D" w:rsidRPr="00FC5A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vybranými poľnohospodárskymi výrobkami</w:t>
            </w:r>
            <w:r w:rsidR="00967EBC" w:rsidRPr="00FC5A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ako je napríklad potreba rýchle</w:t>
            </w:r>
            <w:r w:rsidR="004800C5" w:rsidRPr="00FC5A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ho a efektívneho výkonu kontroly s </w:t>
            </w:r>
            <w:r w:rsidR="00967EBC" w:rsidRPr="00FC5A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ohľadom</w:t>
            </w:r>
            <w:r w:rsidR="00967E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dátum vyplácania podpôr alebo automatizované overovanie podmienok podpôr prostredníctvom systémom monitorovania plôch, </w:t>
            </w:r>
            <w:r w:rsidR="008C4C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by mohlo dôjsť k narušeniu primeranej </w:t>
            </w:r>
            <w:r w:rsidR="003D0B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miery právnej istoty</w:t>
            </w:r>
            <w:r w:rsidR="00967E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C4C2D"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967E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  <w:r w:rsidR="008C4C2D"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ochrany finančných záujmov EÚ</w:t>
            </w:r>
            <w:r w:rsidR="008C4C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čo by </w:t>
            </w:r>
            <w:r w:rsidR="003D0B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mohlo viesť k </w:t>
            </w:r>
            <w:r w:rsidR="00A97E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neopodstatneným</w:t>
            </w:r>
            <w:r w:rsidR="008C4C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právnym sporom</w:t>
            </w:r>
            <w:r w:rsidR="004760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vo vzťahu k žiadateľom a prípadne aj vo vzťahu k EÚ</w:t>
            </w:r>
            <w:r w:rsidR="00A97E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084BBF48" w14:textId="13D20C80" w:rsidR="00E9313A" w:rsidRDefault="00E9313A" w:rsidP="008C4C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C3650C8" w14:textId="179FB8B7" w:rsidR="00E9313A" w:rsidRDefault="00DC4727" w:rsidP="008C4C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 by sa neustanovili potrebné odchýlky od správneho poriadku v znení neskorších predpisov n</w:t>
            </w:r>
            <w:r w:rsidR="00E9313A" w:rsidRPr="00E9313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 konania správnych orgánov vo veciach </w:t>
            </w:r>
            <w:r w:rsidR="00E9313A" w:rsidRPr="00E931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spoločnej organizácie poľnohospodárskych trhov alebo vo veciach podpôr poskytovaných na sektorové intervencie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, tieto konania by boli vo vzťahu k ich požadovanému výsledku disproporčne komplikované</w:t>
            </w:r>
            <w:r w:rsidR="00E9313A" w:rsidRPr="00E931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. Na tieto typy konaní správnych orgánov sa správny poriadok v znení neskorších predpisov môže vzťahovať ako všeobecný procesný predpis, avšak na niektoré špecifické typy týchto konaní je potrebné ustanoviť určité odchýlky, najmä pokiaľ ide o okamžité právne účinky rozhodnutia vo veci samej, či </w:t>
            </w:r>
            <w:r w:rsidR="00E9313A" w:rsidRPr="00E931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lastRenderedPageBreak/>
              <w:t>o nevydávanie písomného vyhotovenia rozhodnutia v prípadoch, v ktorých postačuje vydanie osobitného dokladu.</w:t>
            </w:r>
          </w:p>
          <w:p w14:paraId="5D67DDC0" w14:textId="77777777" w:rsidR="008C4C2D" w:rsidRDefault="008C4C2D" w:rsidP="008C4C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4B2FC84" w14:textId="5C30B23B" w:rsidR="0047606D" w:rsidRDefault="008C4C2D" w:rsidP="004760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oblasti </w:t>
            </w:r>
            <w:r w:rsidR="004760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predchádzania</w:t>
            </w:r>
            <w:r w:rsidR="0047606D"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nezrovnalostiam a podvodom, ich odhaľovania a</w:t>
            </w:r>
            <w:r w:rsidR="004760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47606D"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nápravy</w:t>
            </w:r>
            <w:r w:rsidR="004760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by neprijatím návrhu zákona pretrval nesúlad medzi niektorými opatreniami</w:t>
            </w:r>
            <w:r w:rsidR="001D03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ochranu finančných záujmov EÚ</w:t>
            </w:r>
            <w:r w:rsidR="004760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pri predchádzaní</w:t>
            </w:r>
            <w:r w:rsidR="0047606D"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nezrovnalostiam a pod</w:t>
            </w:r>
            <w:r w:rsidR="00A97E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vodom, ich odhaľovaní</w:t>
            </w:r>
            <w:r w:rsidR="0047606D" w:rsidRPr="00C3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 w:rsidR="00480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80F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náprave</w:t>
            </w:r>
            <w:r w:rsidR="00480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čo by mohlo viesť k </w:t>
            </w:r>
            <w:r w:rsidR="00A97E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4760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rávnym sporom vo vzťahu k žiadateľo</w:t>
            </w:r>
            <w:r w:rsidR="00A97E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 a prípadne aj vo vzťahu k EÚ.</w:t>
            </w:r>
          </w:p>
          <w:p w14:paraId="118E5821" w14:textId="77777777" w:rsidR="00A97EF3" w:rsidRDefault="00A97EF3" w:rsidP="004760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CD7AD5A" w14:textId="2C33932A" w:rsidR="00867324" w:rsidRDefault="00A97EF3" w:rsidP="008673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oblasti konania o priamych podporách by neprijatím návrhu zákona </w:t>
            </w:r>
            <w:r w:rsidR="008673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mohlo </w:t>
            </w:r>
            <w:r w:rsidR="00867324" w:rsidRPr="00FC5A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dôjsť k ešte vyššiemu nárastu počtu odvolaní a podnetov na preskúmanie rozhodnutia mimo odvolacieho konania, ktoré </w:t>
            </w:r>
            <w:r w:rsidR="004800C5" w:rsidRPr="00FC5A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by </w:t>
            </w:r>
            <w:r w:rsidR="00867324" w:rsidRPr="00FC5A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neboli</w:t>
            </w:r>
            <w:r w:rsidR="008673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vyriešené </w:t>
            </w:r>
            <w:r w:rsidR="00180F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rámci </w:t>
            </w:r>
            <w:proofErr w:type="spellStart"/>
            <w:r w:rsidR="00180F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autoremedúry</w:t>
            </w:r>
            <w:proofErr w:type="spellEnd"/>
            <w:r w:rsidR="008673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Zároveň by sa nezefektívnil proces administrácie podaní v konaní o priamych podporách.</w:t>
            </w:r>
          </w:p>
          <w:p w14:paraId="4B78BB21" w14:textId="11167B62" w:rsidR="00180F12" w:rsidRPr="00612E08" w:rsidRDefault="00867324" w:rsidP="0086732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12E08" w:rsidRPr="00612E08" w14:paraId="1B2D886A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49181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612E08" w:rsidRPr="00612E08" w14:paraId="61345C23" w14:textId="77777777" w:rsidTr="000800FC">
        <w:tc>
          <w:tcPr>
            <w:tcW w:w="6203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D7198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2FC4EA1" w14:textId="2F4C6E52" w:rsidR="001B23B7" w:rsidRPr="00612E08" w:rsidRDefault="003450A6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E0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4613B7F" w14:textId="6649FE26" w:rsidR="001B23B7" w:rsidRPr="00612E08" w:rsidRDefault="003450A6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E0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7CEECEB1" w14:textId="77777777" w:rsidTr="000800FC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FA539" w14:textId="763FD671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  <w:r w:rsidR="00DC47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0A129162" w14:textId="77777777" w:rsidR="00DC4727" w:rsidRPr="00612E08" w:rsidRDefault="00DC472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B151829" w14:textId="77777777" w:rsidR="001B23B7" w:rsidRDefault="001D2B8A" w:rsidP="00314C4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</w:pPr>
            <w:r w:rsidRPr="001D2B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Ministerstvo pôdohospodárstva sa splnomocňuje na vydávanie všeobecne záväzných právnych predpisov Slovenskej republiky, ktoré ustanovia spôsoby, ktorými možno urobiť podanie vo veci podpory poskytovanej v rámci spoločnej organizácie poľnohospodárskych trhov, </w:t>
            </w:r>
            <w:r w:rsidRPr="001D2B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alebo poskytovanej na sektorové intervencie, keďže navrhovaný zákon spôsoby robenia týchto podaní vyňal spod pôsobnosti § 19 prvej a druhej vety správneho poriadku v znení neskorších predpisov. Tým pádom sa na každý typ týchto podpôr ustanovia špecifické spôsoby robenia týchto podaní, napríklad elektronický spôsob uskutočňovaný prostredníctvom prístupového miesta aj bez autorizácie za podmienok podľa § 23 ods. 1 zákona o e-</w:t>
            </w:r>
            <w:proofErr w:type="spellStart"/>
            <w:r w:rsidRPr="001D2B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Governmente</w:t>
            </w:r>
            <w:proofErr w:type="spellEnd"/>
            <w:r w:rsidRPr="001D2B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v znení neskorších predpisov, kedy by podmienkou pre prístup účastníka konania k tomuto spôsobu urobenia tohto podania bola jeho úspešná autentifikácia, ktorý § 19 správneho poriadku v znení neskorších predpisov vôbec nepozná. Cieľom tejto novej úpravy robenia podaní vo veci podpory poskytovanej v rámci spoločnej organizácie poľnohospodárskych trhov, alebo poskytovanej na sektorové intervencie, je predovšetkým možnosť eliminovať ústny spôsob robenia takéhoto podania do zápisnice, a v určitých prípadoch aj eliminácia listinnej formy týchto podaní. Listinný spôsob robenia týchto podaní je obzvlášť nevhodný pre žiadosti o podporu poskytovanú na základe výnimočných opatrení Európskej únie prijatých v rámci spoločnej organizácie poľnohospodárskych trhov podľa čl. 219 až 221 nariadenia (EÚ) č. 1308/2013 v platnom znení, kedy je nárazovo potrebné spracovať stovky takýchto žiadostí.</w:t>
            </w:r>
          </w:p>
          <w:p w14:paraId="5D6EADB6" w14:textId="77777777" w:rsidR="001D2B8A" w:rsidRDefault="001D2B8A" w:rsidP="00314C4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</w:pPr>
          </w:p>
          <w:p w14:paraId="5CECBD27" w14:textId="4D0BBCC1" w:rsidR="001D2B8A" w:rsidRDefault="002B6B25" w:rsidP="00314C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6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Povinnosť </w:t>
            </w:r>
            <w:proofErr w:type="spellStart"/>
            <w:r w:rsidRPr="002B6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prvonákupcov</w:t>
            </w:r>
            <w:proofErr w:type="spellEnd"/>
            <w:r w:rsidRPr="002B6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surového mlieka nahlasovať </w:t>
            </w:r>
            <w:r w:rsidRPr="002B6B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príslušnému vnútroštátnemu orgánu členského štátu Európskej únie množstvo surového mlieka, ktoré im bolo každý mesiac dodané, a priemernú cenu, ktorú zaň zaplatili, je ustanovená priamo článkom 151 nariadenia (EÚ) č. 1308/2013 v platnom znení. Na základe čl. 2 delegovaného nariadenia (EÚ) 2017/1183 je v čl. 6 v nadväznosti na bod 8. prílohy III k vykonávaciemu nariadeniu (EÚ) 2017/1185 v platnom znení ustanovené, že tieto informácie od </w:t>
            </w:r>
            <w:proofErr w:type="spellStart"/>
            <w:r w:rsidRPr="002B6B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prvonákupcov</w:t>
            </w:r>
            <w:proofErr w:type="spellEnd"/>
            <w:r w:rsidRPr="002B6B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 w:rsidRPr="002B6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surového mlieka sú príslušného členské štáty Európskej únie povinné ďalej oznamovať Európskej komisii, a to pravidelne do 25. dňa každého kalendárneho mesiaca za bezprostredne predchádzajúci kalendárny mesiac. K tomu je v uvedenom právnom akte Európskej komisie ustanovené, že príslušné členské štáty Európskej únie majú povinnosť zabezpečiť, aby všetci </w:t>
            </w:r>
            <w:proofErr w:type="spellStart"/>
            <w:r w:rsidRPr="002B6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prvonákupcovia</w:t>
            </w:r>
            <w:proofErr w:type="spellEnd"/>
            <w:r w:rsidRPr="002B6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surového mlieka, ktorí sú usadení na ich území, nahlasovali ich príslušnému vnútroštátnemu orgánu množstvá surového kravského mlieka, ktoré im boli každý mesiac dodané, a aby mu ich nahlasovali včas a primeraným spôsobom tak, aby tieto členské štáty Európskej únie boli spôsobilé svoju vyššie uvedenú informačnú povinnosť voči Európskej komisii splniť. No a práve na tento účel sa ustanovuje splnomocnenie ministerstva pôdohospodárstva na vydávanie všeobecne záväzných právnych predpisov Slovenskej republiky, ktorými sa ustanoví štruktúra, forma a čas hlásení týchto údajov zo strany </w:t>
            </w:r>
            <w:proofErr w:type="spellStart"/>
            <w:r w:rsidRPr="002B6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prvonákupcov</w:t>
            </w:r>
            <w:proofErr w:type="spellEnd"/>
            <w:r w:rsidRPr="002B6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surového mlieka, ktorí majú túto </w:t>
            </w:r>
            <w:proofErr w:type="spellStart"/>
            <w:r w:rsidRPr="002B6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nahlasovaciu</w:t>
            </w:r>
            <w:proofErr w:type="spellEnd"/>
            <w:r w:rsidRPr="002B6B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povinnosť ustanovenú voči platobnej agentúre. </w:t>
            </w:r>
            <w:r w:rsidR="002C0F01" w:rsidRPr="002C0F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Zároveň sa ustanovuje splnomocnenie ministerstva pôdohospodárstva na vydávanie všeobecne záväzných právnych predpisov Slovenskej republiky, ktorými sa ustanovia ďalšie údaje súvisiace s údajmi nahlasovanými </w:t>
            </w:r>
            <w:proofErr w:type="spellStart"/>
            <w:r w:rsidR="002C0F01" w:rsidRPr="002C0F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prvonákupcami</w:t>
            </w:r>
            <w:proofErr w:type="spellEnd"/>
            <w:r w:rsidR="002C0F01" w:rsidRPr="002C0F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surového mlieka podľa čl. </w:t>
            </w:r>
            <w:r w:rsidR="002C0F01" w:rsidRPr="002C0F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151 nariadenia (EÚ) č. 1308/2013 v platnom znení, ktoré sú podľa navrhovaného zákona </w:t>
            </w:r>
            <w:proofErr w:type="spellStart"/>
            <w:r w:rsidR="002C0F01" w:rsidRPr="002C0F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prvonákupcovia</w:t>
            </w:r>
            <w:proofErr w:type="spellEnd"/>
            <w:r w:rsidR="002C0F01" w:rsidRPr="002C0F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surového mlieka v Slovenskej republike povinní nahlasovať spolu s údajmi podľa čl. 151 nariadenia (EÚ) č. 1308/2013 v platnom znení, a to najmä údaje o obsahu tuku a bielkovín v týmto </w:t>
            </w:r>
            <w:proofErr w:type="spellStart"/>
            <w:r w:rsidR="002C0F01" w:rsidRPr="002C0F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prvonákupcom</w:t>
            </w:r>
            <w:proofErr w:type="spellEnd"/>
            <w:r w:rsidR="002C0F01" w:rsidRPr="002C0F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dodanom surovom kravskom mlieku, ktoré je Slovenská republika povinná poskytovať Európskej komisii podľa čl. 2 delegovaného nariadenia (EÚ) 2017/1183 v spojení s čl. 6 v nadväznosti na bod 8. tretiu odrážku prílohy III k vykonávaciemu nariadeniu (EÚ) 2017/1185.</w:t>
            </w:r>
          </w:p>
          <w:p w14:paraId="433254DF" w14:textId="5FC9D492" w:rsidR="002B6B25" w:rsidRPr="00612E08" w:rsidRDefault="002B6B25" w:rsidP="00314C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67FE78B2" w14:textId="77777777" w:rsidR="00B0517D" w:rsidRDefault="00B0517D">
      <w:r>
        <w:br w:type="page"/>
      </w: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547"/>
        <w:gridCol w:w="1297"/>
      </w:tblGrid>
      <w:tr w:rsidR="00612E08" w:rsidRPr="00612E08" w14:paraId="6DB37582" w14:textId="77777777" w:rsidTr="000800F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07C5AC7" w14:textId="0F8B245B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2F1C0CA0" w14:textId="77777777" w:rsidTr="000800FC">
        <w:trPr>
          <w:trHeight w:val="157"/>
        </w:trPr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2F5A7D67" w14:textId="77777777">
              <w:trPr>
                <w:trHeight w:val="90"/>
              </w:trPr>
              <w:tc>
                <w:tcPr>
                  <w:tcW w:w="8643" w:type="dxa"/>
                </w:tcPr>
                <w:p w14:paraId="18AFE7C0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6ECE2408" w14:textId="77777777">
              <w:trPr>
                <w:trHeight w:val="296"/>
              </w:trPr>
              <w:tc>
                <w:tcPr>
                  <w:tcW w:w="8643" w:type="dxa"/>
                </w:tcPr>
                <w:p w14:paraId="3D89AB4A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1251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657D0BAC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0935C4DE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127425F6" w14:textId="77777777">
              <w:trPr>
                <w:trHeight w:val="296"/>
              </w:trPr>
              <w:tc>
                <w:tcPr>
                  <w:tcW w:w="8643" w:type="dxa"/>
                </w:tcPr>
                <w:p w14:paraId="75492743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CE10225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123C45A2" w14:textId="77777777" w:rsidTr="000800FC">
        <w:trPr>
          <w:trHeight w:val="248"/>
        </w:trPr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D1F07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16E5599" w14:textId="77777777" w:rsidTr="000800F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D481585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1123A5A5" w14:textId="77777777" w:rsidTr="000800FC"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B6F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0835AFD2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0EA6C476" w14:textId="77777777" w:rsidR="00CF47B6" w:rsidRPr="00612E08" w:rsidRDefault="00CF47B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ECBAD0C" w14:textId="4F9E6483" w:rsidR="001B23B7" w:rsidRDefault="0047606D" w:rsidP="00476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 oblasti hodnotenia </w:t>
            </w:r>
            <w:r w:rsidR="001E3CC2">
              <w:rPr>
                <w:rFonts w:ascii="Times New Roman" w:hAnsi="Times New Roman" w:cs="Times New Roman"/>
                <w:sz w:val="20"/>
                <w:szCs w:val="20"/>
              </w:rPr>
              <w:t xml:space="preserve">strategického plánu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SPP p</w:t>
            </w:r>
            <w:r w:rsidR="00085AB8" w:rsidRPr="00F82AA7">
              <w:rPr>
                <w:rFonts w:ascii="Times New Roman" w:hAnsi="Times New Roman" w:cs="Times New Roman"/>
                <w:sz w:val="20"/>
                <w:szCs w:val="20"/>
              </w:rPr>
              <w:t xml:space="preserve">reskúmanie účelnosti návrhu </w:t>
            </w:r>
            <w:r w:rsidR="00EB79FE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085AB8">
              <w:rPr>
                <w:rFonts w:ascii="Times New Roman" w:hAnsi="Times New Roman" w:cs="Times New Roman"/>
                <w:sz w:val="20"/>
                <w:szCs w:val="20"/>
              </w:rPr>
              <w:t xml:space="preserve">prípade </w:t>
            </w:r>
            <w:r w:rsidR="00085AB8" w:rsidRPr="00085AB8">
              <w:rPr>
                <w:rFonts w:ascii="Times New Roman" w:hAnsi="Times New Roman" w:cs="Times New Roman"/>
                <w:sz w:val="20"/>
                <w:szCs w:val="20"/>
              </w:rPr>
              <w:t>§ 5 ods. 4</w:t>
            </w:r>
            <w:r w:rsidR="004800C5">
              <w:rPr>
                <w:b/>
                <w:szCs w:val="24"/>
              </w:rPr>
              <w:t xml:space="preserve"> </w:t>
            </w:r>
            <w:r w:rsidR="00085AB8" w:rsidRPr="00F82AA7">
              <w:rPr>
                <w:rFonts w:ascii="Times New Roman" w:hAnsi="Times New Roman" w:cs="Times New Roman"/>
                <w:sz w:val="20"/>
                <w:szCs w:val="20"/>
              </w:rPr>
              <w:t>bude vykonané najneskôr do 3 rokov od nadobudnutia účinnosti</w:t>
            </w:r>
            <w:r w:rsidR="00085AB8">
              <w:rPr>
                <w:rFonts w:ascii="Times New Roman" w:hAnsi="Times New Roman" w:cs="Times New Roman"/>
                <w:sz w:val="20"/>
                <w:szCs w:val="20"/>
              </w:rPr>
              <w:t xml:space="preserve"> zákona</w:t>
            </w:r>
            <w:r w:rsidR="00085AB8" w:rsidRPr="00F82AA7">
              <w:rPr>
                <w:rFonts w:ascii="Times New Roman" w:hAnsi="Times New Roman" w:cs="Times New Roman"/>
                <w:sz w:val="20"/>
                <w:szCs w:val="20"/>
              </w:rPr>
              <w:t>. Kritériom bude</w:t>
            </w:r>
            <w:r w:rsidR="00085AB8">
              <w:rPr>
                <w:rFonts w:ascii="Times New Roman" w:hAnsi="Times New Roman" w:cs="Times New Roman"/>
                <w:sz w:val="20"/>
                <w:szCs w:val="20"/>
              </w:rPr>
              <w:t xml:space="preserve"> efektivita zberu údajov.</w:t>
            </w:r>
          </w:p>
          <w:p w14:paraId="0A82CD8F" w14:textId="5475B775" w:rsidR="007939D4" w:rsidRDefault="007939D4" w:rsidP="00476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BF013" w14:textId="71C39687" w:rsidR="007939D4" w:rsidRDefault="00F9236F" w:rsidP="0047606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Ohľadom novo-ustanovených právomocí</w:t>
            </w:r>
            <w:r w:rsidR="007939D4" w:rsidRPr="007939D4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orgánov verejnej moci Slovenskej republiky</w:t>
            </w:r>
            <w:r w:rsidR="007939D4" w:rsidRPr="00793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7939D4" w:rsidRPr="007939D4">
              <w:rPr>
                <w:rFonts w:ascii="Times New Roman" w:hAnsi="Times New Roman" w:cs="Times New Roman"/>
                <w:sz w:val="20"/>
                <w:szCs w:val="20"/>
              </w:rPr>
              <w:t xml:space="preserve">o vzťahu k dovozným alebo vývozným licenciám na poľnohospodárske výrobky, ktoré patria pod spoločnú organizáciu poľnohospodárskych trhov, vrátane dovozov alebo vývozov týchto poľnohospodárskych výrobkov v rámci colnej kvóty a s tým súvisiacej povinnej registrácie hospodárskych subjektov v elektronickom systéme registrácie a identifikácie hospodárskych subjektov žiadajúcich o licenciu a sankčnými mechanizmami pre tieto hospodárske subjekty na úrovni Európskej únie v podobe obmedzení týchto dovozov alebo vývozov či obmedzení udeľovania licencií pre tieto subjekty, ako aj vo vzťahu k požiadavke osobitného oprávnenia na dovoz </w:t>
            </w:r>
            <w:r w:rsidR="007939D4" w:rsidRPr="007939D4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konopných semien určených na iný účel ako na siatie do Európskej únie</w:t>
            </w:r>
            <w:r w:rsidR="008E3910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, bude kľúčovým kritériom praktická implementácia </w:t>
            </w:r>
            <w:r w:rsidR="006A6B0D" w:rsidRPr="006A6B0D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všetkých </w:t>
            </w:r>
            <w:r w:rsidR="006A6B0D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príslušných </w:t>
            </w:r>
            <w:r w:rsidR="006A6B0D" w:rsidRPr="006A6B0D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požiadaviek ustanovených v práve Európskej únie na úrovni Slovenskej republiky</w:t>
            </w:r>
            <w:r w:rsidR="006A6B0D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.</w:t>
            </w:r>
          </w:p>
          <w:p w14:paraId="7772B904" w14:textId="62D2B870" w:rsidR="00833AB1" w:rsidRDefault="00A41B28" w:rsidP="0047606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O</w:t>
            </w:r>
            <w:r w:rsidR="00833AB1" w:rsidRPr="00833AB1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hľadom novo-ustanovených </w:t>
            </w:r>
            <w:r w:rsidR="00833AB1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dodatočných </w:t>
            </w:r>
            <w:r w:rsidR="00833AB1" w:rsidRPr="00833AB1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právomocí orgánov verejnej moci Slovenskej republiky vo vzťahu k podpore, ktorá síce bola legálne poskytnutá na základe zákonne vydaného rozhodnutia, ale ktorú by mal jej prijímateľ vrátiť z dôvodu, že nesplnil požiadavky, ktoré je podľa práva Európskej únie alebo podľa vnútroštátneho práva Slovenskej republiky povinný spĺňať po jej poskytnutí, </w:t>
            </w:r>
            <w:r w:rsidRPr="00A41B28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bude kľúčovým kritériom</w:t>
            </w:r>
            <w:r w:rsidR="00772FE8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novo-nadobudnutá schopnosť vymáhať túto podporu.</w:t>
            </w:r>
          </w:p>
          <w:p w14:paraId="48FA9068" w14:textId="181CA948" w:rsidR="00F30CD0" w:rsidRDefault="00F30CD0" w:rsidP="0047606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</w:pPr>
          </w:p>
          <w:p w14:paraId="1E96E5EE" w14:textId="4811CAA6" w:rsidR="00F30CD0" w:rsidRDefault="00C2011B" w:rsidP="0047606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Ohľadom ustanovenia jasných</w:t>
            </w:r>
            <w:r w:rsidR="00F30CD0" w:rsidRPr="00F30CD0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informačn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ých</w:t>
            </w:r>
            <w:r w:rsidR="00F30CD0" w:rsidRPr="00F30CD0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povinnost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í</w:t>
            </w:r>
            <w:r w:rsidR="00F30CD0" w:rsidRPr="00F30CD0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</w:t>
            </w:r>
            <w:proofErr w:type="spellStart"/>
            <w:r w:rsidR="00F30CD0" w:rsidRPr="00F30CD0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prvonákupcov</w:t>
            </w:r>
            <w:proofErr w:type="spellEnd"/>
            <w:r w:rsidR="00F30CD0" w:rsidRPr="00F30CD0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surového mlieka vo vzťahu k platobnej agentúre, ako k príslušnému orgánu Slovenskej republiky, ktorému sú </w:t>
            </w:r>
            <w:proofErr w:type="spellStart"/>
            <w:r w:rsidR="00F30CD0" w:rsidRPr="00F30CD0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prvonákupcovia</w:t>
            </w:r>
            <w:proofErr w:type="spellEnd"/>
            <w:r w:rsidR="00F30CD0" w:rsidRPr="00F30CD0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surového mlieka podľa článku 151 nariadenia (EÚ) č. 1308/2013 v platnom znení povinní nahlasovať množstvo surového mlieka, ktoré im bolo každý mesiac dodané, a priemernú cenu, ktorú zaň zaplatili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, bude kľúčovým kritériom schopnosť Slovenskej republiky nahlasovať tieto údaje ďalej Európskej komisii.</w:t>
            </w:r>
            <w:r w:rsidR="00F30CD0" w:rsidRPr="00F30CD0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Ohľadom zrušenia neaktuálnych</w:t>
            </w:r>
            <w:r w:rsidR="00F30CD0" w:rsidRPr="00F30CD0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povinnost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í</w:t>
            </w:r>
            <w:r w:rsidR="00F30CD0" w:rsidRPr="00F30CD0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právnických osôb žiadajúcich v Slovenskej republike o svoje uznanie za organizáciu výrobcov mlieka a mliečnych výrobkov, za združenie organizácií výrobcov mlieka a mliečnych výrobkov alebo za medziodvetvovú organizáciu mlieka a mliečnych výrobkov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, </w:t>
            </w:r>
            <w:r w:rsidRPr="00C2011B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bude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zas </w:t>
            </w:r>
            <w:r w:rsidRPr="00C2011B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kľúčovým kritériom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plynulosť administrácie týchto uznávaní.</w:t>
            </w:r>
          </w:p>
          <w:p w14:paraId="6D98294B" w14:textId="2E1F13AB" w:rsidR="001E3E56" w:rsidRDefault="001E3E56" w:rsidP="0047606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</w:pPr>
          </w:p>
          <w:p w14:paraId="794265AD" w14:textId="3E86E613" w:rsidR="001E3E56" w:rsidRDefault="001E3E56" w:rsidP="0047606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Ohľadom ustanovenia pôsobností</w:t>
            </w:r>
            <w:r w:rsidRPr="001E3E56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a povinnost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í</w:t>
            </w:r>
            <w:r w:rsidRPr="001E3E56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platobnej agentúry vo vzťahu ku školskému programu Slovenskej republiky a vo vzťahu k príručkám </w:t>
            </w:r>
            <w:r w:rsidR="009023C1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pre </w:t>
            </w:r>
            <w:r w:rsidRPr="001E3E56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prijímateľov podpory, hlavne ňou vykonávan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ých</w:t>
            </w:r>
            <w:r w:rsidRPr="001E3E56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informačn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ých</w:t>
            </w:r>
            <w:r w:rsidRPr="001E3E56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povinností</w:t>
            </w:r>
            <w:r w:rsidRPr="001E3E56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členského štátu Európskej únie voči poľnohospodárom v rámci strategického plánu spoločnej poľnohospodárskej politiky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, </w:t>
            </w:r>
            <w:r w:rsidRPr="001E3E56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bude kľúčovým kritériom</w:t>
            </w:r>
            <w:r w:rsidR="00A37E4A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ďalšie vykonávanie týchto činností platobnou agentúrou.</w:t>
            </w:r>
          </w:p>
          <w:p w14:paraId="7C37175F" w14:textId="59255544" w:rsidR="00A37E4A" w:rsidRDefault="00A37E4A" w:rsidP="0047606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</w:pPr>
          </w:p>
          <w:p w14:paraId="0844F97C" w14:textId="497D12C1" w:rsidR="00A37E4A" w:rsidRDefault="00084336" w:rsidP="00476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Ohľadom ustanovenia</w:t>
            </w:r>
            <w:r w:rsidRPr="00084336">
              <w:rPr>
                <w:rFonts w:ascii="Times New Roman" w:hAnsi="Times New Roman" w:cs="Times New Roman"/>
                <w:sz w:val="20"/>
                <w:szCs w:val="20"/>
              </w:rPr>
              <w:t xml:space="preserve"> špecifick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ých</w:t>
            </w:r>
            <w:r w:rsidRPr="00084336">
              <w:rPr>
                <w:rFonts w:ascii="Times New Roman" w:hAnsi="Times New Roman" w:cs="Times New Roman"/>
                <w:sz w:val="20"/>
                <w:szCs w:val="20"/>
              </w:rPr>
              <w:t xml:space="preserve"> odchýl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</w:t>
            </w:r>
            <w:r w:rsidRPr="00084336">
              <w:rPr>
                <w:rFonts w:ascii="Times New Roman" w:hAnsi="Times New Roman" w:cs="Times New Roman"/>
                <w:sz w:val="20"/>
                <w:szCs w:val="20"/>
              </w:rPr>
              <w:t xml:space="preserve"> od správneho poriadku v znení neskorších predpisov pri administrovaní zábezpek, najmä pri administrovaní ich uvoľňovania, prepadnutia alebo ukladania povinnosti nahradiť prijatú zábezpeku inou zábezpekou, ktorými sa zasahuje do práv alebo povi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nností osôb, </w:t>
            </w:r>
            <w:r w:rsidRPr="00084336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>bude kľúčovým kritériom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sk-SK"/>
              </w:rPr>
              <w:t xml:space="preserve"> ďalšia plynulosť tejto administrácie.</w:t>
            </w:r>
          </w:p>
          <w:p w14:paraId="56BA7874" w14:textId="77777777" w:rsidR="0047606D" w:rsidRDefault="0047606D" w:rsidP="00476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BE4D7" w14:textId="4F2ACA72" w:rsidR="0047606D" w:rsidRDefault="00B64C19" w:rsidP="00B64C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4C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oblasti kontroly, predchádzania nezrovnalostiam a podvodom, ich odhaľovania a</w:t>
            </w:r>
            <w:r w:rsidR="00A41ED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B64C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nápravy</w:t>
            </w:r>
            <w:r w:rsidR="00A41ED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B64C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budú kľúčovými kritériami dĺžka trvania kontrol,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dĺžka trvania </w:t>
            </w:r>
            <w:r w:rsidRPr="00B64C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  <w:r w:rsidRPr="00B64C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odhaľovania a ná</w:t>
            </w:r>
            <w:r w:rsidR="00180F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pravy nezrovnalostí a podvodov.</w:t>
            </w:r>
          </w:p>
          <w:p w14:paraId="34751A57" w14:textId="6C815A35" w:rsidR="00A41ED2" w:rsidRDefault="00A41ED2" w:rsidP="00B64C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6EA27C" w14:textId="5599A1D3" w:rsidR="00A41ED2" w:rsidRDefault="00A41ED2" w:rsidP="00B64C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Ohľadom ustanovenia potrebných odchýlok od správneho poriadku v znení neskorších predpisov na </w:t>
            </w:r>
            <w:r w:rsidRPr="00A41ED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konania správnych orgánov vo veciach </w:t>
            </w:r>
            <w:r w:rsidRPr="00A41ED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spoločnej organizácie poľnohospodárskych trhov alebo vo veciach podpôr poskytovaných na sektorové intervencie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, </w:t>
            </w:r>
            <w:r w:rsidRPr="00A41ED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bude kľúčovým kritériom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ďalšia plynulosť administrácie v týchto konaniach.</w:t>
            </w:r>
          </w:p>
          <w:p w14:paraId="3F76D8C2" w14:textId="77777777" w:rsidR="00867324" w:rsidRDefault="00867324" w:rsidP="00B64C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D665D59" w14:textId="77777777" w:rsidR="00867324" w:rsidRDefault="00867324" w:rsidP="00B64C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V oblasti konania o priamych podporách </w:t>
            </w:r>
            <w:r w:rsidR="00D968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bude kľúčovým kritériom preskúmania účelnosti počet predložených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odvolaní a podnetov na preskúmanie rozhodnutia mimo odvolacieho konani</w:t>
            </w:r>
            <w:r w:rsidR="00180F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a, ktoré </w:t>
            </w:r>
            <w:r w:rsidR="00D968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boli vyriešené v rámci </w:t>
            </w:r>
            <w:proofErr w:type="spellStart"/>
            <w:r w:rsidR="00D968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autoremedúry</w:t>
            </w:r>
            <w:proofErr w:type="spellEnd"/>
            <w:r w:rsidR="00D968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celková dĺžka konania o priamych podporách.</w:t>
            </w:r>
          </w:p>
          <w:p w14:paraId="6B17F51F" w14:textId="77777777" w:rsidR="00867324" w:rsidRPr="0047606D" w:rsidRDefault="00867324" w:rsidP="00B64C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64BFD7E" w14:textId="77777777" w:rsidTr="000800FC">
        <w:tc>
          <w:tcPr>
            <w:tcW w:w="91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7A8E82" w14:textId="59786D99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9BA01B2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5FDFD5CA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29199534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530F2003" w14:textId="47003F26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3B8B393" w14:textId="77777777" w:rsidTr="00BA2BF4">
        <w:trPr>
          <w:trHeight w:val="28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2C487B8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28B2492C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FCE091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E3E6B9F" w14:textId="32F3F064" w:rsidR="001B23B7" w:rsidRPr="00612E08" w:rsidRDefault="00A41ED2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BB3B78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894D783" w14:textId="7223FFCC" w:rsidR="001B23B7" w:rsidRPr="00612E08" w:rsidRDefault="00A41ED2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11CA73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347AEAA" w14:textId="77777777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00486BF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73DEF68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AADD328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598A8BE2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33253B96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66BC535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794251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9F202E1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654954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CBB0252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D54BF5B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54F27439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E165175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93FC5D4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952511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ABBC8DB" w14:textId="77777777" w:rsidR="003145AE" w:rsidRPr="00612E08" w:rsidRDefault="00517C6A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153E91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70E25AF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4C8585B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41FC7A4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4618E63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5DA06A71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E206244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6B626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E66BBED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45122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5E95D9E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94F31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43988BCE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23ACB4C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49611F5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B9456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660C9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ABEC0A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8B207D" w14:textId="77777777" w:rsidR="00A7788F" w:rsidRPr="00612E08" w:rsidRDefault="009B5253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A219E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1965105F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E383CC5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E8030B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DA1D4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8A1C7C5" w14:textId="77777777" w:rsidR="007F587A" w:rsidRPr="00612E08" w:rsidRDefault="00517C6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9930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0A51CE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112A4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B43B8F7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531CA7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2318C79" w14:textId="77777777" w:rsidR="007F587A" w:rsidRPr="00612E08" w:rsidRDefault="00D968A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E6FC3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566800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497ED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6945EE5" w14:textId="77777777" w:rsidR="007F587A" w:rsidRPr="00612E08" w:rsidRDefault="00517C6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0927A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01A61C3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001BC08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43B520D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6B94A8C" w14:textId="77777777" w:rsidR="007F587A" w:rsidRPr="00612E08" w:rsidRDefault="00D968A5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6DA371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22403E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B7D88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9FA20FD" w14:textId="77777777" w:rsidR="007F587A" w:rsidRPr="00612E08" w:rsidRDefault="00517C6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BD0460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B83BBEA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F25680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0914CDD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E2A0107" w14:textId="245C9B08" w:rsidR="007F587A" w:rsidRPr="00612E08" w:rsidRDefault="00EC103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66BC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1132B7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381A0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920CD97" w14:textId="2FBFBD77" w:rsidR="007F587A" w:rsidRPr="00612E08" w:rsidRDefault="00EC103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BD413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928F1F7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7CCBFC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4E5D88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FDB4D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57CFE46" w14:textId="77777777" w:rsidR="007F587A" w:rsidRPr="00612E08" w:rsidRDefault="00517C6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3B37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5780B75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C68AF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BA883E0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2D77C4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FC6963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CA1B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8545061" w14:textId="77777777" w:rsidR="007F587A" w:rsidRPr="00612E08" w:rsidRDefault="00517C6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C78D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ED4F97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2516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AC47EF4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AD8047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C3005C5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95A4DC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6A4C2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B7BAB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43D1E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3B97440" w14:textId="77777777" w:rsidR="007F587A" w:rsidRPr="00612E08" w:rsidRDefault="009B525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989C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CFD5340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F4707C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302D694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ED1D2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AF427E7" w14:textId="77777777" w:rsidR="007F587A" w:rsidRPr="00612E08" w:rsidRDefault="00517C6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B8EC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79040A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E2063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45FF0FAE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6F9D8F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FC5296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F923F3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E50AD9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DE2469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27BA77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295DC4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D4F04BF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5095A21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2D38E9D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912E2B7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49083D5" w14:textId="77777777" w:rsidR="000F2BE9" w:rsidRPr="00612E08" w:rsidRDefault="00517C6A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71E7E3D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7DDA74E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681734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CE745A3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7611F0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B9B1C72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9F2FB5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DF61AFB" w14:textId="77777777" w:rsidR="000F2BE9" w:rsidRPr="00612E08" w:rsidRDefault="00517C6A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75DC10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588133A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180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73B15F54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F676BC2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D9DE0BF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3CF1C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EED4934" w14:textId="77777777" w:rsidR="00A340BB" w:rsidRPr="00612E08" w:rsidRDefault="00517C6A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1E162C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D457E5C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D6A3C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6B1E303" w14:textId="77777777" w:rsidTr="000800FC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7C5B4B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5A167744" w14:textId="77777777" w:rsidTr="000800FC">
        <w:trPr>
          <w:trHeight w:val="713"/>
        </w:trPr>
        <w:tc>
          <w:tcPr>
            <w:tcW w:w="9176" w:type="dxa"/>
            <w:gridSpan w:val="7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15EB579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79648C17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15F43D8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5EBA881D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504A7CA" w14:textId="77777777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0EA5AF67" w14:textId="77777777" w:rsidR="00844F2C" w:rsidRDefault="00844F2C" w:rsidP="00973F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546ACAE" w14:textId="04C1F80F" w:rsidR="00973FAA" w:rsidRDefault="00973FAA" w:rsidP="00973F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3F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Na účely </w:t>
            </w:r>
            <w:r w:rsidR="003B10FD" w:rsidRPr="003B10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§ 5</w:t>
            </w:r>
            <w:r w:rsidR="003B10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B10FD" w:rsidRPr="004B17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ods</w:t>
            </w:r>
            <w:r w:rsidR="003B10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3B10FD" w:rsidRPr="004B17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3 písm. c)</w:t>
            </w:r>
            <w:r w:rsidR="00473A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</w:t>
            </w:r>
            <w:r w:rsidR="003B10FD" w:rsidRPr="004B17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d) </w:t>
            </w:r>
            <w:r w:rsidR="00A247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zákona č. 280/2017 Z. z. </w:t>
            </w:r>
            <w:r w:rsidRPr="00973F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 aktuálny zber údajov prostredníctvom „Informačných listov MPRV SR“ a</w:t>
            </w:r>
            <w:r w:rsidR="002777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973F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„Nákladovos</w:t>
            </w:r>
            <w:r w:rsidR="002777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ti</w:t>
            </w:r>
            <w:r w:rsidRPr="00973F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poľn</w:t>
            </w:r>
            <w:r w:rsidR="00EB79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ohospodárskych výrobkov v </w:t>
            </w:r>
            <w:r w:rsidR="008F65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SR“. </w:t>
            </w:r>
            <w:r w:rsidRPr="00973F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Oslovené spravodajské jednotky </w:t>
            </w:r>
            <w:r w:rsidR="003D3C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budú </w:t>
            </w:r>
            <w:r w:rsidRPr="00973F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poskyt</w:t>
            </w:r>
            <w:r w:rsidR="003D3C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ovať </w:t>
            </w:r>
            <w:r w:rsidRPr="00973F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údaje bezodplatne. V súvislosti s poskytovaním údajov sa nezavádza pre dotknuté subjekty žiadna sankcia. Povinnosť p</w:t>
            </w:r>
            <w:r w:rsidR="00480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oskytnúť údaje zakladá vplyv na </w:t>
            </w:r>
            <w:r w:rsidRPr="00973F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podnikateľské prostredie vo forme zvýšenia administratívnych nákladov.</w:t>
            </w:r>
          </w:p>
          <w:p w14:paraId="20560F20" w14:textId="18829D91" w:rsidR="00A41ED2" w:rsidRDefault="00A41ED2" w:rsidP="00973F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2964A95" w14:textId="183567BB" w:rsidR="00A41ED2" w:rsidRPr="00A41ED2" w:rsidRDefault="00A41ED2" w:rsidP="00A41ED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Navrhovaný zákon</w:t>
            </w:r>
            <w:r w:rsidRPr="00A41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predpokladá zvýšenie príjmov kapitoly MPRV SR za vyberanie pokút a sankcií.</w:t>
            </w:r>
          </w:p>
          <w:p w14:paraId="3AB831B0" w14:textId="518F40F4" w:rsidR="00A41ED2" w:rsidRPr="00A41ED2" w:rsidRDefault="00A41ED2" w:rsidP="00A41ED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41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Uvedené príjmy budú vyplývať z rozšírenia povinnosti pre subjekty zaviesť poriadkové pokuty za porušenie povinností vyplývajúce z 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avrhovaného</w:t>
            </w:r>
            <w:r w:rsidRPr="00A41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zákona, ktorým sa men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í a dopĺňa zákon č. 280/2017 Z. </w:t>
            </w:r>
            <w:r w:rsidRPr="00A41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z. a ktorým sa mení zákon č. 247/2024 Z. z. o príspevkoch poskytovaných z Európskeho poľnohospodárskeho fondu pre rozvoj vidieka a o zmene a doplnení niektorých zákonov.</w:t>
            </w:r>
          </w:p>
          <w:p w14:paraId="4756F492" w14:textId="77777777" w:rsidR="00A41ED2" w:rsidRPr="00A41ED2" w:rsidRDefault="00A41ED2" w:rsidP="00A41ED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6DF15163" w14:textId="437DCE32" w:rsidR="00A41ED2" w:rsidRPr="00A41ED2" w:rsidRDefault="00A41ED2" w:rsidP="00A41ED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41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Vzhľadom na skutočnosť, že uvedená úprava sa týka malého počtu subjektov (16), predstavuje vplyv na rozpočet verejnej správy marginálny vplyv, ktorý nevieme presne kvantifikovať. Priemerná výška ukladaných pokút za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Pr="00A41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porušenie jednotlivých povinností sa pohybuje od 500 do 5 000 eur a môže v odhade predstavovať objem cca 18 000 eur ročne.</w:t>
            </w:r>
          </w:p>
          <w:p w14:paraId="5DCC46B0" w14:textId="77777777" w:rsidR="00A41ED2" w:rsidRPr="00A41ED2" w:rsidRDefault="00A41ED2" w:rsidP="00A41ED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65E37247" w14:textId="6EA3C1D6" w:rsidR="00A41ED2" w:rsidRPr="00973FAA" w:rsidRDefault="00A41ED2" w:rsidP="00A41E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1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Pokuty bude podľa §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="003F73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36 a 37</w:t>
            </w:r>
            <w:r w:rsidRPr="00A41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zákona vyberať orgán</w:t>
            </w:r>
            <w:r w:rsidR="00A17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štátnej správy Slovenskej republiky</w:t>
            </w:r>
            <w:r w:rsidRPr="00A41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, ktorým je podriadená rozpočtová organizácia Pôdohospodárska platobná agentúra.</w:t>
            </w:r>
          </w:p>
          <w:p w14:paraId="035B53C6" w14:textId="77777777" w:rsidR="00973FAA" w:rsidRPr="00612E08" w:rsidRDefault="00973FAA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1A98E1F" w14:textId="77777777"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40BE2822" w14:textId="77777777"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7C85889B" w14:textId="77777777" w:rsidTr="000800FC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AEA6085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612E08" w:rsidRPr="00612E08" w14:paraId="18BEF0A2" w14:textId="77777777" w:rsidTr="000800FC">
        <w:trPr>
          <w:trHeight w:val="586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6AEA7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37185C11" w14:textId="6C991BCD" w:rsidR="003E6B05" w:rsidRDefault="003E6B05" w:rsidP="00551A2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F5FD815" w14:textId="14EFE5C5" w:rsidR="003E6B05" w:rsidRDefault="003E6B05" w:rsidP="003E6B05">
            <w:pPr>
              <w:jc w:val="both"/>
              <w:rPr>
                <w:rStyle w:val="Hypertextovprepojenie"/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JUDr. Mgr. Jozef</w:t>
            </w:r>
            <w:r w:rsidRPr="006509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509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Jenčík</w:t>
            </w:r>
            <w:proofErr w:type="spellEnd"/>
            <w:r w:rsidRPr="006509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PhD.</w:t>
            </w:r>
            <w:r w:rsidR="00480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Pr="006509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Sekcia rozvoja vidieka a priamych platieb MPRV SR,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02/</w:t>
            </w:r>
            <w:r w:rsidRPr="006509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59266264, </w:t>
            </w:r>
            <w:hyperlink r:id="rId9" w:history="1">
              <w:r w:rsidRPr="00ED0ACD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jozef.jencik@land.gov.sk</w:t>
              </w:r>
            </w:hyperlink>
          </w:p>
          <w:p w14:paraId="2E023AE8" w14:textId="77777777" w:rsidR="003D3C6B" w:rsidRDefault="003D3C6B" w:rsidP="003E6B05">
            <w:pPr>
              <w:jc w:val="both"/>
              <w:rPr>
                <w:rStyle w:val="Hypertextovprepojenie"/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91CA059" w14:textId="6520CC97" w:rsidR="003D3C6B" w:rsidRDefault="003D3C6B" w:rsidP="00551A2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Mgr. Andrej Batel</w:t>
            </w:r>
            <w:r w:rsidR="00480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Sekcia poľnohospodárstva MPRV SR, 08/59266349,</w:t>
            </w:r>
          </w:p>
          <w:p w14:paraId="6653301A" w14:textId="0A70C8FB" w:rsidR="003D3C6B" w:rsidRDefault="003450A6" w:rsidP="00551A2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hyperlink r:id="rId10" w:history="1">
              <w:r w:rsidR="003D3C6B" w:rsidRPr="0093655F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Andrej.batel@land.gov.sk</w:t>
              </w:r>
            </w:hyperlink>
          </w:p>
          <w:p w14:paraId="33F0BBB7" w14:textId="77777777" w:rsidR="003D3C6B" w:rsidRDefault="003D3C6B" w:rsidP="00551A2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8F8793B" w14:textId="0C28BCCD" w:rsidR="00551A24" w:rsidRPr="002842B4" w:rsidRDefault="00551A24" w:rsidP="00551A2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842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RNDr. Slávka Krížová, Sekcia stratégií, analýz a prierezových činností MPRV SR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0</w:t>
            </w:r>
            <w:r w:rsidRPr="002842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</w:t>
            </w:r>
            <w:r w:rsidRPr="002842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59266456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</w:p>
          <w:p w14:paraId="5F82FB35" w14:textId="1F957499" w:rsidR="00551A24" w:rsidRDefault="003450A6" w:rsidP="00EC1033">
            <w:pPr>
              <w:jc w:val="both"/>
              <w:rPr>
                <w:rStyle w:val="Hypertextovprepojenie"/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</w:pPr>
            <w:hyperlink r:id="rId11" w:history="1">
              <w:r w:rsidR="00551A24" w:rsidRPr="002842B4">
                <w:rPr>
                  <w:rStyle w:val="Hypertextovprepojenie"/>
                  <w:rFonts w:ascii="Times New Roman" w:hAnsi="Times New Roman" w:cs="Times New Roman"/>
                  <w:i/>
                  <w:sz w:val="20"/>
                  <w:szCs w:val="20"/>
                  <w:lang w:eastAsia="sk-SK"/>
                </w:rPr>
                <w:t>slavka.krizova@land.gov.sk</w:t>
              </w:r>
            </w:hyperlink>
            <w:r w:rsidR="00551A24">
              <w:rPr>
                <w:rStyle w:val="Hypertextovprepojenie"/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43A6E0C8" w14:textId="77777777" w:rsidR="003D3C6B" w:rsidRPr="00551A24" w:rsidRDefault="003D3C6B" w:rsidP="00EC103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774F992" w14:textId="383B8C52" w:rsidR="00EC1033" w:rsidRDefault="00EC1033" w:rsidP="00EC103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Mgr. Hedviga Porubská, Sekcia rozvoja vidieka a priamych platieb MPRV SR, 02/59266216</w:t>
            </w:r>
            <w:r w:rsidR="001E3CC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,</w:t>
            </w:r>
          </w:p>
          <w:p w14:paraId="236FF2B6" w14:textId="6EFBDA5A" w:rsidR="00EC1033" w:rsidRPr="003E6B05" w:rsidRDefault="003450A6" w:rsidP="003E6B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2" w:history="1">
              <w:r w:rsidR="00EC1033">
                <w:rPr>
                  <w:rStyle w:val="Hypertextovprepojenie"/>
                  <w:rFonts w:ascii="Times New Roman" w:hAnsi="Times New Roman" w:cs="Times New Roman"/>
                  <w:i/>
                  <w:iCs/>
                  <w:sz w:val="20"/>
                  <w:szCs w:val="20"/>
                  <w:lang w:eastAsia="sk-SK"/>
                </w:rPr>
                <w:t>hedviga.porubska@land.gov.sk</w:t>
              </w:r>
            </w:hyperlink>
          </w:p>
        </w:tc>
      </w:tr>
      <w:tr w:rsidR="00612E08" w:rsidRPr="00612E08" w14:paraId="6C007031" w14:textId="77777777" w:rsidTr="000800FC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022396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2708170F" w14:textId="77777777" w:rsidTr="000800FC">
        <w:trPr>
          <w:trHeight w:val="401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CF0EC" w14:textId="6A7734E0" w:rsidR="001B23B7" w:rsidRPr="00844F2C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844F2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Uveďte zdroje (štatistiky, prieskumy, spoluprácu s odborníkmi a iné), z kto</w:t>
            </w:r>
            <w:r w:rsidR="00650D3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rých ste pri príprave materiálu</w:t>
            </w:r>
            <w:r w:rsidR="00650D3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br/>
            </w:r>
            <w:r w:rsidRPr="00844F2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 vypracovávaní doložky, analýz vplyvov vychádzali. V prípade nedostupnosti potrebných dát pre spracovanie relevantných analýz vybraných vplyvov, uveďte danú skutočnosť.</w:t>
            </w:r>
            <w:r w:rsidRPr="00844F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21387F2" w14:textId="77777777" w:rsidR="001B23B7" w:rsidRPr="00844F2C" w:rsidRDefault="001B23B7" w:rsidP="000800F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</w:p>
          <w:p w14:paraId="45DBEE4F" w14:textId="77777777" w:rsidR="001B23B7" w:rsidRDefault="00A24730" w:rsidP="000324D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Vzhľadom na to</w:t>
            </w:r>
            <w:r w:rsidR="00312177" w:rsidRPr="00844F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, že zber údajov formou „Informačných listov MPRV SR“ a „Nákladovost</w:t>
            </w:r>
            <w:r w:rsidR="00EB79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i poľnohospodárskych výrobkov v </w:t>
            </w:r>
            <w:r w:rsidR="00312177" w:rsidRPr="00844F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SR“ sa </w:t>
            </w:r>
            <w:r w:rsidR="000324D0" w:rsidRPr="00844F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na MPRV SR </w:t>
            </w:r>
            <w:r w:rsidR="00312177" w:rsidRPr="00844F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realizuje, tak zdrojom </w:t>
            </w:r>
            <w:r w:rsidR="000324D0" w:rsidRPr="00844F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informácií </w:t>
            </w:r>
            <w:r w:rsidR="00312177" w:rsidRPr="00844F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pre kvantifikáciu </w:t>
            </w:r>
            <w:r w:rsidR="000324D0" w:rsidRPr="00844F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vplyvov na podnikateľské prostredie je zavedená pr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ax a jej plánované modifikácie.</w:t>
            </w:r>
          </w:p>
          <w:p w14:paraId="62530C34" w14:textId="2B050E9C" w:rsidR="009E1B78" w:rsidRPr="00844F2C" w:rsidRDefault="009E1B7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Ohľadom novo-ustanovovaných právomocí platobnej agentúry sú zdrojom informácií najmä konzultácie s platobnou agentúrou ohľadom praktickej stránky administrácie, čo je zároveň hlavným zdrojom informácií aj pre ostatné navrhované úpravy. </w:t>
            </w:r>
            <w:r w:rsidR="00EC29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Ohľadom zjednodušení </w:t>
            </w:r>
            <w:r w:rsidR="00EC29F3" w:rsidRPr="00EC29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vo veciach </w:t>
            </w:r>
            <w:r w:rsidR="00EC29F3" w:rsidRPr="00EC29F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sk-SK" w:bidi="sk-SK"/>
              </w:rPr>
              <w:t>spoločnej organizácie poľnohospodárskych trhov alebo vo veciach podpôr poskytovaných na sektorové intervencie</w:t>
            </w:r>
            <w:r w:rsidR="00EC29F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sk-SK" w:bidi="sk-SK"/>
              </w:rPr>
              <w:t xml:space="preserve"> sú zdrojom informácií aj subjekty, ktoré bývajú účastníkmi týchto konaní.</w:t>
            </w:r>
          </w:p>
        </w:tc>
      </w:tr>
    </w:tbl>
    <w:p w14:paraId="29A9270C" w14:textId="77777777" w:rsidR="00FD2D65" w:rsidRDefault="00FD2D65">
      <w:r>
        <w:br w:type="page"/>
      </w: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0EDDB3C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697110" w14:textId="150E5603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</w:t>
            </w:r>
            <w:r w:rsidR="004800C5">
              <w:rPr>
                <w:rFonts w:ascii="Times New Roman" w:eastAsia="Calibri" w:hAnsi="Times New Roman" w:cs="Times New Roman"/>
                <w:b/>
              </w:rPr>
              <w:t>ných vplyvov z PPK č. 026</w:t>
            </w:r>
            <w:r w:rsidR="00114A86">
              <w:rPr>
                <w:rFonts w:ascii="Times New Roman" w:eastAsia="Calibri" w:hAnsi="Times New Roman" w:cs="Times New Roman"/>
                <w:b/>
              </w:rPr>
              <w:t>_2</w:t>
            </w:r>
            <w:r w:rsidR="004800C5">
              <w:rPr>
                <w:rFonts w:ascii="Times New Roman" w:eastAsia="Calibri" w:hAnsi="Times New Roman" w:cs="Times New Roman"/>
                <w:b/>
              </w:rPr>
              <w:t>/2025</w:t>
            </w:r>
          </w:p>
          <w:p w14:paraId="7423721D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318AC9AE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5B84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4BDE9C0F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FBB2202" w14:textId="4EF49678" w:rsidR="001B23B7" w:rsidRPr="00612E08" w:rsidRDefault="003450A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29F3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91472A2" w14:textId="410E6BCE" w:rsidR="001B23B7" w:rsidRPr="00612E08" w:rsidRDefault="003450A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05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07E6467" w14:textId="60C855B7" w:rsidR="001B23B7" w:rsidRPr="00612E08" w:rsidRDefault="003450A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00C5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07551EE8" w14:textId="2EB9B68E" w:rsidR="00473A06" w:rsidRDefault="001B23B7" w:rsidP="00473A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  <w:r w:rsidR="00CA0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</w:p>
          <w:p w14:paraId="259D3BFB" w14:textId="77CF7DE0" w:rsidR="00CA005E" w:rsidRDefault="00CA005E" w:rsidP="00473A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1B0D6BD" w14:textId="77777777" w:rsidR="00CA005E" w:rsidRPr="00CA005E" w:rsidRDefault="00CA005E" w:rsidP="00CA00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A0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„</w:t>
            </w:r>
            <w:r w:rsidRPr="00CA0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P</w:t>
            </w:r>
            <w:r w:rsidRPr="00CA0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</w:t>
            </w:r>
            <w:r w:rsidRPr="00CA0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ipomienky a návrhy zm</w:t>
            </w:r>
            <w:r w:rsidRPr="00CA0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ie</w:t>
            </w:r>
            <w:r w:rsidRPr="00CA0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n: </w:t>
            </w:r>
            <w:r w:rsidRPr="00CA0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Komisia uplatňuje k materiálu nasledovné pripomienky a odporúčania:</w:t>
            </w:r>
          </w:p>
          <w:p w14:paraId="682ADC90" w14:textId="77777777" w:rsidR="00CA005E" w:rsidRPr="00CA005E" w:rsidRDefault="00CA005E" w:rsidP="00CA00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4F5C65BA" w14:textId="77777777" w:rsidR="00CA005E" w:rsidRPr="00CA005E" w:rsidRDefault="00CA005E" w:rsidP="00CA00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A0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 vplyvom na rozpočet verejnej správy</w:t>
            </w:r>
          </w:p>
          <w:p w14:paraId="26B777D3" w14:textId="77777777" w:rsidR="00CA005E" w:rsidRPr="00CA005E" w:rsidRDefault="00CA005E" w:rsidP="00CA00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A0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Vzhľadom na to, že predkladateľ v doložke vybraných vplyvov označil žiadne vplyvy predmetného návrhu zákona na rozpočet verejnej správy, nie je potrebné vypracovávať analýzu vplyvov na rozpočet verejnej správy.</w:t>
            </w:r>
          </w:p>
          <w:p w14:paraId="677C98AA" w14:textId="77777777" w:rsidR="00CA005E" w:rsidRPr="00CA005E" w:rsidRDefault="00CA005E" w:rsidP="00CA00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31F9A8BF" w14:textId="77777777" w:rsidR="00CA005E" w:rsidRPr="00CA005E" w:rsidRDefault="00CA005E" w:rsidP="00CA00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A0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III. Záver: </w:t>
            </w:r>
            <w:r w:rsidRPr="00CA0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Stála pracovná komisia na posudzovanie vybraných vplyvov vyjadruje </w:t>
            </w:r>
          </w:p>
          <w:p w14:paraId="51CB6BF2" w14:textId="77777777" w:rsidR="00CA005E" w:rsidRPr="00CA005E" w:rsidRDefault="00CA005E" w:rsidP="00CA00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A0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</w:p>
          <w:p w14:paraId="03F9047A" w14:textId="77777777" w:rsidR="00CA005E" w:rsidRPr="00CA005E" w:rsidRDefault="00CA005E" w:rsidP="00CA00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032D5C78" w14:textId="77777777" w:rsidR="00CA005E" w:rsidRPr="00CA005E" w:rsidRDefault="00CA005E" w:rsidP="00CA00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A0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súhlasné stanovisko s návrhom na dopracovanie</w:t>
            </w:r>
          </w:p>
          <w:p w14:paraId="7E411825" w14:textId="77777777" w:rsidR="00CA005E" w:rsidRPr="00CA005E" w:rsidRDefault="00CA005E" w:rsidP="00CA00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22483842" w14:textId="77777777" w:rsidR="00CA005E" w:rsidRPr="00CA005E" w:rsidRDefault="00CA005E" w:rsidP="00CA00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47A30D46" w14:textId="77777777" w:rsidR="00CA005E" w:rsidRPr="00CA005E" w:rsidRDefault="00CA005E" w:rsidP="00CA00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A0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 materiálom predloženým na predbežné pripomienkové konanie s odporúčaním na jeho dopracovanie podľa pripomienok v bode II.“.</w:t>
            </w:r>
          </w:p>
          <w:p w14:paraId="55411357" w14:textId="77777777" w:rsidR="00CA005E" w:rsidRPr="00CA005E" w:rsidRDefault="00CA005E" w:rsidP="00CA00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6E1CE25F" w14:textId="3C8FD370" w:rsidR="00CA005E" w:rsidRPr="00314C4F" w:rsidRDefault="00CA005E" w:rsidP="00CA00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A00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Uvedená pripomienka Stálej pracovnej komisie Legislatívnej rady vlády Slovenskej republiky na posudzovanie vybraných vplyvov pri Ministerstve hospodárstva Slovenskej republiky bola akceptovaná.</w:t>
            </w:r>
          </w:p>
          <w:p w14:paraId="3D02DAA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0E540139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3467D49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5AEC45C1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47BFA30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688A3ED0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1DDEFE2B" w14:textId="1454FBDF" w:rsidR="001B23B7" w:rsidRPr="00612E08" w:rsidRDefault="003450A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05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EC9864D" w14:textId="77777777" w:rsidR="001B23B7" w:rsidRPr="00612E08" w:rsidRDefault="003450A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6431E0CF" w14:textId="77777777" w:rsidR="001B23B7" w:rsidRPr="00612E08" w:rsidRDefault="003450A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A8D300D" w14:textId="58F70CF3" w:rsidR="001B23B7" w:rsidRDefault="001B23B7" w:rsidP="00A259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  <w:r w:rsidR="00821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</w:p>
          <w:p w14:paraId="319CE318" w14:textId="7A556462" w:rsidR="008210F0" w:rsidRPr="00CA005E" w:rsidRDefault="008210F0" w:rsidP="00A259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5795630" w14:textId="77777777" w:rsidR="001B23B7" w:rsidRPr="00612E08" w:rsidRDefault="001B23B7" w:rsidP="00CA00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353CE08B" w14:textId="77777777" w:rsidR="00274130" w:rsidRPr="00612E08" w:rsidRDefault="003450A6">
      <w:bookmarkStart w:id="0" w:name="_GoBack"/>
      <w:bookmarkEnd w:id="0"/>
    </w:p>
    <w:sectPr w:rsidR="00274130" w:rsidRPr="00612E08" w:rsidSect="003450A6">
      <w:footerReference w:type="default" r:id="rId13"/>
      <w:pgSz w:w="11906" w:h="16838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740A8" w14:textId="77777777" w:rsidR="0060453E" w:rsidRDefault="0060453E" w:rsidP="001B23B7">
      <w:pPr>
        <w:spacing w:after="0" w:line="240" w:lineRule="auto"/>
      </w:pPr>
      <w:r>
        <w:separator/>
      </w:r>
    </w:p>
  </w:endnote>
  <w:endnote w:type="continuationSeparator" w:id="0">
    <w:p w14:paraId="00EDF559" w14:textId="77777777" w:rsidR="0060453E" w:rsidRDefault="0060453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28850"/>
      <w:docPartObj>
        <w:docPartGallery w:val="Page Numbers (Bottom of Page)"/>
        <w:docPartUnique/>
      </w:docPartObj>
    </w:sdtPr>
    <w:sdtContent>
      <w:p w14:paraId="2BCBA30A" w14:textId="11505780" w:rsidR="001B23B7" w:rsidRDefault="003450A6" w:rsidP="003450A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F1966" w14:textId="77777777" w:rsidR="0060453E" w:rsidRDefault="0060453E" w:rsidP="001B23B7">
      <w:pPr>
        <w:spacing w:after="0" w:line="240" w:lineRule="auto"/>
      </w:pPr>
      <w:r>
        <w:separator/>
      </w:r>
    </w:p>
  </w:footnote>
  <w:footnote w:type="continuationSeparator" w:id="0">
    <w:p w14:paraId="54B42D53" w14:textId="77777777" w:rsidR="0060453E" w:rsidRDefault="0060453E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1D39"/>
    <w:multiLevelType w:val="hybridMultilevel"/>
    <w:tmpl w:val="99C822A4"/>
    <w:lvl w:ilvl="0" w:tplc="544AF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D0499"/>
    <w:multiLevelType w:val="hybridMultilevel"/>
    <w:tmpl w:val="FA460FD8"/>
    <w:lvl w:ilvl="0" w:tplc="9C285178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1251"/>
    <w:rsid w:val="00026467"/>
    <w:rsid w:val="00026D6E"/>
    <w:rsid w:val="000324D0"/>
    <w:rsid w:val="00036443"/>
    <w:rsid w:val="00043706"/>
    <w:rsid w:val="00057F41"/>
    <w:rsid w:val="00066653"/>
    <w:rsid w:val="00066ECE"/>
    <w:rsid w:val="00071E74"/>
    <w:rsid w:val="00076907"/>
    <w:rsid w:val="00084336"/>
    <w:rsid w:val="00085AB8"/>
    <w:rsid w:val="00097069"/>
    <w:rsid w:val="000A3A0A"/>
    <w:rsid w:val="000C686D"/>
    <w:rsid w:val="000D348F"/>
    <w:rsid w:val="000F2BE9"/>
    <w:rsid w:val="000F6773"/>
    <w:rsid w:val="00113AE4"/>
    <w:rsid w:val="00114A86"/>
    <w:rsid w:val="0011606F"/>
    <w:rsid w:val="001271DD"/>
    <w:rsid w:val="001306A6"/>
    <w:rsid w:val="001423DC"/>
    <w:rsid w:val="00145A08"/>
    <w:rsid w:val="00150140"/>
    <w:rsid w:val="00156064"/>
    <w:rsid w:val="00165F4A"/>
    <w:rsid w:val="0017052E"/>
    <w:rsid w:val="00170555"/>
    <w:rsid w:val="001774F6"/>
    <w:rsid w:val="00180F12"/>
    <w:rsid w:val="0018601D"/>
    <w:rsid w:val="00187182"/>
    <w:rsid w:val="00194639"/>
    <w:rsid w:val="001B0DD6"/>
    <w:rsid w:val="001B23B7"/>
    <w:rsid w:val="001C7841"/>
    <w:rsid w:val="001D03C5"/>
    <w:rsid w:val="001D2B8A"/>
    <w:rsid w:val="001D7761"/>
    <w:rsid w:val="001E2634"/>
    <w:rsid w:val="001E2FDC"/>
    <w:rsid w:val="001E3562"/>
    <w:rsid w:val="001E3CC2"/>
    <w:rsid w:val="001E3E56"/>
    <w:rsid w:val="00203EE3"/>
    <w:rsid w:val="00217010"/>
    <w:rsid w:val="002243BB"/>
    <w:rsid w:val="00231372"/>
    <w:rsid w:val="0023360B"/>
    <w:rsid w:val="00234A92"/>
    <w:rsid w:val="0024204A"/>
    <w:rsid w:val="00243652"/>
    <w:rsid w:val="002457A7"/>
    <w:rsid w:val="00256338"/>
    <w:rsid w:val="002745B7"/>
    <w:rsid w:val="00276E00"/>
    <w:rsid w:val="00277700"/>
    <w:rsid w:val="002842B4"/>
    <w:rsid w:val="00286FE1"/>
    <w:rsid w:val="0028738A"/>
    <w:rsid w:val="002A0C96"/>
    <w:rsid w:val="002A6FCE"/>
    <w:rsid w:val="002A725E"/>
    <w:rsid w:val="002A75E6"/>
    <w:rsid w:val="002B0D3D"/>
    <w:rsid w:val="002B4AC6"/>
    <w:rsid w:val="002B510D"/>
    <w:rsid w:val="002B5B7B"/>
    <w:rsid w:val="002B6236"/>
    <w:rsid w:val="002B6B25"/>
    <w:rsid w:val="002C0F01"/>
    <w:rsid w:val="002C7093"/>
    <w:rsid w:val="002E6A41"/>
    <w:rsid w:val="002F2A8D"/>
    <w:rsid w:val="002F3584"/>
    <w:rsid w:val="002F6ADB"/>
    <w:rsid w:val="00303356"/>
    <w:rsid w:val="00312177"/>
    <w:rsid w:val="00313CD7"/>
    <w:rsid w:val="003145AE"/>
    <w:rsid w:val="00314C4F"/>
    <w:rsid w:val="003232D0"/>
    <w:rsid w:val="003248F7"/>
    <w:rsid w:val="0032583C"/>
    <w:rsid w:val="003259F0"/>
    <w:rsid w:val="00341FF1"/>
    <w:rsid w:val="003450A6"/>
    <w:rsid w:val="003553ED"/>
    <w:rsid w:val="00356B4D"/>
    <w:rsid w:val="00366838"/>
    <w:rsid w:val="00370016"/>
    <w:rsid w:val="00370E3A"/>
    <w:rsid w:val="00380D37"/>
    <w:rsid w:val="0038208D"/>
    <w:rsid w:val="0038456B"/>
    <w:rsid w:val="00391CC8"/>
    <w:rsid w:val="003A057B"/>
    <w:rsid w:val="003A381E"/>
    <w:rsid w:val="003B10FD"/>
    <w:rsid w:val="003D0B94"/>
    <w:rsid w:val="003D3C6B"/>
    <w:rsid w:val="003E6B05"/>
    <w:rsid w:val="003F73C7"/>
    <w:rsid w:val="00403FD8"/>
    <w:rsid w:val="00407AED"/>
    <w:rsid w:val="00411898"/>
    <w:rsid w:val="00413CC5"/>
    <w:rsid w:val="0042125E"/>
    <w:rsid w:val="00424246"/>
    <w:rsid w:val="00434080"/>
    <w:rsid w:val="004432AF"/>
    <w:rsid w:val="00472EE5"/>
    <w:rsid w:val="00473A06"/>
    <w:rsid w:val="0047606D"/>
    <w:rsid w:val="004800C5"/>
    <w:rsid w:val="00490C43"/>
    <w:rsid w:val="004925BA"/>
    <w:rsid w:val="0049476D"/>
    <w:rsid w:val="00495CA7"/>
    <w:rsid w:val="004968A4"/>
    <w:rsid w:val="004A4383"/>
    <w:rsid w:val="004B1776"/>
    <w:rsid w:val="004C6831"/>
    <w:rsid w:val="004E229F"/>
    <w:rsid w:val="004E7455"/>
    <w:rsid w:val="004E76CE"/>
    <w:rsid w:val="005129E6"/>
    <w:rsid w:val="00517C6A"/>
    <w:rsid w:val="00520564"/>
    <w:rsid w:val="005241E0"/>
    <w:rsid w:val="0054631A"/>
    <w:rsid w:val="00551A24"/>
    <w:rsid w:val="005619F8"/>
    <w:rsid w:val="0056616D"/>
    <w:rsid w:val="00574B0A"/>
    <w:rsid w:val="00591EC6"/>
    <w:rsid w:val="00591ED3"/>
    <w:rsid w:val="005C3EC6"/>
    <w:rsid w:val="005D67AE"/>
    <w:rsid w:val="005E242D"/>
    <w:rsid w:val="005E49F7"/>
    <w:rsid w:val="005F12A5"/>
    <w:rsid w:val="0060453E"/>
    <w:rsid w:val="00612190"/>
    <w:rsid w:val="00612E08"/>
    <w:rsid w:val="006205D0"/>
    <w:rsid w:val="00626DE3"/>
    <w:rsid w:val="00650D3E"/>
    <w:rsid w:val="0067070D"/>
    <w:rsid w:val="006745D4"/>
    <w:rsid w:val="0067588D"/>
    <w:rsid w:val="00687E15"/>
    <w:rsid w:val="006A6B0D"/>
    <w:rsid w:val="006B076E"/>
    <w:rsid w:val="006C541F"/>
    <w:rsid w:val="006E0B48"/>
    <w:rsid w:val="006F1B90"/>
    <w:rsid w:val="006F58D3"/>
    <w:rsid w:val="006F678E"/>
    <w:rsid w:val="006F6B62"/>
    <w:rsid w:val="00720322"/>
    <w:rsid w:val="00720BD2"/>
    <w:rsid w:val="007450B9"/>
    <w:rsid w:val="00750A8A"/>
    <w:rsid w:val="0075197E"/>
    <w:rsid w:val="0076096F"/>
    <w:rsid w:val="00761208"/>
    <w:rsid w:val="007676F3"/>
    <w:rsid w:val="0077190A"/>
    <w:rsid w:val="00771F71"/>
    <w:rsid w:val="00772FE8"/>
    <w:rsid w:val="007750B2"/>
    <w:rsid w:val="007756BE"/>
    <w:rsid w:val="00780002"/>
    <w:rsid w:val="0078500F"/>
    <w:rsid w:val="00787125"/>
    <w:rsid w:val="007939D4"/>
    <w:rsid w:val="007B40C1"/>
    <w:rsid w:val="007C5312"/>
    <w:rsid w:val="007D6F2C"/>
    <w:rsid w:val="007E7C73"/>
    <w:rsid w:val="007F183B"/>
    <w:rsid w:val="007F23A0"/>
    <w:rsid w:val="007F587A"/>
    <w:rsid w:val="0080042A"/>
    <w:rsid w:val="00817418"/>
    <w:rsid w:val="0081765C"/>
    <w:rsid w:val="008210F0"/>
    <w:rsid w:val="0082273B"/>
    <w:rsid w:val="0082728E"/>
    <w:rsid w:val="00833AB1"/>
    <w:rsid w:val="0083539D"/>
    <w:rsid w:val="0084257E"/>
    <w:rsid w:val="008436C7"/>
    <w:rsid w:val="00844F2C"/>
    <w:rsid w:val="008528DE"/>
    <w:rsid w:val="00855FDD"/>
    <w:rsid w:val="00865E3C"/>
    <w:rsid w:val="00865E81"/>
    <w:rsid w:val="00867324"/>
    <w:rsid w:val="008801B5"/>
    <w:rsid w:val="00881E07"/>
    <w:rsid w:val="008A1E02"/>
    <w:rsid w:val="008A1F46"/>
    <w:rsid w:val="008B222D"/>
    <w:rsid w:val="008B425A"/>
    <w:rsid w:val="008B4655"/>
    <w:rsid w:val="008C4C2D"/>
    <w:rsid w:val="008C61D8"/>
    <w:rsid w:val="008C7146"/>
    <w:rsid w:val="008C7320"/>
    <w:rsid w:val="008C79B7"/>
    <w:rsid w:val="008D50C2"/>
    <w:rsid w:val="008D5DCD"/>
    <w:rsid w:val="008E2EAE"/>
    <w:rsid w:val="008E3910"/>
    <w:rsid w:val="008F35B4"/>
    <w:rsid w:val="008F54BB"/>
    <w:rsid w:val="008F6515"/>
    <w:rsid w:val="00901115"/>
    <w:rsid w:val="009017F8"/>
    <w:rsid w:val="009023C1"/>
    <w:rsid w:val="00913291"/>
    <w:rsid w:val="00917228"/>
    <w:rsid w:val="00941078"/>
    <w:rsid w:val="009431E3"/>
    <w:rsid w:val="0094390B"/>
    <w:rsid w:val="009475F5"/>
    <w:rsid w:val="009516AB"/>
    <w:rsid w:val="00957BA8"/>
    <w:rsid w:val="00957EBD"/>
    <w:rsid w:val="00967EBC"/>
    <w:rsid w:val="00970313"/>
    <w:rsid w:val="009717F5"/>
    <w:rsid w:val="00973FAA"/>
    <w:rsid w:val="009754AD"/>
    <w:rsid w:val="0098472E"/>
    <w:rsid w:val="009A6ED5"/>
    <w:rsid w:val="009B5253"/>
    <w:rsid w:val="009C1B58"/>
    <w:rsid w:val="009C424C"/>
    <w:rsid w:val="009C7ABC"/>
    <w:rsid w:val="009D0FE3"/>
    <w:rsid w:val="009D2D76"/>
    <w:rsid w:val="009D347C"/>
    <w:rsid w:val="009D7DE5"/>
    <w:rsid w:val="009E09F7"/>
    <w:rsid w:val="009E1B78"/>
    <w:rsid w:val="009F36B6"/>
    <w:rsid w:val="009F4832"/>
    <w:rsid w:val="00A178EE"/>
    <w:rsid w:val="00A22DCC"/>
    <w:rsid w:val="00A24730"/>
    <w:rsid w:val="00A256D6"/>
    <w:rsid w:val="00A25932"/>
    <w:rsid w:val="00A30849"/>
    <w:rsid w:val="00A340BB"/>
    <w:rsid w:val="00A37E4A"/>
    <w:rsid w:val="00A41B28"/>
    <w:rsid w:val="00A41ED2"/>
    <w:rsid w:val="00A47B86"/>
    <w:rsid w:val="00A55BB5"/>
    <w:rsid w:val="00A60413"/>
    <w:rsid w:val="00A64D70"/>
    <w:rsid w:val="00A7788F"/>
    <w:rsid w:val="00A97EF3"/>
    <w:rsid w:val="00AA52EB"/>
    <w:rsid w:val="00AB51D1"/>
    <w:rsid w:val="00AC30D6"/>
    <w:rsid w:val="00AC66D9"/>
    <w:rsid w:val="00AF6150"/>
    <w:rsid w:val="00B00B6E"/>
    <w:rsid w:val="00B0517D"/>
    <w:rsid w:val="00B33F5B"/>
    <w:rsid w:val="00B547F5"/>
    <w:rsid w:val="00B56C25"/>
    <w:rsid w:val="00B61579"/>
    <w:rsid w:val="00B64C19"/>
    <w:rsid w:val="00B66F49"/>
    <w:rsid w:val="00B7077A"/>
    <w:rsid w:val="00B84F87"/>
    <w:rsid w:val="00B943E3"/>
    <w:rsid w:val="00BA1517"/>
    <w:rsid w:val="00BA2BF4"/>
    <w:rsid w:val="00BB01EA"/>
    <w:rsid w:val="00BC2B2C"/>
    <w:rsid w:val="00BD0BF0"/>
    <w:rsid w:val="00BD66DC"/>
    <w:rsid w:val="00BD6A55"/>
    <w:rsid w:val="00BE467F"/>
    <w:rsid w:val="00BE6CA9"/>
    <w:rsid w:val="00C2011B"/>
    <w:rsid w:val="00C2286A"/>
    <w:rsid w:val="00C26C1C"/>
    <w:rsid w:val="00C30764"/>
    <w:rsid w:val="00C30D88"/>
    <w:rsid w:val="00C47D5D"/>
    <w:rsid w:val="00C56A93"/>
    <w:rsid w:val="00C633A3"/>
    <w:rsid w:val="00C65AEC"/>
    <w:rsid w:val="00C73182"/>
    <w:rsid w:val="00C743AD"/>
    <w:rsid w:val="00C85371"/>
    <w:rsid w:val="00C86714"/>
    <w:rsid w:val="00C900D7"/>
    <w:rsid w:val="00C90E71"/>
    <w:rsid w:val="00C92B11"/>
    <w:rsid w:val="00C94E4E"/>
    <w:rsid w:val="00CA005E"/>
    <w:rsid w:val="00CA2A0A"/>
    <w:rsid w:val="00CB08AE"/>
    <w:rsid w:val="00CB74F5"/>
    <w:rsid w:val="00CC2495"/>
    <w:rsid w:val="00CD5471"/>
    <w:rsid w:val="00CD6E04"/>
    <w:rsid w:val="00CE16C1"/>
    <w:rsid w:val="00CE1DF9"/>
    <w:rsid w:val="00CE3937"/>
    <w:rsid w:val="00CE5209"/>
    <w:rsid w:val="00CE6AAE"/>
    <w:rsid w:val="00CF1A25"/>
    <w:rsid w:val="00CF2B06"/>
    <w:rsid w:val="00CF47B6"/>
    <w:rsid w:val="00D076D7"/>
    <w:rsid w:val="00D2313B"/>
    <w:rsid w:val="00D34B25"/>
    <w:rsid w:val="00D50F1E"/>
    <w:rsid w:val="00D55453"/>
    <w:rsid w:val="00D605BF"/>
    <w:rsid w:val="00D60C83"/>
    <w:rsid w:val="00D60FD3"/>
    <w:rsid w:val="00D640A3"/>
    <w:rsid w:val="00D968A5"/>
    <w:rsid w:val="00DA3AA5"/>
    <w:rsid w:val="00DB54A1"/>
    <w:rsid w:val="00DB5B30"/>
    <w:rsid w:val="00DC4138"/>
    <w:rsid w:val="00DC4727"/>
    <w:rsid w:val="00DC4A85"/>
    <w:rsid w:val="00DE1039"/>
    <w:rsid w:val="00DF1A57"/>
    <w:rsid w:val="00DF2E43"/>
    <w:rsid w:val="00DF357C"/>
    <w:rsid w:val="00E038FC"/>
    <w:rsid w:val="00E05A9A"/>
    <w:rsid w:val="00E17719"/>
    <w:rsid w:val="00E2766A"/>
    <w:rsid w:val="00E30018"/>
    <w:rsid w:val="00E3408B"/>
    <w:rsid w:val="00E440B4"/>
    <w:rsid w:val="00E71861"/>
    <w:rsid w:val="00E73440"/>
    <w:rsid w:val="00E92675"/>
    <w:rsid w:val="00E9275A"/>
    <w:rsid w:val="00E9313A"/>
    <w:rsid w:val="00EA22FE"/>
    <w:rsid w:val="00EB2D6A"/>
    <w:rsid w:val="00EB79FE"/>
    <w:rsid w:val="00EC1033"/>
    <w:rsid w:val="00EC29F3"/>
    <w:rsid w:val="00EC561D"/>
    <w:rsid w:val="00ED165A"/>
    <w:rsid w:val="00ED1AC0"/>
    <w:rsid w:val="00EE024D"/>
    <w:rsid w:val="00F059AE"/>
    <w:rsid w:val="00F06762"/>
    <w:rsid w:val="00F142B3"/>
    <w:rsid w:val="00F14CA5"/>
    <w:rsid w:val="00F30CD0"/>
    <w:rsid w:val="00F458E4"/>
    <w:rsid w:val="00F50A84"/>
    <w:rsid w:val="00F636EE"/>
    <w:rsid w:val="00F638C3"/>
    <w:rsid w:val="00F63A4F"/>
    <w:rsid w:val="00F675FB"/>
    <w:rsid w:val="00F71E1D"/>
    <w:rsid w:val="00F85C5A"/>
    <w:rsid w:val="00F87681"/>
    <w:rsid w:val="00F9236F"/>
    <w:rsid w:val="00F941C7"/>
    <w:rsid w:val="00FA02DB"/>
    <w:rsid w:val="00FA6A27"/>
    <w:rsid w:val="00FB3A37"/>
    <w:rsid w:val="00FB56D4"/>
    <w:rsid w:val="00FC1C6E"/>
    <w:rsid w:val="00FC44F3"/>
    <w:rsid w:val="00FC4EE8"/>
    <w:rsid w:val="00FC5A83"/>
    <w:rsid w:val="00FD2D65"/>
    <w:rsid w:val="00FD7293"/>
    <w:rsid w:val="00FE58E7"/>
    <w:rsid w:val="00FE7575"/>
    <w:rsid w:val="00FF321D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F23D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97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E16C1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675FB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D34B2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34B25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D34B2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E49F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49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49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edviga.porubska@land.go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lavka.krizova@land.gov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drej.batel@land.go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jozef.jencik@land.gov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DDDED96-B433-4A69-AFD3-117EF489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6007</Words>
  <Characters>34244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Benová Tímea</cp:lastModifiedBy>
  <cp:revision>3</cp:revision>
  <cp:lastPrinted>2025-06-17T09:36:00Z</cp:lastPrinted>
  <dcterms:created xsi:type="dcterms:W3CDTF">2025-06-02T06:06:00Z</dcterms:created>
  <dcterms:modified xsi:type="dcterms:W3CDTF">2025-06-17T09:36:00Z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