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DB" w:rsidRDefault="001F0CDB" w:rsidP="001F0CDB">
      <w:pPr>
        <w:rPr>
          <w:b/>
          <w:bCs/>
          <w:lang w:eastAsia="sk-SK"/>
        </w:rPr>
      </w:pPr>
      <w:r>
        <w:rPr>
          <w:b/>
          <w:bCs/>
        </w:rPr>
        <w:t>B. Osobitná časť</w:t>
      </w:r>
    </w:p>
    <w:p w:rsidR="001F0CDB" w:rsidRDefault="001F0CDB" w:rsidP="001F0CDB">
      <w:pPr>
        <w:jc w:val="both"/>
        <w:rPr>
          <w:rFonts w:eastAsia="Calibri"/>
          <w:b/>
          <w:bCs/>
          <w:kern w:val="3"/>
        </w:rPr>
      </w:pPr>
    </w:p>
    <w:p w:rsidR="001F0CDB" w:rsidRDefault="001F0CDB" w:rsidP="001F0CDB">
      <w:pPr>
        <w:jc w:val="both"/>
        <w:rPr>
          <w:b/>
        </w:rPr>
      </w:pPr>
      <w:r>
        <w:rPr>
          <w:b/>
        </w:rPr>
        <w:t>K § 1</w:t>
      </w:r>
    </w:p>
    <w:p w:rsidR="001F0CDB" w:rsidRDefault="001F0CDB" w:rsidP="001F0CDB">
      <w:pPr>
        <w:jc w:val="both"/>
      </w:pPr>
      <w:r>
        <w:tab/>
      </w:r>
    </w:p>
    <w:p w:rsidR="001F0CDB" w:rsidRDefault="001F0CDB" w:rsidP="001F0CDB">
      <w:pPr>
        <w:pStyle w:val="Default"/>
        <w:ind w:firstLine="708"/>
        <w:jc w:val="both"/>
      </w:pPr>
      <w:r>
        <w:t xml:space="preserve">Účelom poskytnutia finančného príspevku na poskytovanie sociálnej služby v zariadeniach podmienených odkázanosťou je spolufinancovanie ekonomicky oprávnených nákladov na mzdy a platy zamestnancov poskytovateľa sociálnej služby najviac vo výške, ktorá zodpovedá výške platu podľa zákona č. 553/ 2003 Z. z. o odmeňovaní niektorých zamestnancov pri výkone  práce vo verejnom záujme a o zmene a doplnení niektorých zákonov v znení neskorších predpisov a na  poistné na verejné zdravotné poistenie, poistné na sociálne poistenie a povinné príspevky na starobné dôchodkové sporenie platené zamestnávateľom z tohto príjmu. Poskytnutý finančný príspevok je účelovo viazaný na spolufinancovanie ekonomicky oprávnených nákladov na mzdy a odvody zamestnancov poskytovateľa sociálnej služby v konkrétnom zariadení sociálnych služieb podmienenom odkázanosťou. Takto ustanovený mechanizmus posilňuje viaczdrojové financovanie sociálnych služieb a prispieva k ich dlhodobej udržateľnosti a dostupnosti, prispieva taktiež k podpore zamestnanosti a </w:t>
      </w:r>
      <w:proofErr w:type="spellStart"/>
      <w:r>
        <w:t>zamestnateľnosti</w:t>
      </w:r>
      <w:proofErr w:type="spellEnd"/>
      <w:r>
        <w:t xml:space="preserve"> a k riešeniu úrovne odmeňovania zamestnancov v sociálnych službách.</w:t>
      </w:r>
    </w:p>
    <w:p w:rsidR="001F0CDB" w:rsidRDefault="001F0CDB" w:rsidP="001F0CDB">
      <w:pPr>
        <w:pStyle w:val="Default"/>
        <w:ind w:firstLine="708"/>
        <w:jc w:val="both"/>
      </w:pPr>
    </w:p>
    <w:p w:rsidR="001F0CDB" w:rsidRDefault="001F0CDB" w:rsidP="001F0CDB">
      <w:pPr>
        <w:ind w:firstLine="708"/>
        <w:jc w:val="both"/>
      </w:pPr>
      <w:r>
        <w:t>Podľa § 78b ods. 4 zákona č. 448/2008 Z. z. o sociálnych službách a o zmene a doplnení zákona č. 455/1991 Zb. o živnostenskom podnikaní (živnostenský zákon) v znení neskorších predpisov v znení zákona č. 484/2021 Z. z. (ďalej len „zákon o sociálnych službách“) výšku finančného príspevku na poskytovanie sociálnej služby v zariadeniach podmienených odkázanosťou podľa formy sociálnej služby a podľa stupňa odkázanosti fyzickej osoby na pomoc inej fyzickej osoby ustanoví na príslušný kalendárny rok vláda Slovenskej republiky nariadením vlády Slovenskej republiky.</w:t>
      </w:r>
    </w:p>
    <w:p w:rsidR="001F0CDB" w:rsidRDefault="001F0CDB" w:rsidP="001F0CDB">
      <w:pPr>
        <w:ind w:firstLine="708"/>
        <w:jc w:val="both"/>
      </w:pPr>
    </w:p>
    <w:p w:rsidR="001F0CDB" w:rsidRDefault="001F0CDB" w:rsidP="001F0CDB">
      <w:pPr>
        <w:ind w:firstLine="708"/>
        <w:jc w:val="both"/>
      </w:pPr>
      <w:r>
        <w:t>Podľa § 78b ods. 5 zákona o sociálnych službách výška finančného príspevku na poskytovanie sociálnej služby v zariadeniach podmienených odkázanosťou sa ustanovuje vždy na obdobie od 1. januára do 31. decembra. Nariadenie vlády Slovenskej republiky sa uverejní v Zbierke zákonov Slovenskej republiky najneskôr do 30. júna kalendárneho roka predchádzajúceho príslušnému kalendárnemu roku.</w:t>
      </w:r>
    </w:p>
    <w:p w:rsidR="001F0CDB" w:rsidRDefault="001F0CDB" w:rsidP="001F0CDB">
      <w:pPr>
        <w:ind w:firstLine="708"/>
        <w:jc w:val="both"/>
      </w:pPr>
    </w:p>
    <w:p w:rsidR="001F0CDB" w:rsidRDefault="001F0CDB" w:rsidP="001F0CDB">
      <w:pPr>
        <w:ind w:firstLine="708"/>
        <w:jc w:val="both"/>
      </w:pPr>
      <w:r>
        <w:t>Navrhovaná výška finančného príspevku na poskytovanie sociálnej služby v zariadeniach  podmienených odkázanosťou na rok 202</w:t>
      </w:r>
      <w:r w:rsidR="00BD5D86">
        <w:t>6</w:t>
      </w:r>
      <w:r>
        <w:t xml:space="preserve"> je priamo naviazaná na vývoj minimálnej mzdy a jej výšku na rok 202</w:t>
      </w:r>
      <w:r w:rsidR="00BD5D86">
        <w:t>5</w:t>
      </w:r>
      <w:r>
        <w:t xml:space="preserve"> (</w:t>
      </w:r>
      <w:r w:rsidR="00BD5D86">
        <w:t>816</w:t>
      </w:r>
      <w:r>
        <w:t xml:space="preserve"> eur/mesiac).  Navrhovaná výška finančného príspevku vychádza z 0,25 násobku  sumy minimálnej mzdy na rok 202</w:t>
      </w:r>
      <w:r w:rsidR="00BD5D86">
        <w:t>5</w:t>
      </w:r>
      <w:r>
        <w:t xml:space="preserve"> pri I. stupni odkázanosti, 0,5 násobku sumy  minimálnej mzdy  na rok 202</w:t>
      </w:r>
      <w:r w:rsidR="00BD5D86">
        <w:t>5</w:t>
      </w:r>
      <w:r>
        <w:t xml:space="preserve"> pri II. stupni odkázanosti, 0,65 násobku sumy  minimálnej mzdy na rok 202</w:t>
      </w:r>
      <w:r w:rsidR="00BD5D86">
        <w:t>5</w:t>
      </w:r>
      <w:r>
        <w:t xml:space="preserve"> pri I</w:t>
      </w:r>
      <w:r w:rsidR="00DE0C25">
        <w:t>II</w:t>
      </w:r>
      <w:r>
        <w:t>. stupni odkázanosti, 0,9 násobku sumy minimálnej mzdy na rok 202</w:t>
      </w:r>
      <w:r w:rsidR="00BD5D86">
        <w:t>5</w:t>
      </w:r>
      <w:r>
        <w:t xml:space="preserve">  pri </w:t>
      </w:r>
      <w:r w:rsidR="00DE0C25">
        <w:t>I</w:t>
      </w:r>
      <w:r>
        <w:t>V. stupni odkázanosti a 1,1 násobku sumy  minimálnej mzdy na rok 202</w:t>
      </w:r>
      <w:r w:rsidR="00BD5D86">
        <w:t>5</w:t>
      </w:r>
      <w:r>
        <w:t xml:space="preserve">  pri V</w:t>
      </w:r>
      <w:bookmarkStart w:id="0" w:name="_GoBack"/>
      <w:bookmarkEnd w:id="0"/>
      <w:r>
        <w:t xml:space="preserve">. stupni odkázanosti. </w:t>
      </w:r>
    </w:p>
    <w:p w:rsidR="001F0CDB" w:rsidRDefault="001F0CDB" w:rsidP="001F0CDB">
      <w:pPr>
        <w:jc w:val="both"/>
      </w:pPr>
    </w:p>
    <w:p w:rsidR="001F0CDB" w:rsidRDefault="001F0CDB" w:rsidP="001F0CDB">
      <w:pPr>
        <w:ind w:firstLine="708"/>
        <w:jc w:val="both"/>
      </w:pPr>
      <w:r>
        <w:t xml:space="preserve">Pri určovaní výšky finančného príspevku  predkladaný návrh prihliada na vyváženú úroveň spolufinancovania jednotlivých foriem sociálnej služby (pobytovej formy sociálnej služby a ambulantnej  formy sociálnej služby). Výška finančného príspevku pri poskytovaní ambulantnej sociálnej služby v závislosti od stupňa odkázanosti v predkladanom návrhu  predstavuje 2/3- t. j. cca 66,67% z výšky finančného príspevku pri poskytovaní pobytovej služby/mesiac/miesto. </w:t>
      </w:r>
    </w:p>
    <w:p w:rsidR="001F0CDB" w:rsidRDefault="001F0CDB" w:rsidP="001F0CDB">
      <w:pPr>
        <w:ind w:firstLine="708"/>
        <w:jc w:val="both"/>
      </w:pPr>
      <w:r>
        <w:t xml:space="preserve"> </w:t>
      </w:r>
    </w:p>
    <w:p w:rsidR="001F0CDB" w:rsidRDefault="001F0CDB" w:rsidP="001F0CDB">
      <w:pPr>
        <w:ind w:firstLine="708"/>
        <w:jc w:val="both"/>
      </w:pPr>
      <w:r>
        <w:t>Výška finančného príspevku na poskytovanie sociálnej služby v zariadeniach  podmienených odkázanosťou nepredstavuje pokrytie reálnej nákladovosti poskytovania osobnej starostlivosti, ale ide len o jeden z možných zdrojov spolufinancovania sociálnej služby v zariadeniach podmienených odkázanosťou tak, ako to ustanovuje § 71 zákona o sociálnych službách.</w:t>
      </w:r>
    </w:p>
    <w:p w:rsidR="001F0CDB" w:rsidRDefault="001F0CDB" w:rsidP="001F0CDB">
      <w:pPr>
        <w:pStyle w:val="Zkladntext"/>
        <w:rPr>
          <w:rFonts w:ascii="Times New Roman" w:hAnsi="Times New Roman"/>
          <w:sz w:val="24"/>
          <w:szCs w:val="24"/>
        </w:rPr>
      </w:pPr>
      <w:r>
        <w:rPr>
          <w:rFonts w:ascii="Times New Roman" w:hAnsi="Times New Roman"/>
          <w:sz w:val="24"/>
          <w:szCs w:val="24"/>
        </w:rPr>
        <w:tab/>
      </w:r>
    </w:p>
    <w:p w:rsidR="001F0CDB" w:rsidRDefault="001F0CDB" w:rsidP="001F0CDB">
      <w:pPr>
        <w:pStyle w:val="Zkladntext"/>
        <w:rPr>
          <w:rFonts w:ascii="Times New Roman" w:hAnsi="Times New Roman"/>
          <w:sz w:val="24"/>
          <w:szCs w:val="24"/>
        </w:rPr>
      </w:pPr>
    </w:p>
    <w:p w:rsidR="001F0CDB" w:rsidRDefault="001F0CDB" w:rsidP="001F0CDB">
      <w:pPr>
        <w:jc w:val="both"/>
        <w:rPr>
          <w:b/>
        </w:rPr>
      </w:pPr>
    </w:p>
    <w:p w:rsidR="001F0CDB" w:rsidRDefault="001F0CDB" w:rsidP="001F0CDB">
      <w:pPr>
        <w:ind w:firstLine="708"/>
        <w:jc w:val="both"/>
      </w:pPr>
      <w:r>
        <w:t>Návrh nariadenia vlády SR ustanovuje aj valorizáciu výšky finančného príspevku na poskytovanie sociálnej služby vo vybraných zariadeniach krízovej intervencie. Dôvodom je najmä skutočnosť, že aj pri výške finančného príspevku poskytovaného vybraným zariadeniam krízovej intervencie zriadeným alebo založeným obcou a nocľahárňam neverejných poskytovateľov sociálnych služieb je potrebné zohľadniť medziročný vývoj prevádzkových nákladov na poskytovanú sociálnu službu. Vzhľadom na skutočnosť, že aj pri týchto druhoch zariadení sociálnych služieb najmä náklady na mzdy a ostatné osobné náklady tvoria najvyšší podiel nákladov, medziročná valorizácia výšky finančného príspevku sa odvíja od medziročného vývoja minimálnej mzdy, konkrétne ide o 0,5 násobok sumy minimálnej mzdy na rok 202</w:t>
      </w:r>
      <w:r w:rsidR="00BD5D86">
        <w:t>5</w:t>
      </w:r>
      <w:r>
        <w:t xml:space="preserve">. </w:t>
      </w:r>
    </w:p>
    <w:p w:rsidR="001F0CDB" w:rsidRDefault="001F0CDB" w:rsidP="001F0CDB">
      <w:pPr>
        <w:jc w:val="both"/>
        <w:rPr>
          <w:b/>
        </w:rPr>
      </w:pPr>
    </w:p>
    <w:p w:rsidR="001F0CDB" w:rsidRDefault="001F0CDB" w:rsidP="001F0CDB">
      <w:pPr>
        <w:jc w:val="both"/>
        <w:rPr>
          <w:b/>
        </w:rPr>
      </w:pPr>
    </w:p>
    <w:p w:rsidR="001F0CDB" w:rsidRDefault="001F0CDB" w:rsidP="001F0CDB">
      <w:pPr>
        <w:jc w:val="both"/>
        <w:rPr>
          <w:b/>
        </w:rPr>
      </w:pPr>
      <w:r>
        <w:rPr>
          <w:b/>
        </w:rPr>
        <w:t>K § 2</w:t>
      </w:r>
    </w:p>
    <w:p w:rsidR="001F0CDB" w:rsidRDefault="001F0CDB" w:rsidP="001F0CDB">
      <w:pPr>
        <w:jc w:val="both"/>
        <w:rPr>
          <w:b/>
        </w:rPr>
      </w:pPr>
    </w:p>
    <w:p w:rsidR="001F0CDB" w:rsidRDefault="001F0CDB" w:rsidP="001F0CDB">
      <w:pPr>
        <w:spacing w:after="200"/>
        <w:jc w:val="both"/>
      </w:pPr>
      <w:r>
        <w:t xml:space="preserve">Zrušuje sa nariadenie vlády Slovenskej republiky č. </w:t>
      </w:r>
      <w:r w:rsidR="00BD5D86">
        <w:t>136</w:t>
      </w:r>
      <w:r>
        <w:t>/202</w:t>
      </w:r>
      <w:r w:rsidR="00BD5D86">
        <w:t>4</w:t>
      </w:r>
      <w:r>
        <w:t xml:space="preserve"> Z. z., ktorým sa ustanovuje výška finančného príspevku na poskytovanie sociálnej služby v niektorých druhoch zariadení sociálnych služieb na rok 202</w:t>
      </w:r>
      <w:r w:rsidR="00BD5D86">
        <w:t>5</w:t>
      </w:r>
      <w:r>
        <w:t xml:space="preserve">. </w:t>
      </w:r>
    </w:p>
    <w:p w:rsidR="001F0CDB" w:rsidRDefault="001F0CDB" w:rsidP="001F0CDB">
      <w:pPr>
        <w:jc w:val="both"/>
      </w:pPr>
    </w:p>
    <w:p w:rsidR="001F0CDB" w:rsidRDefault="001F0CDB" w:rsidP="001F0CDB">
      <w:pPr>
        <w:jc w:val="both"/>
        <w:rPr>
          <w:b/>
        </w:rPr>
      </w:pPr>
      <w:r>
        <w:rPr>
          <w:b/>
        </w:rPr>
        <w:t>K § 3</w:t>
      </w:r>
    </w:p>
    <w:p w:rsidR="001F0CDB" w:rsidRDefault="001F0CDB" w:rsidP="001F0CDB">
      <w:pPr>
        <w:jc w:val="both"/>
        <w:rPr>
          <w:b/>
        </w:rPr>
      </w:pPr>
    </w:p>
    <w:p w:rsidR="001F0CDB" w:rsidRDefault="001F0CDB" w:rsidP="001F0CDB">
      <w:pPr>
        <w:jc w:val="both"/>
      </w:pPr>
      <w:r>
        <w:t>Toto  nariadenia vlády  Slovenskej republiky nadobúda účinnosť 1. januára 202</w:t>
      </w:r>
      <w:r w:rsidR="00BD5D86">
        <w:t>6</w:t>
      </w:r>
      <w:r>
        <w:t>.</w:t>
      </w:r>
    </w:p>
    <w:p w:rsidR="001F0CDB" w:rsidRDefault="001F0CDB" w:rsidP="001F0CDB">
      <w:pPr>
        <w:jc w:val="both"/>
      </w:pPr>
    </w:p>
    <w:p w:rsidR="001F0CDB" w:rsidRDefault="001F0CDB" w:rsidP="001F0CDB">
      <w:pPr>
        <w:jc w:val="both"/>
        <w:rPr>
          <w:lang w:eastAsia="en-US"/>
        </w:rPr>
      </w:pPr>
    </w:p>
    <w:p w:rsidR="001F0CDB" w:rsidRDefault="001F0CDB" w:rsidP="001F0CDB">
      <w:pPr>
        <w:rPr>
          <w:rFonts w:eastAsiaTheme="minorHAnsi"/>
        </w:rPr>
      </w:pPr>
    </w:p>
    <w:p w:rsidR="001F0CDB" w:rsidRDefault="001F0CDB" w:rsidP="001F0CDB">
      <w:pPr>
        <w:tabs>
          <w:tab w:val="left" w:pos="1080"/>
          <w:tab w:val="left" w:pos="1620"/>
        </w:tabs>
        <w:ind w:left="1080" w:right="-31" w:firstLine="180"/>
        <w:jc w:val="center"/>
        <w:rPr>
          <w:rFonts w:eastAsia="Calibri"/>
          <w:b/>
          <w:bCs/>
          <w:lang w:eastAsia="sk-SK"/>
        </w:rPr>
      </w:pPr>
    </w:p>
    <w:p w:rsidR="001F0CDB" w:rsidRDefault="001F0CDB" w:rsidP="001F0CDB">
      <w:pPr>
        <w:spacing w:line="276" w:lineRule="auto"/>
        <w:jc w:val="both"/>
      </w:pPr>
    </w:p>
    <w:p w:rsidR="009C5482" w:rsidRDefault="009C5482" w:rsidP="009C5482">
      <w:pPr>
        <w:pStyle w:val="Zakladnystyl"/>
      </w:pPr>
    </w:p>
    <w:p w:rsidR="009C5482" w:rsidRDefault="009C5482" w:rsidP="009C5482">
      <w:pPr>
        <w:pStyle w:val="Zakladnystyl"/>
      </w:pPr>
    </w:p>
    <w:p w:rsidR="004C6FB3" w:rsidRPr="00EB0FFB" w:rsidRDefault="009275E4" w:rsidP="009275E4">
      <w:pPr>
        <w:tabs>
          <w:tab w:val="left" w:pos="1080"/>
          <w:tab w:val="left" w:pos="1620"/>
        </w:tabs>
        <w:ind w:left="1080" w:right="-31" w:firstLine="180"/>
        <w:jc w:val="center"/>
        <w:rPr>
          <w:rFonts w:eastAsiaTheme="minorHAnsi"/>
        </w:rPr>
      </w:pPr>
      <w:r>
        <w:rPr>
          <w:rFonts w:eastAsia="Calibri"/>
          <w:b/>
          <w:bCs/>
          <w:kern w:val="3"/>
          <w:lang w:eastAsia="sk-SK"/>
        </w:rPr>
        <w:t xml:space="preserve"> </w:t>
      </w:r>
    </w:p>
    <w:sectPr w:rsidR="004C6FB3" w:rsidRPr="00EB0FFB" w:rsidSect="00162F82">
      <w:pgSz w:w="11906" w:h="16838"/>
      <w:pgMar w:top="1134" w:right="1558" w:bottom="1134" w:left="851" w:header="737"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5A7"/>
    <w:multiLevelType w:val="hybridMultilevel"/>
    <w:tmpl w:val="40FC69EE"/>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0B51FAE"/>
    <w:multiLevelType w:val="hybridMultilevel"/>
    <w:tmpl w:val="FBD4AC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922DF8"/>
    <w:multiLevelType w:val="hybridMultilevel"/>
    <w:tmpl w:val="7C6843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42200C4A"/>
    <w:multiLevelType w:val="hybridMultilevel"/>
    <w:tmpl w:val="4EAC88EA"/>
    <w:lvl w:ilvl="0" w:tplc="6BD668DC">
      <w:start w:val="1"/>
      <w:numFmt w:val="upperLetter"/>
      <w:lvlText w:val="%1."/>
      <w:lvlJc w:val="left"/>
      <w:pPr>
        <w:ind w:left="420" w:hanging="360"/>
      </w:pPr>
      <w:rPr>
        <w:b/>
      </w:rPr>
    </w:lvl>
    <w:lvl w:ilvl="1" w:tplc="041B0019">
      <w:start w:val="1"/>
      <w:numFmt w:val="lowerLetter"/>
      <w:lvlText w:val="%2."/>
      <w:lvlJc w:val="left"/>
      <w:pPr>
        <w:ind w:left="1140" w:hanging="360"/>
      </w:pPr>
    </w:lvl>
    <w:lvl w:ilvl="2" w:tplc="041B001B">
      <w:start w:val="1"/>
      <w:numFmt w:val="lowerRoman"/>
      <w:lvlText w:val="%3."/>
      <w:lvlJc w:val="right"/>
      <w:pPr>
        <w:ind w:left="1860" w:hanging="180"/>
      </w:pPr>
    </w:lvl>
    <w:lvl w:ilvl="3" w:tplc="041B000F">
      <w:start w:val="1"/>
      <w:numFmt w:val="decimal"/>
      <w:lvlText w:val="%4."/>
      <w:lvlJc w:val="left"/>
      <w:pPr>
        <w:ind w:left="2580" w:hanging="360"/>
      </w:pPr>
    </w:lvl>
    <w:lvl w:ilvl="4" w:tplc="041B0019">
      <w:start w:val="1"/>
      <w:numFmt w:val="lowerLetter"/>
      <w:lvlText w:val="%5."/>
      <w:lvlJc w:val="left"/>
      <w:pPr>
        <w:ind w:left="3300" w:hanging="360"/>
      </w:pPr>
    </w:lvl>
    <w:lvl w:ilvl="5" w:tplc="041B001B">
      <w:start w:val="1"/>
      <w:numFmt w:val="lowerRoman"/>
      <w:lvlText w:val="%6."/>
      <w:lvlJc w:val="right"/>
      <w:pPr>
        <w:ind w:left="4020" w:hanging="180"/>
      </w:pPr>
    </w:lvl>
    <w:lvl w:ilvl="6" w:tplc="041B000F">
      <w:start w:val="1"/>
      <w:numFmt w:val="decimal"/>
      <w:lvlText w:val="%7."/>
      <w:lvlJc w:val="left"/>
      <w:pPr>
        <w:ind w:left="4740" w:hanging="360"/>
      </w:pPr>
    </w:lvl>
    <w:lvl w:ilvl="7" w:tplc="041B0019">
      <w:start w:val="1"/>
      <w:numFmt w:val="lowerLetter"/>
      <w:lvlText w:val="%8."/>
      <w:lvlJc w:val="left"/>
      <w:pPr>
        <w:ind w:left="5460" w:hanging="360"/>
      </w:pPr>
    </w:lvl>
    <w:lvl w:ilvl="8" w:tplc="041B001B">
      <w:start w:val="1"/>
      <w:numFmt w:val="lowerRoman"/>
      <w:lvlText w:val="%9."/>
      <w:lvlJc w:val="right"/>
      <w:pPr>
        <w:ind w:left="61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2F"/>
    <w:rsid w:val="00004FF6"/>
    <w:rsid w:val="0010664F"/>
    <w:rsid w:val="0012477C"/>
    <w:rsid w:val="00197DE4"/>
    <w:rsid w:val="001B47D2"/>
    <w:rsid w:val="001D362F"/>
    <w:rsid w:val="001F0CDB"/>
    <w:rsid w:val="00202ABC"/>
    <w:rsid w:val="0020767F"/>
    <w:rsid w:val="00232851"/>
    <w:rsid w:val="00290CDC"/>
    <w:rsid w:val="002C1A7E"/>
    <w:rsid w:val="002D7CE9"/>
    <w:rsid w:val="002E6933"/>
    <w:rsid w:val="003167A1"/>
    <w:rsid w:val="00390447"/>
    <w:rsid w:val="003F6973"/>
    <w:rsid w:val="00414136"/>
    <w:rsid w:val="004236AD"/>
    <w:rsid w:val="00447D2F"/>
    <w:rsid w:val="00451B4F"/>
    <w:rsid w:val="004B1F03"/>
    <w:rsid w:val="004C6FB3"/>
    <w:rsid w:val="004E556B"/>
    <w:rsid w:val="004F5544"/>
    <w:rsid w:val="0052769B"/>
    <w:rsid w:val="00544D5D"/>
    <w:rsid w:val="005B43E0"/>
    <w:rsid w:val="005B4EFC"/>
    <w:rsid w:val="005C3545"/>
    <w:rsid w:val="00613A2D"/>
    <w:rsid w:val="006272F6"/>
    <w:rsid w:val="00651D5F"/>
    <w:rsid w:val="006956FC"/>
    <w:rsid w:val="006B636F"/>
    <w:rsid w:val="006E43C9"/>
    <w:rsid w:val="006F5927"/>
    <w:rsid w:val="0075598A"/>
    <w:rsid w:val="007D4603"/>
    <w:rsid w:val="007D4C5A"/>
    <w:rsid w:val="008263EB"/>
    <w:rsid w:val="00851D4C"/>
    <w:rsid w:val="008863FA"/>
    <w:rsid w:val="00887D25"/>
    <w:rsid w:val="0089420A"/>
    <w:rsid w:val="008A29BB"/>
    <w:rsid w:val="008D35FC"/>
    <w:rsid w:val="008D64F7"/>
    <w:rsid w:val="008E14B5"/>
    <w:rsid w:val="008F6609"/>
    <w:rsid w:val="0091683E"/>
    <w:rsid w:val="00922750"/>
    <w:rsid w:val="009275E4"/>
    <w:rsid w:val="009A1851"/>
    <w:rsid w:val="009C5482"/>
    <w:rsid w:val="00A35776"/>
    <w:rsid w:val="00A64F6C"/>
    <w:rsid w:val="00A77833"/>
    <w:rsid w:val="00AE294B"/>
    <w:rsid w:val="00B734D7"/>
    <w:rsid w:val="00B90AF3"/>
    <w:rsid w:val="00BB3417"/>
    <w:rsid w:val="00BD5D86"/>
    <w:rsid w:val="00BD731A"/>
    <w:rsid w:val="00BE3B79"/>
    <w:rsid w:val="00BE5E50"/>
    <w:rsid w:val="00BF4F4E"/>
    <w:rsid w:val="00C40BE7"/>
    <w:rsid w:val="00D66DA3"/>
    <w:rsid w:val="00DC3D0A"/>
    <w:rsid w:val="00DC7919"/>
    <w:rsid w:val="00DE0C25"/>
    <w:rsid w:val="00E47E77"/>
    <w:rsid w:val="00E63380"/>
    <w:rsid w:val="00EA08E4"/>
    <w:rsid w:val="00EB0FFB"/>
    <w:rsid w:val="00EB35EE"/>
    <w:rsid w:val="00F16822"/>
    <w:rsid w:val="00F96E2A"/>
    <w:rsid w:val="00FA2FD7"/>
    <w:rsid w:val="00FE31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6346"/>
  <w15:docId w15:val="{0B479597-D28B-4F8F-8E9E-CAA14433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731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F5927"/>
    <w:rPr>
      <w:color w:val="0000FF" w:themeColor="hyperlink"/>
      <w:u w:val="single"/>
    </w:rPr>
  </w:style>
  <w:style w:type="paragraph" w:customStyle="1" w:styleId="Textformulra">
    <w:name w:val="Text formulára"/>
    <w:basedOn w:val="Normlny"/>
    <w:uiPriority w:val="2"/>
    <w:qFormat/>
    <w:rsid w:val="003167A1"/>
    <w:pPr>
      <w:spacing w:after="120"/>
      <w:contextualSpacing/>
    </w:pPr>
    <w:rPr>
      <w:rFonts w:asciiTheme="minorHAnsi" w:eastAsiaTheme="minorHAnsi" w:hAnsiTheme="minorHAnsi" w:cstheme="minorBidi"/>
      <w:color w:val="404040" w:themeColor="text1" w:themeTint="BF"/>
      <w:kern w:val="2"/>
      <w:sz w:val="18"/>
      <w:szCs w:val="20"/>
      <w:lang w:val="en-US" w:eastAsia="ja-JP"/>
      <w14:ligatures w14:val="standard"/>
    </w:rPr>
  </w:style>
  <w:style w:type="paragraph" w:styleId="Textbubliny">
    <w:name w:val="Balloon Text"/>
    <w:basedOn w:val="Normlny"/>
    <w:link w:val="TextbublinyChar"/>
    <w:uiPriority w:val="99"/>
    <w:semiHidden/>
    <w:unhideWhenUsed/>
    <w:rsid w:val="001B47D2"/>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7D2"/>
    <w:rPr>
      <w:rFonts w:ascii="Segoe UI" w:eastAsia="Times New Roman" w:hAnsi="Segoe UI" w:cs="Segoe UI"/>
      <w:sz w:val="18"/>
      <w:szCs w:val="18"/>
      <w:lang w:eastAsia="cs-CZ"/>
    </w:rPr>
  </w:style>
  <w:style w:type="paragraph" w:customStyle="1" w:styleId="Default">
    <w:name w:val="Default"/>
    <w:uiPriority w:val="99"/>
    <w:rsid w:val="005B4EF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59"/>
    <w:rsid w:val="00E4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DC7919"/>
    <w:pPr>
      <w:ind w:left="720"/>
      <w:contextualSpacing/>
    </w:pPr>
  </w:style>
  <w:style w:type="paragraph" w:customStyle="1" w:styleId="default0">
    <w:name w:val="default"/>
    <w:basedOn w:val="Normlny"/>
    <w:uiPriority w:val="99"/>
    <w:rsid w:val="0010664F"/>
    <w:rPr>
      <w:rFonts w:eastAsiaTheme="minorHAnsi"/>
      <w:lang w:eastAsia="sk-SK"/>
    </w:rPr>
  </w:style>
  <w:style w:type="character" w:customStyle="1" w:styleId="OdsekzoznamuChar">
    <w:name w:val="Odsek zoznamu Char"/>
    <w:aliases w:val="body Char,Odsek zoznamu2 Char"/>
    <w:basedOn w:val="Predvolenpsmoodseku"/>
    <w:link w:val="Odsekzoznamu"/>
    <w:uiPriority w:val="34"/>
    <w:locked/>
    <w:rsid w:val="009C5482"/>
    <w:rPr>
      <w:rFonts w:ascii="Times New Roman" w:eastAsia="Times New Roman" w:hAnsi="Times New Roman" w:cs="Times New Roman"/>
      <w:sz w:val="24"/>
      <w:szCs w:val="24"/>
      <w:lang w:eastAsia="cs-CZ"/>
    </w:rPr>
  </w:style>
  <w:style w:type="paragraph" w:customStyle="1" w:styleId="Zakladnystyl">
    <w:name w:val="Zakladny styl"/>
    <w:rsid w:val="009C5482"/>
    <w:pPr>
      <w:autoSpaceDE w:val="0"/>
      <w:autoSpaceDN w:val="0"/>
      <w:spacing w:after="0" w:line="240" w:lineRule="auto"/>
    </w:pPr>
    <w:rPr>
      <w:rFonts w:ascii="Times New Roman" w:eastAsia="Times New Roman" w:hAnsi="Times New Roman" w:cs="Times New Roman"/>
      <w:sz w:val="20"/>
      <w:szCs w:val="20"/>
    </w:rPr>
  </w:style>
  <w:style w:type="paragraph" w:styleId="Zkladntext">
    <w:name w:val="Body Text"/>
    <w:basedOn w:val="Normlny"/>
    <w:link w:val="ZkladntextChar"/>
    <w:uiPriority w:val="99"/>
    <w:semiHidden/>
    <w:unhideWhenUsed/>
    <w:rsid w:val="001F0CDB"/>
    <w:pPr>
      <w:widowControl w:val="0"/>
      <w:suppressAutoHyphens/>
      <w:autoSpaceDN w:val="0"/>
      <w:spacing w:after="120"/>
    </w:pPr>
    <w:rPr>
      <w:rFonts w:ascii="Calibri" w:eastAsia="Calibri" w:hAnsi="Calibri"/>
      <w:kern w:val="3"/>
      <w:sz w:val="20"/>
      <w:szCs w:val="20"/>
      <w:lang w:eastAsia="sk-SK"/>
    </w:rPr>
  </w:style>
  <w:style w:type="character" w:customStyle="1" w:styleId="ZkladntextChar">
    <w:name w:val="Základný text Char"/>
    <w:basedOn w:val="Predvolenpsmoodseku"/>
    <w:link w:val="Zkladntext"/>
    <w:uiPriority w:val="99"/>
    <w:semiHidden/>
    <w:rsid w:val="001F0CDB"/>
    <w:rPr>
      <w:rFonts w:ascii="Calibri" w:eastAsia="Calibri" w:hAnsi="Calibri" w:cs="Times New Roman"/>
      <w:kern w:val="3"/>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7103">
      <w:bodyDiv w:val="1"/>
      <w:marLeft w:val="0"/>
      <w:marRight w:val="0"/>
      <w:marTop w:val="0"/>
      <w:marBottom w:val="0"/>
      <w:divBdr>
        <w:top w:val="none" w:sz="0" w:space="0" w:color="auto"/>
        <w:left w:val="none" w:sz="0" w:space="0" w:color="auto"/>
        <w:bottom w:val="none" w:sz="0" w:space="0" w:color="auto"/>
        <w:right w:val="none" w:sz="0" w:space="0" w:color="auto"/>
      </w:divBdr>
    </w:div>
    <w:div w:id="1673533212">
      <w:bodyDiv w:val="1"/>
      <w:marLeft w:val="0"/>
      <w:marRight w:val="0"/>
      <w:marTop w:val="0"/>
      <w:marBottom w:val="0"/>
      <w:divBdr>
        <w:top w:val="none" w:sz="0" w:space="0" w:color="auto"/>
        <w:left w:val="none" w:sz="0" w:space="0" w:color="auto"/>
        <w:bottom w:val="none" w:sz="0" w:space="0" w:color="auto"/>
        <w:right w:val="none" w:sz="0" w:space="0" w:color="auto"/>
      </w:divBdr>
    </w:div>
    <w:div w:id="19603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696</Words>
  <Characters>3968</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Filipova Viera</dc:creator>
  <cp:lastModifiedBy>Filipova Viera</cp:lastModifiedBy>
  <cp:revision>99</cp:revision>
  <cp:lastPrinted>2024-04-03T11:10:00Z</cp:lastPrinted>
  <dcterms:created xsi:type="dcterms:W3CDTF">2021-01-13T07:45:00Z</dcterms:created>
  <dcterms:modified xsi:type="dcterms:W3CDTF">2025-04-11T10:10:00Z</dcterms:modified>
</cp:coreProperties>
</file>