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33" w:rsidRDefault="00635933" w:rsidP="00B07B6B">
      <w:pPr>
        <w:jc w:val="center"/>
        <w:rPr>
          <w:b/>
          <w:sz w:val="28"/>
          <w:szCs w:val="28"/>
          <w:lang w:eastAsia="sk-SK"/>
        </w:rPr>
      </w:pPr>
    </w:p>
    <w:p w:rsidR="00B07B6B" w:rsidRDefault="00B07B6B" w:rsidP="00B07B6B">
      <w:pPr>
        <w:jc w:val="center"/>
        <w:rPr>
          <w:b/>
          <w:sz w:val="28"/>
          <w:szCs w:val="28"/>
          <w:lang w:eastAsia="sk-SK"/>
        </w:rPr>
      </w:pPr>
      <w:r>
        <w:rPr>
          <w:b/>
          <w:sz w:val="28"/>
          <w:szCs w:val="28"/>
          <w:lang w:eastAsia="sk-SK"/>
        </w:rPr>
        <w:t>Doložka vybraných vplyvov</w:t>
      </w:r>
    </w:p>
    <w:p w:rsidR="00B07B6B" w:rsidRDefault="00B07B6B" w:rsidP="00B07B6B">
      <w:pPr>
        <w:jc w:val="center"/>
        <w:rPr>
          <w:b/>
          <w:sz w:val="28"/>
          <w:szCs w:val="28"/>
          <w:lang w:eastAsia="sk-SK"/>
        </w:rPr>
      </w:pPr>
    </w:p>
    <w:p w:rsidR="00B07B6B" w:rsidRDefault="00B07B6B" w:rsidP="00B07B6B">
      <w:pPr>
        <w:spacing w:after="200" w:line="276" w:lineRule="auto"/>
        <w:ind w:left="426"/>
        <w:contextualSpacing/>
        <w:rPr>
          <w:rFonts w:ascii="Calibri" w:eastAsia="Calibri" w:hAnsi="Calibri"/>
          <w:b/>
          <w:sz w:val="22"/>
          <w:szCs w:val="22"/>
          <w:lang w:eastAsia="en-US"/>
        </w:rPr>
      </w:pPr>
    </w:p>
    <w:tbl>
      <w:tblPr>
        <w:tblStyle w:val="Mriekatabuky1"/>
        <w:tblW w:w="0" w:type="dxa"/>
        <w:tblInd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07B6B" w:rsidTr="00B07B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rsidP="00B07B6B">
            <w:pPr>
              <w:numPr>
                <w:ilvl w:val="0"/>
                <w:numId w:val="3"/>
              </w:numPr>
              <w:ind w:left="426"/>
              <w:contextualSpacing/>
              <w:rPr>
                <w:rFonts w:eastAsia="Calibri"/>
                <w:b/>
              </w:rPr>
            </w:pPr>
            <w:r>
              <w:rPr>
                <w:rFonts w:eastAsia="Calibri"/>
                <w:b/>
              </w:rPr>
              <w:t>Základné údaje</w:t>
            </w:r>
          </w:p>
        </w:tc>
      </w:tr>
      <w:tr w:rsidR="00B07B6B" w:rsidTr="00B07B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pPr>
              <w:spacing w:after="200" w:line="276" w:lineRule="auto"/>
              <w:ind w:left="142"/>
              <w:contextualSpacing/>
              <w:rPr>
                <w:rFonts w:eastAsia="Calibri"/>
                <w:b/>
              </w:rPr>
            </w:pPr>
            <w:r>
              <w:rPr>
                <w:rFonts w:eastAsia="Calibri"/>
                <w:b/>
              </w:rPr>
              <w:t>Názov materiálu</w:t>
            </w:r>
          </w:p>
        </w:tc>
      </w:tr>
      <w:tr w:rsidR="00B07B6B" w:rsidTr="00B07B6B">
        <w:tc>
          <w:tcPr>
            <w:tcW w:w="9180" w:type="dxa"/>
            <w:gridSpan w:val="11"/>
            <w:tcBorders>
              <w:top w:val="single" w:sz="4" w:space="0" w:color="FFFFFF"/>
              <w:left w:val="single" w:sz="4" w:space="0" w:color="auto"/>
              <w:bottom w:val="single" w:sz="4" w:space="0" w:color="auto"/>
              <w:right w:val="single" w:sz="4" w:space="0" w:color="auto"/>
            </w:tcBorders>
          </w:tcPr>
          <w:p w:rsidR="00B07B6B" w:rsidRDefault="00B07B6B">
            <w:pPr>
              <w:rPr>
                <w:sz w:val="20"/>
                <w:szCs w:val="20"/>
                <w:lang w:eastAsia="sk-SK"/>
              </w:rPr>
            </w:pPr>
          </w:p>
          <w:p w:rsidR="00DE5AEB" w:rsidRDefault="00DE5AEB" w:rsidP="00DE5AEB">
            <w:pPr>
              <w:rPr>
                <w:lang w:eastAsia="en-US"/>
              </w:rPr>
            </w:pPr>
            <w:r>
              <w:t>Návrh nariadenia vlády Slovenskej republiky, ktorým sa ustanovuje výška finančného príspevku na poskytovanie sociálnej služby v niektorých druhoch zariadení sociálnych služieb na rok 2026</w:t>
            </w:r>
          </w:p>
          <w:p w:rsidR="00B07B6B" w:rsidRDefault="00B07B6B">
            <w:pPr>
              <w:rPr>
                <w:sz w:val="20"/>
                <w:szCs w:val="20"/>
                <w:lang w:eastAsia="sk-SK"/>
              </w:rPr>
            </w:pPr>
          </w:p>
        </w:tc>
      </w:tr>
      <w:tr w:rsidR="00B07B6B" w:rsidTr="00B07B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pPr>
              <w:spacing w:after="200" w:line="276" w:lineRule="auto"/>
              <w:ind w:left="142"/>
              <w:contextualSpacing/>
              <w:rPr>
                <w:rFonts w:eastAsia="Calibri"/>
                <w:b/>
                <w:sz w:val="22"/>
                <w:szCs w:val="22"/>
                <w:lang w:eastAsia="en-US"/>
              </w:rPr>
            </w:pPr>
            <w:r>
              <w:rPr>
                <w:rFonts w:eastAsia="Calibri"/>
                <w:b/>
              </w:rPr>
              <w:t>Predkladateľ (a spolupredkladateľ)</w:t>
            </w:r>
          </w:p>
        </w:tc>
      </w:tr>
      <w:tr w:rsidR="00B07B6B" w:rsidTr="00B07B6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07B6B" w:rsidRDefault="00DE5AEB">
            <w:pPr>
              <w:rPr>
                <w:lang w:eastAsia="sk-SK"/>
              </w:rPr>
            </w:pPr>
            <w:r w:rsidRPr="00DE5AEB">
              <w:rPr>
                <w:lang w:eastAsia="sk-SK"/>
              </w:rPr>
              <w:t>Ministerstvo práce, sociálnych vecí a rodiny Slovenskej republiky</w:t>
            </w:r>
          </w:p>
          <w:p w:rsidR="00DE5AEB" w:rsidRPr="00DE5AEB" w:rsidRDefault="00DE5AEB">
            <w:pPr>
              <w:rPr>
                <w:lang w:eastAsia="sk-SK"/>
              </w:rPr>
            </w:pPr>
          </w:p>
        </w:tc>
      </w:tr>
      <w:tr w:rsidR="00B07B6B" w:rsidTr="00B07B6B">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B07B6B" w:rsidRDefault="00B07B6B">
            <w:pPr>
              <w:spacing w:after="200" w:line="276" w:lineRule="auto"/>
              <w:ind w:left="142"/>
              <w:contextualSpacing/>
              <w:rPr>
                <w:rFonts w:eastAsia="Calibri"/>
                <w:b/>
                <w:sz w:val="22"/>
                <w:szCs w:val="22"/>
                <w:lang w:eastAsia="en-US"/>
              </w:rPr>
            </w:pPr>
            <w:r>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B07B6B" w:rsidRDefault="00B07B6B">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B07B6B" w:rsidRDefault="00B07B6B">
            <w:pPr>
              <w:rPr>
                <w:sz w:val="20"/>
                <w:szCs w:val="20"/>
                <w:lang w:eastAsia="sk-SK"/>
              </w:rPr>
            </w:pPr>
            <w:r>
              <w:rPr>
                <w:sz w:val="20"/>
                <w:szCs w:val="20"/>
                <w:lang w:eastAsia="sk-SK"/>
              </w:rPr>
              <w:t>Materiál nelegislatívnej povahy</w:t>
            </w:r>
          </w:p>
        </w:tc>
      </w:tr>
      <w:tr w:rsidR="00B07B6B" w:rsidTr="00B07B6B">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B07B6B" w:rsidRDefault="00B07B6B">
            <w:pPr>
              <w:rPr>
                <w:rFonts w:eastAsia="Calibri"/>
                <w:b/>
                <w:sz w:val="22"/>
                <w:szCs w:val="22"/>
                <w:lang w:eastAsia="en-US"/>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B07B6B" w:rsidRDefault="00DE5AEB">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B07B6B" w:rsidRDefault="00B07B6B">
            <w:pPr>
              <w:ind w:left="175" w:hanging="175"/>
              <w:rPr>
                <w:sz w:val="20"/>
                <w:szCs w:val="20"/>
                <w:lang w:eastAsia="sk-SK"/>
              </w:rPr>
            </w:pPr>
            <w:r>
              <w:rPr>
                <w:sz w:val="20"/>
                <w:szCs w:val="20"/>
                <w:lang w:eastAsia="sk-SK"/>
              </w:rPr>
              <w:t>Materiál legislatívnej povahy</w:t>
            </w:r>
          </w:p>
        </w:tc>
      </w:tr>
      <w:tr w:rsidR="00B07B6B" w:rsidTr="00B07B6B">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B07B6B" w:rsidRDefault="00B07B6B">
            <w:pPr>
              <w:rPr>
                <w:rFonts w:eastAsia="Calibri"/>
                <w:b/>
                <w:sz w:val="22"/>
                <w:szCs w:val="22"/>
                <w:lang w:eastAsia="en-US"/>
              </w:rPr>
            </w:pPr>
          </w:p>
        </w:tc>
        <w:sdt>
          <w:sdtPr>
            <w:rPr>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B07B6B" w:rsidRDefault="00B07B6B">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B07B6B" w:rsidRDefault="00B07B6B">
            <w:pPr>
              <w:rPr>
                <w:sz w:val="20"/>
                <w:szCs w:val="20"/>
                <w:lang w:eastAsia="sk-SK"/>
              </w:rPr>
            </w:pPr>
            <w:r>
              <w:rPr>
                <w:sz w:val="20"/>
                <w:szCs w:val="20"/>
                <w:lang w:eastAsia="sk-SK"/>
              </w:rPr>
              <w:t>Transpozícia/ implementácia práva EÚ</w:t>
            </w:r>
          </w:p>
        </w:tc>
      </w:tr>
      <w:tr w:rsidR="00B07B6B" w:rsidTr="00B07B6B">
        <w:tc>
          <w:tcPr>
            <w:tcW w:w="9180" w:type="dxa"/>
            <w:gridSpan w:val="11"/>
            <w:tcBorders>
              <w:top w:val="single" w:sz="4" w:space="0" w:color="auto"/>
              <w:left w:val="single" w:sz="4" w:space="0" w:color="auto"/>
              <w:bottom w:val="single" w:sz="4" w:space="0" w:color="FFFFFF"/>
              <w:right w:val="single" w:sz="4" w:space="0" w:color="auto"/>
            </w:tcBorders>
            <w:shd w:val="clear" w:color="auto" w:fill="FFFFFF"/>
          </w:tcPr>
          <w:p w:rsidR="00B07B6B" w:rsidRDefault="00B07B6B">
            <w:pPr>
              <w:rPr>
                <w:i/>
                <w:sz w:val="20"/>
                <w:szCs w:val="20"/>
                <w:lang w:eastAsia="sk-SK"/>
              </w:rPr>
            </w:pPr>
            <w:r>
              <w:rPr>
                <w:i/>
                <w:sz w:val="20"/>
                <w:szCs w:val="20"/>
                <w:lang w:eastAsia="sk-SK"/>
              </w:rPr>
              <w:t>V prípade transpozície/implementácie uveďte zoznam transponovaných/implementovaných predpisov:</w:t>
            </w:r>
          </w:p>
          <w:p w:rsidR="00B07B6B" w:rsidRDefault="00B07B6B">
            <w:pPr>
              <w:rPr>
                <w:sz w:val="20"/>
                <w:szCs w:val="20"/>
                <w:lang w:eastAsia="sk-SK"/>
              </w:rPr>
            </w:pPr>
          </w:p>
        </w:tc>
      </w:tr>
      <w:tr w:rsidR="00B07B6B" w:rsidTr="00B07B6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rsidR="00B07B6B" w:rsidRDefault="00B07B6B">
            <w:pPr>
              <w:spacing w:after="200" w:line="276" w:lineRule="auto"/>
              <w:ind w:left="142"/>
              <w:contextualSpacing/>
              <w:rPr>
                <w:rFonts w:eastAsia="Calibri"/>
                <w:b/>
                <w:sz w:val="22"/>
                <w:szCs w:val="22"/>
                <w:lang w:eastAsia="en-US"/>
              </w:rPr>
            </w:pPr>
            <w:r>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B07B6B" w:rsidRDefault="00B07B6B">
            <w:pPr>
              <w:rPr>
                <w:i/>
                <w:sz w:val="20"/>
                <w:szCs w:val="20"/>
                <w:lang w:eastAsia="sk-SK"/>
              </w:rPr>
            </w:pPr>
          </w:p>
        </w:tc>
      </w:tr>
      <w:tr w:rsidR="00B07B6B" w:rsidTr="00B07B6B">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pPr>
              <w:spacing w:after="200" w:line="276" w:lineRule="auto"/>
              <w:ind w:left="142"/>
              <w:contextualSpacing/>
              <w:rPr>
                <w:rFonts w:eastAsia="Calibri"/>
                <w:b/>
                <w:sz w:val="22"/>
                <w:szCs w:val="22"/>
                <w:lang w:eastAsia="en-US"/>
              </w:rPr>
            </w:pPr>
            <w:r>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B07B6B" w:rsidRDefault="00B07B6B">
            <w:pPr>
              <w:rPr>
                <w:i/>
                <w:sz w:val="20"/>
                <w:szCs w:val="20"/>
                <w:lang w:eastAsia="sk-SK"/>
              </w:rPr>
            </w:pPr>
          </w:p>
        </w:tc>
      </w:tr>
      <w:tr w:rsidR="00B07B6B" w:rsidTr="00B07B6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pPr>
              <w:spacing w:line="276" w:lineRule="auto"/>
              <w:ind w:left="142"/>
              <w:contextualSpacing/>
              <w:rPr>
                <w:rFonts w:ascii="Calibri" w:eastAsia="Calibri" w:hAnsi="Calibri"/>
                <w:b/>
                <w:sz w:val="22"/>
                <w:szCs w:val="22"/>
                <w:lang w:eastAsia="en-US"/>
              </w:rPr>
            </w:pPr>
            <w:r>
              <w:rPr>
                <w:rFonts w:eastAsia="Calibri"/>
                <w:b/>
              </w:rPr>
              <w:t>Predpokladaný termín začiatku a ukončenia ZP**</w:t>
            </w:r>
            <w:r>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B07B6B" w:rsidRDefault="00B07B6B">
            <w:pPr>
              <w:rPr>
                <w:i/>
                <w:sz w:val="20"/>
                <w:szCs w:val="20"/>
                <w:lang w:eastAsia="sk-SK"/>
              </w:rPr>
            </w:pPr>
          </w:p>
        </w:tc>
      </w:tr>
      <w:tr w:rsidR="00B07B6B" w:rsidTr="00B07B6B">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pPr>
              <w:spacing w:after="200" w:line="276" w:lineRule="auto"/>
              <w:ind w:left="142"/>
              <w:contextualSpacing/>
              <w:jc w:val="both"/>
              <w:rPr>
                <w:rFonts w:eastAsia="Calibri"/>
                <w:b/>
                <w:sz w:val="22"/>
                <w:szCs w:val="22"/>
                <w:lang w:eastAsia="en-US"/>
              </w:rPr>
            </w:pPr>
            <w:r>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B07B6B" w:rsidRPr="00DE5AEB" w:rsidRDefault="00600E7A">
            <w:pPr>
              <w:rPr>
                <w:lang w:eastAsia="sk-SK"/>
              </w:rPr>
            </w:pPr>
            <w:r>
              <w:rPr>
                <w:lang w:eastAsia="sk-SK"/>
              </w:rPr>
              <w:t>máj</w:t>
            </w:r>
            <w:r w:rsidR="00DE5AEB">
              <w:rPr>
                <w:lang w:eastAsia="sk-SK"/>
              </w:rPr>
              <w:t xml:space="preserve"> 2025</w:t>
            </w:r>
          </w:p>
        </w:tc>
      </w:tr>
      <w:tr w:rsidR="00B07B6B" w:rsidTr="00B07B6B">
        <w:tc>
          <w:tcPr>
            <w:tcW w:w="9180" w:type="dxa"/>
            <w:gridSpan w:val="11"/>
            <w:tcBorders>
              <w:top w:val="single" w:sz="4" w:space="0" w:color="auto"/>
              <w:left w:val="nil"/>
              <w:bottom w:val="single" w:sz="4" w:space="0" w:color="auto"/>
              <w:right w:val="nil"/>
            </w:tcBorders>
            <w:shd w:val="clear" w:color="auto" w:fill="FFFFFF"/>
          </w:tcPr>
          <w:p w:rsidR="00B07B6B" w:rsidRDefault="00B07B6B">
            <w:pPr>
              <w:rPr>
                <w:sz w:val="20"/>
                <w:szCs w:val="20"/>
                <w:lang w:eastAsia="sk-SK"/>
              </w:rPr>
            </w:pPr>
          </w:p>
        </w:tc>
      </w:tr>
      <w:tr w:rsidR="00B07B6B" w:rsidTr="00B07B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rsidP="00B07B6B">
            <w:pPr>
              <w:numPr>
                <w:ilvl w:val="0"/>
                <w:numId w:val="3"/>
              </w:numPr>
              <w:ind w:left="426"/>
              <w:contextualSpacing/>
              <w:rPr>
                <w:rFonts w:eastAsia="Calibri"/>
                <w:b/>
                <w:sz w:val="22"/>
                <w:szCs w:val="22"/>
                <w:lang w:eastAsia="en-US"/>
              </w:rPr>
            </w:pPr>
            <w:r>
              <w:rPr>
                <w:rFonts w:eastAsia="Calibri"/>
                <w:b/>
              </w:rPr>
              <w:t>Definovanie problému</w:t>
            </w:r>
          </w:p>
        </w:tc>
      </w:tr>
      <w:tr w:rsidR="00B07B6B" w:rsidTr="00B07B6B">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07B6B" w:rsidRDefault="00B07B6B">
            <w:pPr>
              <w:jc w:val="both"/>
              <w:rPr>
                <w:i/>
                <w:sz w:val="20"/>
                <w:szCs w:val="20"/>
                <w:lang w:eastAsia="sk-SK"/>
              </w:rPr>
            </w:pPr>
            <w:r>
              <w:rPr>
                <w:i/>
                <w:sz w:val="20"/>
                <w:szCs w:val="20"/>
                <w:lang w:eastAsia="sk-SK"/>
              </w:rPr>
              <w:t>Uveďte základné problémy, ktoré sú dôvodom vypracovania predkladaného  materiálu (dôvody majú presne poukázať na problém, ktorý existuje a je nutné ho predloženým materiálom riešiť).</w:t>
            </w:r>
          </w:p>
          <w:p w:rsidR="00DE5AEB" w:rsidRDefault="00DE5AEB">
            <w:pPr>
              <w:jc w:val="both"/>
              <w:rPr>
                <w:i/>
                <w:sz w:val="20"/>
                <w:szCs w:val="20"/>
                <w:lang w:eastAsia="sk-SK"/>
              </w:rPr>
            </w:pPr>
          </w:p>
          <w:p w:rsidR="00E41C56" w:rsidRDefault="00E41C56" w:rsidP="00E41C56">
            <w:pPr>
              <w:jc w:val="both"/>
            </w:pPr>
            <w:r>
              <w:t>Návrh nariadenia vlády Slovenskej republiky, ktorým sa ustanovuje výška finančného príspevku na poskytovanie sociálnej služby v niektorých druhoch zariadení sociálnych služieb na rok 2026 sa predkladá podľa § 78b ods. 4 zákona č. 448/2008 Z. z. o sociálnych službách a o zmene a doplnení zákona č. 455/1991 Zb. o živnostenskom podnikaní (živnostenský zákon) v znení neskorších predpisov v znení neskorších predpisov.</w:t>
            </w:r>
          </w:p>
          <w:p w:rsidR="00E41C56" w:rsidRDefault="00E41C56" w:rsidP="00E41C56">
            <w:pPr>
              <w:jc w:val="both"/>
              <w:rPr>
                <w:i/>
                <w:sz w:val="20"/>
                <w:szCs w:val="20"/>
                <w:lang w:eastAsia="sk-SK"/>
              </w:rPr>
            </w:pPr>
          </w:p>
          <w:p w:rsidR="00E41C56" w:rsidRDefault="00E41C56" w:rsidP="00E41C56">
            <w:pPr>
              <w:jc w:val="both"/>
              <w:rPr>
                <w:color w:val="000000"/>
              </w:rPr>
            </w:pPr>
            <w:r>
              <w:rPr>
                <w:color w:val="000000"/>
              </w:rPr>
              <w:t>V roku 202</w:t>
            </w:r>
            <w:r w:rsidR="00650834">
              <w:rPr>
                <w:color w:val="000000"/>
              </w:rPr>
              <w:t>5</w:t>
            </w:r>
            <w:r>
              <w:rPr>
                <w:color w:val="000000"/>
              </w:rPr>
              <w:t xml:space="preserve"> je výška finančného príspevku na mesiac na miesto v zariadení pri pobytových službách v zariadeniach ustanovená ako násobok mesačnej minimálnej mzdy (</w:t>
            </w:r>
            <w:r w:rsidR="00650834">
              <w:rPr>
                <w:color w:val="000000"/>
              </w:rPr>
              <w:t>750</w:t>
            </w:r>
            <w:r>
              <w:rPr>
                <w:color w:val="000000"/>
              </w:rPr>
              <w:t xml:space="preserve"> eur v roku 202</w:t>
            </w:r>
            <w:r w:rsidR="00650834">
              <w:rPr>
                <w:color w:val="000000"/>
              </w:rPr>
              <w:t>4</w:t>
            </w:r>
            <w:r>
              <w:rPr>
                <w:color w:val="000000"/>
              </w:rPr>
              <w:t xml:space="preserve">) pri jednotlivých stupňoch odkázanosti, a to konkrétne 0,25 násobku minimálnej mzdy pri II. stupni odkázanosti, 0,5 násobku minimálnej mzdy pri III. stupni odkázanosti, 0,65 násobku minimálnej mzdy pri IV. stupni odkázanosti, 0,9 </w:t>
            </w:r>
            <w:r w:rsidR="00710C71">
              <w:rPr>
                <w:color w:val="000000"/>
              </w:rPr>
              <w:t xml:space="preserve">násobku minimálnej mzdy </w:t>
            </w:r>
            <w:r>
              <w:rPr>
                <w:color w:val="000000"/>
              </w:rPr>
              <w:t>pri V</w:t>
            </w:r>
            <w:r w:rsidR="00710C71">
              <w:rPr>
                <w:color w:val="000000"/>
              </w:rPr>
              <w:t>.</w:t>
            </w:r>
            <w:r>
              <w:rPr>
                <w:color w:val="000000"/>
              </w:rPr>
              <w:t xml:space="preserve"> stupni odkázanosti a 1,1 násobku minimálnej mzdy pri VI. stupni odkázanosti. Výška finančného príspevku pri poskytovaní ambulantnej sociálnej služby v zariadení podmienenom odkázanosťou/mesiac/miesto tvorí 66,67% (2/3) z výšky finančného príspevku pri poskytovaní pobytovej služby v tomto zariadení/mesiac/miesto.</w:t>
            </w:r>
          </w:p>
          <w:p w:rsidR="00E41C56" w:rsidRDefault="00E41C56" w:rsidP="00E41C56">
            <w:pPr>
              <w:jc w:val="both"/>
              <w:rPr>
                <w:rFonts w:eastAsiaTheme="minorHAnsi"/>
                <w:color w:val="000000"/>
                <w:lang w:eastAsia="en-US"/>
              </w:rPr>
            </w:pPr>
          </w:p>
          <w:p w:rsidR="00E41C56" w:rsidRDefault="00E41C56" w:rsidP="00E41C56">
            <w:pPr>
              <w:jc w:val="both"/>
            </w:pPr>
            <w:r>
              <w:t>Výška finančného príspevku na poskytovanie sociálnej služby v zariadeniach krízovej intervencie a výška finančného príspevku na poskytovanie sociálnej služby v nocľahárni na mesiac a na miesto na rozpočtový rok</w:t>
            </w:r>
            <w:r>
              <w:rPr>
                <w:color w:val="000000"/>
              </w:rPr>
              <w:t xml:space="preserve"> 202</w:t>
            </w:r>
            <w:r w:rsidR="00650834">
              <w:rPr>
                <w:color w:val="000000"/>
              </w:rPr>
              <w:t>5</w:t>
            </w:r>
            <w:r>
              <w:rPr>
                <w:color w:val="000000"/>
              </w:rPr>
              <w:t xml:space="preserve"> je 0,5 násobku minimálnej mzdy</w:t>
            </w:r>
            <w:r>
              <w:t xml:space="preserve"> v roku 20</w:t>
            </w:r>
            <w:r w:rsidR="00710C71">
              <w:t>2</w:t>
            </w:r>
            <w:r w:rsidR="00650834">
              <w:t>4</w:t>
            </w:r>
            <w:r>
              <w:t xml:space="preserve"> (</w:t>
            </w:r>
            <w:r w:rsidR="00650834">
              <w:t>375</w:t>
            </w:r>
            <w:r>
              <w:t xml:space="preserve"> eur).</w:t>
            </w:r>
          </w:p>
          <w:p w:rsidR="00DE5AEB" w:rsidRDefault="00DE5AEB">
            <w:pPr>
              <w:jc w:val="both"/>
            </w:pPr>
          </w:p>
          <w:p w:rsidR="0093490C" w:rsidRPr="00DE5AEB" w:rsidRDefault="0093490C">
            <w:pPr>
              <w:jc w:val="both"/>
              <w:rPr>
                <w:lang w:eastAsia="sk-SK"/>
              </w:rPr>
            </w:pPr>
          </w:p>
          <w:p w:rsidR="00B07B6B" w:rsidRDefault="00B07B6B">
            <w:pPr>
              <w:rPr>
                <w:b/>
                <w:sz w:val="20"/>
                <w:szCs w:val="20"/>
                <w:lang w:eastAsia="sk-SK"/>
              </w:rPr>
            </w:pPr>
          </w:p>
        </w:tc>
      </w:tr>
      <w:tr w:rsidR="00B07B6B" w:rsidTr="00B07B6B">
        <w:tc>
          <w:tcPr>
            <w:tcW w:w="9180" w:type="dxa"/>
            <w:gridSpan w:val="11"/>
            <w:tcBorders>
              <w:top w:val="single" w:sz="4" w:space="0" w:color="auto"/>
              <w:left w:val="single" w:sz="4" w:space="0" w:color="auto"/>
              <w:bottom w:val="nil"/>
              <w:right w:val="single" w:sz="4" w:space="0" w:color="auto"/>
            </w:tcBorders>
            <w:shd w:val="clear" w:color="auto" w:fill="E2E2E2"/>
            <w:hideMark/>
          </w:tcPr>
          <w:p w:rsidR="00B07B6B" w:rsidRDefault="00B07B6B" w:rsidP="00B07B6B">
            <w:pPr>
              <w:numPr>
                <w:ilvl w:val="0"/>
                <w:numId w:val="3"/>
              </w:numPr>
              <w:ind w:left="426"/>
              <w:contextualSpacing/>
              <w:rPr>
                <w:rFonts w:eastAsia="Calibri"/>
                <w:b/>
                <w:sz w:val="22"/>
                <w:szCs w:val="22"/>
                <w:lang w:eastAsia="en-US"/>
              </w:rPr>
            </w:pPr>
            <w:r>
              <w:rPr>
                <w:rFonts w:eastAsia="Calibri"/>
                <w:b/>
              </w:rPr>
              <w:lastRenderedPageBreak/>
              <w:t>Ciele a výsledný stav</w:t>
            </w:r>
          </w:p>
        </w:tc>
      </w:tr>
      <w:tr w:rsidR="00B07B6B" w:rsidTr="00B07B6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B07B6B" w:rsidRDefault="00B07B6B">
            <w:pPr>
              <w:rPr>
                <w:i/>
                <w:sz w:val="20"/>
                <w:szCs w:val="20"/>
                <w:lang w:eastAsia="sk-SK"/>
              </w:rPr>
            </w:pPr>
            <w:r>
              <w:rPr>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DD4B29" w:rsidRDefault="00DD4B29">
            <w:pPr>
              <w:rPr>
                <w:i/>
                <w:sz w:val="20"/>
                <w:szCs w:val="20"/>
                <w:lang w:eastAsia="sk-SK"/>
              </w:rPr>
            </w:pPr>
          </w:p>
          <w:p w:rsidR="00DD4B29" w:rsidRDefault="00DD4B29" w:rsidP="00DD4B29">
            <w:pPr>
              <w:pStyle w:val="default0"/>
              <w:spacing w:line="276" w:lineRule="auto"/>
              <w:jc w:val="both"/>
              <w:rPr>
                <w:bCs/>
                <w:color w:val="000000"/>
                <w:sz w:val="22"/>
                <w:szCs w:val="22"/>
              </w:rPr>
            </w:pPr>
            <w:r>
              <w:rPr>
                <w:color w:val="000000"/>
                <w:sz w:val="22"/>
                <w:szCs w:val="22"/>
              </w:rPr>
              <w:t xml:space="preserve">Úprava výšky finančného príspevku na spolufinancovanie poskytovania sociálnej služby v zariadeniach </w:t>
            </w:r>
            <w:r w:rsidR="00E577B2">
              <w:rPr>
                <w:color w:val="000000"/>
                <w:sz w:val="22"/>
                <w:szCs w:val="22"/>
              </w:rPr>
              <w:t xml:space="preserve">podmienených odkázanosťou </w:t>
            </w:r>
            <w:r>
              <w:rPr>
                <w:color w:val="000000"/>
                <w:sz w:val="22"/>
                <w:szCs w:val="22"/>
              </w:rPr>
              <w:t xml:space="preserve">vychádza zo zvýšenia nákladovosti sociálnych služieb v nadväznosti na spôsob jeho  určenia a účelové určenie tohto finančného príspevku na spolufinancovanie ekonomicky oprávnených nákladov  na mzdy a odvody zamestnancov poskytovateľa sociálnej služby v zariadení a  potrebu zohľadnenia vývoja zvyšovania miezd zamestnancov v zariadeniach sociálnych služieb vzhľadom na medziročný vývoj minimálnej mzdy a jej výšku. </w:t>
            </w:r>
            <w:r>
              <w:rPr>
                <w:bCs/>
                <w:color w:val="000000"/>
                <w:sz w:val="22"/>
                <w:szCs w:val="22"/>
              </w:rPr>
              <w:t>Účelom zvýšenia finančného príspevku na poskytovanie sociálnej služby v zariadeniach sociálnych služieb krízovej intervencie obciam a poskytovania finančného príspevku  na poskytovanie sociálnej služby v nocľahárni neverejným poskytovateľom tejto sociálnej služby je spolufinancovanie bežných výdavkov na poskytovanie tejto sociálnej služby, pričom medziročné udržanie miery spolufinancovania nákladovosti  týchto sociálnych služieb zo štátneho rozpočtu v záujme ich dostupnosti a udržateľnosti je naplnením garancie štátu pri zabezpečení ústavného práva každého v systéme sociálnych služieb na pomoc v hmotnej núdzi potrebnú na zabezpečenie základných životných podmienok.</w:t>
            </w:r>
          </w:p>
          <w:p w:rsidR="00866838" w:rsidRDefault="00866838" w:rsidP="00DD4B29">
            <w:pPr>
              <w:pStyle w:val="default0"/>
              <w:spacing w:line="276" w:lineRule="auto"/>
              <w:jc w:val="both"/>
              <w:rPr>
                <w:color w:val="000000"/>
                <w:sz w:val="22"/>
                <w:szCs w:val="22"/>
              </w:rPr>
            </w:pPr>
          </w:p>
          <w:p w:rsidR="00866838" w:rsidRDefault="00866838" w:rsidP="00866838">
            <w:pPr>
              <w:jc w:val="both"/>
              <w:rPr>
                <w:lang w:eastAsia="sk-SK"/>
              </w:rPr>
            </w:pPr>
            <w:r>
              <w:t xml:space="preserve">Novela zákona o sociálnych službách, vykonaná zákonom č. 376/2024 Z. z. o integrovanej posudkovej činnosti a o zmene a doplnení niektorých zákonov je už platná od 20.12.2024 a nadobudne účinnosť od 01.09.2025, preto bolo potrebné aj „stupne odkázanosti“ v návrhu nariadenia vlády, ktoré nadobudne účinnosť  od 1. 1. 2026 preznačiť v súlade s novou právnou úpravou  tohto označenia v zákone o sociálnych službách, účinnou už  od 1. 9.2025. Je potrebné uviesť, že aj že aj pred 1. 9. 2025 aj od 1. 9. 2025 bude existovať stále rovnaký počet stupňov odkázanosti - 5 stupňov odkázanosti, len budú inak označené, z označenia II. až VI. na označenie I. až V. </w:t>
            </w:r>
          </w:p>
          <w:p w:rsidR="00DD4B29" w:rsidRDefault="00DD4B29" w:rsidP="00DD4B29"/>
          <w:p w:rsidR="00DD4B29" w:rsidRDefault="00650834" w:rsidP="00DD4B29">
            <w:pPr>
              <w:jc w:val="both"/>
              <w:rPr>
                <w:rFonts w:cstheme="minorBidi"/>
                <w:color w:val="000000"/>
              </w:rPr>
            </w:pPr>
            <w:r>
              <w:rPr>
                <w:color w:val="000000"/>
              </w:rPr>
              <w:t>V roku 2026 sa n</w:t>
            </w:r>
            <w:r w:rsidR="00DD4B29">
              <w:rPr>
                <w:color w:val="000000"/>
              </w:rPr>
              <w:t>avrhuje výška finančného príspevku na mesiac na miesto v zariadení podľa navrhnutého valorizačného mechanizmu pri pobytových službách v zariadeniach ako určeného násobku mesačnej minimálnej mzdy (</w:t>
            </w:r>
            <w:r w:rsidR="00635933">
              <w:rPr>
                <w:color w:val="000000"/>
              </w:rPr>
              <w:t xml:space="preserve">816 </w:t>
            </w:r>
            <w:r w:rsidR="00DD4B29">
              <w:rPr>
                <w:color w:val="000000"/>
              </w:rPr>
              <w:t>eur v roku 202</w:t>
            </w:r>
            <w:r w:rsidR="00635933">
              <w:rPr>
                <w:color w:val="000000"/>
              </w:rPr>
              <w:t>5</w:t>
            </w:r>
            <w:r w:rsidR="00DD4B29">
              <w:rPr>
                <w:color w:val="000000"/>
              </w:rPr>
              <w:t>) pri jednotlivých stupňoch odkázanosti, a to konkrétne 0,25 násobku minimálnej mzdy pri I. stupni odkázanosti, 0,5 násobku minimálnej mzdy pri II. stupni odkázanosti, 0,65 násobku minimálnej mzdy pri I</w:t>
            </w:r>
            <w:r w:rsidR="00866838">
              <w:rPr>
                <w:color w:val="000000"/>
              </w:rPr>
              <w:t>II</w:t>
            </w:r>
            <w:r w:rsidR="00DD4B29">
              <w:rPr>
                <w:color w:val="000000"/>
              </w:rPr>
              <w:t xml:space="preserve">. stupni odkázanosti, 0,9 pri </w:t>
            </w:r>
            <w:r w:rsidR="00866838">
              <w:rPr>
                <w:color w:val="000000"/>
              </w:rPr>
              <w:t>I</w:t>
            </w:r>
            <w:r w:rsidR="00DD4B29">
              <w:rPr>
                <w:color w:val="000000"/>
              </w:rPr>
              <w:t>V. stupni odkázanosti a 1,1 násobku minimálnej mzdy pri V. stupni odkázanosti. Výška finančného príspevku pri poskytovaní ambulantnej sociálnej služby v zariadení podmienenom odkázanosťou/mesiac/miesto tvorí 66,67% (2/3) z výšky finančného príspevku pri poskytovaní pobytovej služby v tomto zariadení/mesiac/miesto.</w:t>
            </w:r>
          </w:p>
          <w:p w:rsidR="00DD4B29" w:rsidRDefault="00DD4B29" w:rsidP="00DD4B29">
            <w:pPr>
              <w:jc w:val="both"/>
              <w:rPr>
                <w:color w:val="000000"/>
              </w:rPr>
            </w:pPr>
          </w:p>
          <w:p w:rsidR="00DD4B29" w:rsidRDefault="00DD4B29" w:rsidP="00DD4B29">
            <w:pPr>
              <w:jc w:val="both"/>
            </w:pPr>
            <w:r>
              <w:t>Navrhuje sa aj valorizácia výšky finančného príspevku na poskytovanie sociálnej služby v zariadeniach krízovej intervencie a výška finančného príspevku na poskytovanie sociálnej služby v nocľahárni na mesiac a na miesto na rozpočtový rok</w:t>
            </w:r>
            <w:r>
              <w:rPr>
                <w:color w:val="000000"/>
              </w:rPr>
              <w:t xml:space="preserve"> a to konkrétne 0,5 násobku minimálnej mzdy</w:t>
            </w:r>
            <w:r>
              <w:t xml:space="preserve"> v roku 202</w:t>
            </w:r>
            <w:r w:rsidR="008C2E60">
              <w:t>5</w:t>
            </w:r>
            <w:r>
              <w:t xml:space="preserve"> (</w:t>
            </w:r>
            <w:r w:rsidR="008C2E60">
              <w:t>408</w:t>
            </w:r>
            <w:r>
              <w:t xml:space="preserve"> eur).</w:t>
            </w:r>
          </w:p>
          <w:p w:rsidR="00B07B6B" w:rsidRDefault="00B07B6B">
            <w:pPr>
              <w:rPr>
                <w:sz w:val="20"/>
                <w:szCs w:val="20"/>
                <w:lang w:eastAsia="sk-SK"/>
              </w:rPr>
            </w:pPr>
          </w:p>
        </w:tc>
      </w:tr>
      <w:tr w:rsidR="00B07B6B" w:rsidTr="00B07B6B">
        <w:tc>
          <w:tcPr>
            <w:tcW w:w="9180" w:type="dxa"/>
            <w:gridSpan w:val="11"/>
            <w:tcBorders>
              <w:top w:val="single" w:sz="4" w:space="0" w:color="auto"/>
              <w:left w:val="single" w:sz="4" w:space="0" w:color="auto"/>
              <w:bottom w:val="nil"/>
              <w:right w:val="single" w:sz="4" w:space="0" w:color="auto"/>
            </w:tcBorders>
            <w:shd w:val="clear" w:color="auto" w:fill="E2E2E2"/>
            <w:hideMark/>
          </w:tcPr>
          <w:p w:rsidR="00B07B6B" w:rsidRDefault="00B07B6B" w:rsidP="00B07B6B">
            <w:pPr>
              <w:numPr>
                <w:ilvl w:val="0"/>
                <w:numId w:val="3"/>
              </w:numPr>
              <w:ind w:left="426"/>
              <w:contextualSpacing/>
              <w:rPr>
                <w:rFonts w:eastAsia="Calibri"/>
                <w:b/>
                <w:sz w:val="22"/>
                <w:szCs w:val="22"/>
                <w:lang w:eastAsia="en-US"/>
              </w:rPr>
            </w:pPr>
            <w:r>
              <w:rPr>
                <w:rFonts w:eastAsia="Calibri"/>
                <w:b/>
              </w:rPr>
              <w:t>Dotknuté subjekty</w:t>
            </w:r>
          </w:p>
        </w:tc>
      </w:tr>
      <w:tr w:rsidR="00B07B6B" w:rsidTr="00B07B6B">
        <w:tc>
          <w:tcPr>
            <w:tcW w:w="9180" w:type="dxa"/>
            <w:gridSpan w:val="11"/>
            <w:tcBorders>
              <w:top w:val="nil"/>
              <w:left w:val="single" w:sz="4" w:space="0" w:color="auto"/>
              <w:bottom w:val="single" w:sz="4" w:space="0" w:color="auto"/>
              <w:right w:val="single" w:sz="4" w:space="0" w:color="auto"/>
            </w:tcBorders>
            <w:shd w:val="clear" w:color="auto" w:fill="FFFFFF"/>
          </w:tcPr>
          <w:p w:rsidR="00B07B6B" w:rsidRDefault="00B07B6B">
            <w:pPr>
              <w:rPr>
                <w:i/>
                <w:sz w:val="20"/>
                <w:szCs w:val="20"/>
                <w:lang w:eastAsia="sk-SK"/>
              </w:rPr>
            </w:pPr>
            <w:r>
              <w:rPr>
                <w:i/>
                <w:sz w:val="20"/>
                <w:szCs w:val="20"/>
                <w:lang w:eastAsia="sk-SK"/>
              </w:rPr>
              <w:t xml:space="preserve">Uveďte subjekty, ktorých sa zmeny predkladaného materiálu dotknú priamo aj nepriamo: </w:t>
            </w:r>
          </w:p>
          <w:p w:rsidR="00DD4B29" w:rsidRDefault="00DD4B29">
            <w:pPr>
              <w:rPr>
                <w:i/>
                <w:sz w:val="20"/>
                <w:szCs w:val="20"/>
                <w:lang w:eastAsia="sk-SK"/>
              </w:rPr>
            </w:pPr>
          </w:p>
          <w:p w:rsidR="008B5D30" w:rsidRDefault="008B5D30" w:rsidP="008B5D30">
            <w:pPr>
              <w:jc w:val="both"/>
              <w:rPr>
                <w:b/>
                <w:lang w:eastAsia="en-US"/>
              </w:rPr>
            </w:pPr>
            <w:r>
              <w:rPr>
                <w:color w:val="000000"/>
              </w:rPr>
              <w:t xml:space="preserve">Ministerstvo práce, sociálnych vecí a rodiny Slovenskej republiky, obce, resp. verejní poskytovatelia sociálnych služieb v zariadeniach podmienených odkázanosťou na lokálnej úrovni a neverejní poskytovatelia sociálnych služieb v zariadeniach podmienených </w:t>
            </w:r>
            <w:r>
              <w:rPr>
                <w:color w:val="000000"/>
              </w:rPr>
              <w:lastRenderedPageBreak/>
              <w:t>odkázanosťou na lokálnej i regionálnej úrovni. Tiež obce, resp. verejní poskytovatelia sociálnych služieb v zariadeniach krízovej intervencie na lokálnej úrovni i regionálnej úrovni a neverejní poskytovatelia sociálnych služieb v nocľahárni.</w:t>
            </w:r>
          </w:p>
          <w:p w:rsidR="00DD4B29" w:rsidRPr="00DD4B29" w:rsidRDefault="00DD4B29">
            <w:pPr>
              <w:rPr>
                <w:b/>
                <w:lang w:eastAsia="sk-SK"/>
              </w:rPr>
            </w:pPr>
          </w:p>
          <w:p w:rsidR="00B07B6B" w:rsidRDefault="00B07B6B">
            <w:pPr>
              <w:rPr>
                <w:i/>
                <w:sz w:val="20"/>
                <w:szCs w:val="20"/>
                <w:lang w:eastAsia="sk-SK"/>
              </w:rPr>
            </w:pPr>
          </w:p>
        </w:tc>
      </w:tr>
      <w:tr w:rsidR="00B07B6B" w:rsidTr="00B07B6B">
        <w:tc>
          <w:tcPr>
            <w:tcW w:w="9180" w:type="dxa"/>
            <w:gridSpan w:val="11"/>
            <w:tcBorders>
              <w:top w:val="single" w:sz="4" w:space="0" w:color="auto"/>
              <w:left w:val="single" w:sz="4" w:space="0" w:color="auto"/>
              <w:bottom w:val="nil"/>
              <w:right w:val="single" w:sz="4" w:space="0" w:color="auto"/>
            </w:tcBorders>
            <w:shd w:val="clear" w:color="auto" w:fill="E2E2E2"/>
            <w:hideMark/>
          </w:tcPr>
          <w:p w:rsidR="00B07B6B" w:rsidRDefault="00B07B6B" w:rsidP="00B07B6B">
            <w:pPr>
              <w:numPr>
                <w:ilvl w:val="0"/>
                <w:numId w:val="3"/>
              </w:numPr>
              <w:ind w:left="426"/>
              <w:contextualSpacing/>
              <w:rPr>
                <w:rFonts w:eastAsia="Calibri"/>
                <w:b/>
                <w:sz w:val="22"/>
                <w:szCs w:val="22"/>
                <w:lang w:eastAsia="en-US"/>
              </w:rPr>
            </w:pPr>
            <w:r>
              <w:rPr>
                <w:rFonts w:eastAsia="Calibri"/>
                <w:b/>
              </w:rPr>
              <w:lastRenderedPageBreak/>
              <w:t>Alternatívne riešenia</w:t>
            </w:r>
          </w:p>
        </w:tc>
      </w:tr>
      <w:tr w:rsidR="00B07B6B" w:rsidTr="00B07B6B">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B07B6B" w:rsidRDefault="00B07B6B">
            <w:pPr>
              <w:jc w:val="both"/>
              <w:rPr>
                <w:i/>
                <w:sz w:val="20"/>
                <w:szCs w:val="20"/>
                <w:lang w:eastAsia="sk-SK"/>
              </w:rPr>
            </w:pPr>
            <w:r>
              <w:rPr>
                <w:i/>
                <w:sz w:val="20"/>
                <w:szCs w:val="20"/>
                <w:lang w:eastAsia="sk-SK"/>
              </w:rPr>
              <w:t>Aké alternatívne riešenia vedúce k stanovenému cieľu boli identifikované a posudzované pre riešenie definovaného problému?</w:t>
            </w:r>
          </w:p>
          <w:p w:rsidR="00B07B6B" w:rsidRDefault="00B07B6B">
            <w:pPr>
              <w:rPr>
                <w:i/>
                <w:sz w:val="20"/>
                <w:szCs w:val="20"/>
                <w:lang w:eastAsia="sk-SK"/>
              </w:rPr>
            </w:pPr>
          </w:p>
          <w:p w:rsidR="00B07B6B" w:rsidRDefault="00B07B6B">
            <w:pPr>
              <w:jc w:val="both"/>
              <w:rPr>
                <w:i/>
                <w:sz w:val="20"/>
                <w:szCs w:val="20"/>
                <w:lang w:eastAsia="sk-SK"/>
              </w:rPr>
            </w:pPr>
            <w:r>
              <w:rPr>
                <w:i/>
                <w:sz w:val="20"/>
                <w:szCs w:val="20"/>
                <w:lang w:eastAsia="sk-SK"/>
              </w:rPr>
              <w:t>Nulový variant - uveďte dôsledky, ku ktorým by došlo v prípade nevykonania úprav v predkladanom materiáli a alternatívne riešenia/spôsoby dosiahnutia cieľov uvedených v bode 3.</w:t>
            </w:r>
          </w:p>
          <w:p w:rsidR="008B5D30" w:rsidRDefault="008B5D30">
            <w:pPr>
              <w:jc w:val="both"/>
              <w:rPr>
                <w:i/>
                <w:sz w:val="20"/>
                <w:szCs w:val="20"/>
                <w:lang w:eastAsia="sk-SK"/>
              </w:rPr>
            </w:pPr>
          </w:p>
          <w:p w:rsidR="009964F4" w:rsidRDefault="009964F4" w:rsidP="009964F4">
            <w:pPr>
              <w:jc w:val="both"/>
              <w:rPr>
                <w:lang w:eastAsia="ar-SA"/>
              </w:rPr>
            </w:pPr>
            <w:r>
              <w:rPr>
                <w:color w:val="000000"/>
              </w:rPr>
              <w:t xml:space="preserve">Alternatívne riešenia neboli posudzované.  </w:t>
            </w:r>
            <w:r>
              <w:rPr>
                <w:lang w:eastAsia="ar-SA"/>
              </w:rPr>
              <w:t xml:space="preserve">Nevykonanie úpravy výšky finančného príspevku </w:t>
            </w:r>
          </w:p>
          <w:p w:rsidR="009964F4" w:rsidRDefault="009964F4" w:rsidP="009964F4">
            <w:pPr>
              <w:jc w:val="both"/>
              <w:rPr>
                <w:rFonts w:eastAsia="Calibri"/>
                <w:kern w:val="3"/>
                <w:lang w:eastAsia="ar-SA"/>
              </w:rPr>
            </w:pPr>
            <w:r>
              <w:t>na poskytovanie sociálnej služby v niektorých druhoch zariadení sociálnych služieb</w:t>
            </w:r>
            <w:r>
              <w:rPr>
                <w:lang w:eastAsia="ar-SA"/>
              </w:rPr>
              <w:t xml:space="preserve"> na rozpočtový rok 202</w:t>
            </w:r>
            <w:r w:rsidR="008C2E60">
              <w:rPr>
                <w:lang w:eastAsia="ar-SA"/>
              </w:rPr>
              <w:t>6</w:t>
            </w:r>
            <w:r>
              <w:rPr>
                <w:lang w:eastAsia="ar-SA"/>
              </w:rPr>
              <w:t xml:space="preserve"> by vzhľadom na medziročný nárast výšky minimálnej mzdy, ako aj záväzky zamestnávateľov súvisiacich so zvyšovaním príplatkov za prácu podľa novely Zákonníka práce,  vyvolalo riziko nezabezpečenia udržateľnosti poskytovania sociálnych služieb dlhodobej starostlivosti v zariadeniach sociálnych služieb podmienených odkázanosťou a vo vybraných zariadeniach krízovej intervencie, a to v dôsledku nespolufinancovaného nárastu mzdových a ostatných osobných nákladov poskytovateľa sociáln</w:t>
            </w:r>
            <w:r w:rsidR="008C2E60">
              <w:rPr>
                <w:lang w:eastAsia="ar-SA"/>
              </w:rPr>
              <w:t>ej</w:t>
            </w:r>
            <w:r>
              <w:rPr>
                <w:lang w:eastAsia="ar-SA"/>
              </w:rPr>
              <w:t xml:space="preserve"> služb</w:t>
            </w:r>
            <w:r w:rsidR="008C2E60">
              <w:rPr>
                <w:lang w:eastAsia="ar-SA"/>
              </w:rPr>
              <w:t>y</w:t>
            </w:r>
            <w:r>
              <w:rPr>
                <w:lang w:eastAsia="ar-SA"/>
              </w:rPr>
              <w:t xml:space="preserve">, a to aj pri zohľadnení viaczdrojového financovania sociálnych služieb podľa § 71 zákona o sociálnych službách. </w:t>
            </w:r>
          </w:p>
          <w:p w:rsidR="008B5D30" w:rsidRPr="008B5D30" w:rsidRDefault="008B5D30">
            <w:pPr>
              <w:jc w:val="both"/>
              <w:rPr>
                <w:lang w:eastAsia="sk-SK"/>
              </w:rPr>
            </w:pPr>
          </w:p>
        </w:tc>
      </w:tr>
      <w:tr w:rsidR="00B07B6B" w:rsidTr="00B07B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rsidP="00B07B6B">
            <w:pPr>
              <w:numPr>
                <w:ilvl w:val="0"/>
                <w:numId w:val="3"/>
              </w:numPr>
              <w:ind w:left="426"/>
              <w:contextualSpacing/>
              <w:rPr>
                <w:rFonts w:eastAsia="Calibri"/>
                <w:b/>
                <w:sz w:val="22"/>
                <w:szCs w:val="22"/>
                <w:lang w:eastAsia="en-US"/>
              </w:rPr>
            </w:pPr>
            <w:r>
              <w:rPr>
                <w:rFonts w:eastAsia="Calibri"/>
                <w:b/>
              </w:rPr>
              <w:t>Vykonávacie predpisy</w:t>
            </w:r>
          </w:p>
        </w:tc>
      </w:tr>
      <w:tr w:rsidR="00B07B6B" w:rsidTr="00B07B6B">
        <w:tc>
          <w:tcPr>
            <w:tcW w:w="6203" w:type="dxa"/>
            <w:gridSpan w:val="7"/>
            <w:tcBorders>
              <w:top w:val="single" w:sz="4" w:space="0" w:color="FFFFFF"/>
              <w:left w:val="single" w:sz="4" w:space="0" w:color="auto"/>
              <w:bottom w:val="nil"/>
              <w:right w:val="nil"/>
            </w:tcBorders>
            <w:shd w:val="clear" w:color="auto" w:fill="FFFFFF"/>
            <w:hideMark/>
          </w:tcPr>
          <w:p w:rsidR="00B07B6B" w:rsidRDefault="00B07B6B">
            <w:pPr>
              <w:rPr>
                <w:i/>
                <w:sz w:val="20"/>
                <w:szCs w:val="20"/>
                <w:lang w:eastAsia="sk-SK"/>
              </w:rPr>
            </w:pPr>
            <w:r>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B07B6B" w:rsidRDefault="00F14CEF">
            <w:pPr>
              <w:jc w:val="center"/>
              <w:rPr>
                <w:b/>
                <w:sz w:val="20"/>
                <w:szCs w:val="20"/>
                <w:lang w:eastAsia="sk-SK"/>
              </w:rPr>
            </w:pPr>
            <w:sdt>
              <w:sdtPr>
                <w:rPr>
                  <w:b/>
                  <w:sz w:val="20"/>
                  <w:szCs w:val="20"/>
                  <w:lang w:eastAsia="sk-SK"/>
                </w:rPr>
                <w:id w:val="1929613764"/>
                <w14:checkbox>
                  <w14:checked w14:val="0"/>
                  <w14:checkedState w14:val="2612" w14:font="MS Gothic"/>
                  <w14:uncheckedState w14:val="2610" w14:font="MS Gothic"/>
                </w14:checkbox>
              </w:sdtPr>
              <w:sdtEndPr/>
              <w:sdtContent>
                <w:r w:rsidR="00B07B6B">
                  <w:rPr>
                    <w:rFonts w:ascii="MS Gothic" w:eastAsia="MS Gothic" w:hAnsi="MS Gothic" w:hint="eastAsia"/>
                    <w:b/>
                    <w:sz w:val="20"/>
                    <w:szCs w:val="20"/>
                    <w:lang w:eastAsia="sk-SK"/>
                  </w:rPr>
                  <w:t>☐</w:t>
                </w:r>
              </w:sdtContent>
            </w:sdt>
            <w:r w:rsidR="00B07B6B">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B07B6B" w:rsidRDefault="00F14CEF">
            <w:pPr>
              <w:jc w:val="center"/>
              <w:rPr>
                <w:b/>
                <w:sz w:val="20"/>
                <w:szCs w:val="20"/>
                <w:lang w:eastAsia="sk-SK"/>
              </w:rPr>
            </w:pPr>
            <w:sdt>
              <w:sdtPr>
                <w:rPr>
                  <w:b/>
                  <w:sz w:val="20"/>
                  <w:szCs w:val="20"/>
                  <w:lang w:eastAsia="sk-SK"/>
                </w:rPr>
                <w:id w:val="-1594626508"/>
                <w14:checkbox>
                  <w14:checked w14:val="1"/>
                  <w14:checkedState w14:val="2612" w14:font="MS Gothic"/>
                  <w14:uncheckedState w14:val="2610" w14:font="MS Gothic"/>
                </w14:checkbox>
              </w:sdtPr>
              <w:sdtEndPr/>
              <w:sdtContent>
                <w:r w:rsidR="009964F4">
                  <w:rPr>
                    <w:rFonts w:ascii="MS Gothic" w:eastAsia="MS Gothic" w:hAnsi="MS Gothic" w:hint="eastAsia"/>
                    <w:b/>
                    <w:sz w:val="20"/>
                    <w:szCs w:val="20"/>
                    <w:lang w:eastAsia="sk-SK"/>
                  </w:rPr>
                  <w:t>☒</w:t>
                </w:r>
              </w:sdtContent>
            </w:sdt>
            <w:r w:rsidR="00B07B6B">
              <w:rPr>
                <w:b/>
                <w:sz w:val="20"/>
                <w:szCs w:val="20"/>
                <w:lang w:eastAsia="sk-SK"/>
              </w:rPr>
              <w:t xml:space="preserve">  Nie</w:t>
            </w:r>
          </w:p>
        </w:tc>
      </w:tr>
      <w:tr w:rsidR="00B07B6B" w:rsidTr="00B07B6B">
        <w:tc>
          <w:tcPr>
            <w:tcW w:w="9180" w:type="dxa"/>
            <w:gridSpan w:val="11"/>
            <w:tcBorders>
              <w:top w:val="nil"/>
              <w:left w:val="single" w:sz="4" w:space="0" w:color="auto"/>
              <w:bottom w:val="single" w:sz="4" w:space="0" w:color="auto"/>
              <w:right w:val="single" w:sz="4" w:space="0" w:color="auto"/>
            </w:tcBorders>
            <w:shd w:val="clear" w:color="auto" w:fill="FFFFFF"/>
          </w:tcPr>
          <w:p w:rsidR="00B07B6B" w:rsidRDefault="00B07B6B">
            <w:pPr>
              <w:rPr>
                <w:i/>
                <w:sz w:val="20"/>
                <w:szCs w:val="20"/>
                <w:lang w:eastAsia="sk-SK"/>
              </w:rPr>
            </w:pPr>
            <w:r>
              <w:rPr>
                <w:i/>
                <w:sz w:val="20"/>
                <w:szCs w:val="20"/>
                <w:lang w:eastAsia="sk-SK"/>
              </w:rPr>
              <w:t>Ak áno, uveďte ktoré oblasti budú nimi upravené, resp. ktorých vykonávacích predpisov sa zmena dotkne:</w:t>
            </w:r>
          </w:p>
          <w:p w:rsidR="00B07B6B" w:rsidRDefault="00B07B6B">
            <w:pPr>
              <w:rPr>
                <w:sz w:val="20"/>
                <w:szCs w:val="20"/>
                <w:lang w:eastAsia="sk-SK"/>
              </w:rPr>
            </w:pPr>
          </w:p>
        </w:tc>
      </w:tr>
      <w:tr w:rsidR="00B07B6B" w:rsidTr="00B07B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rsidP="00B07B6B">
            <w:pPr>
              <w:numPr>
                <w:ilvl w:val="0"/>
                <w:numId w:val="3"/>
              </w:numPr>
              <w:ind w:left="426"/>
              <w:contextualSpacing/>
              <w:rPr>
                <w:rFonts w:eastAsia="Calibri"/>
                <w:b/>
                <w:sz w:val="22"/>
                <w:szCs w:val="22"/>
                <w:lang w:eastAsia="en-US"/>
              </w:rPr>
            </w:pPr>
            <w:r>
              <w:rPr>
                <w:rFonts w:eastAsia="Calibri"/>
                <w:b/>
              </w:rPr>
              <w:t xml:space="preserve">Transpozícia/implementácia práva EÚ </w:t>
            </w:r>
          </w:p>
        </w:tc>
      </w:tr>
      <w:tr w:rsidR="00B07B6B" w:rsidTr="00B07B6B">
        <w:trPr>
          <w:trHeight w:val="157"/>
        </w:trPr>
        <w:tc>
          <w:tcPr>
            <w:tcW w:w="9180" w:type="dxa"/>
            <w:gridSpan w:val="11"/>
            <w:tcBorders>
              <w:top w:val="nil"/>
              <w:left w:val="single" w:sz="4" w:space="0" w:color="000000"/>
              <w:bottom w:val="nil"/>
              <w:right w:val="single" w:sz="4" w:space="0" w:color="auto"/>
            </w:tcBorders>
            <w:shd w:val="clear" w:color="auto" w:fill="FFFFFF"/>
            <w:hideMark/>
          </w:tcPr>
          <w:tbl>
            <w:tblPr>
              <w:tblW w:w="0" w:type="auto"/>
              <w:tblLayout w:type="fixed"/>
              <w:tblLook w:val="04A0" w:firstRow="1" w:lastRow="0" w:firstColumn="1" w:lastColumn="0" w:noHBand="0" w:noVBand="1"/>
            </w:tblPr>
            <w:tblGrid>
              <w:gridCol w:w="8643"/>
            </w:tblGrid>
            <w:tr w:rsidR="00B07B6B">
              <w:trPr>
                <w:trHeight w:val="90"/>
              </w:trPr>
              <w:tc>
                <w:tcPr>
                  <w:tcW w:w="8643" w:type="dxa"/>
                  <w:tcBorders>
                    <w:top w:val="nil"/>
                    <w:left w:val="nil"/>
                    <w:bottom w:val="nil"/>
                    <w:right w:val="nil"/>
                  </w:tcBorders>
                  <w:hideMark/>
                </w:tcPr>
                <w:p w:rsidR="00B07B6B" w:rsidRDefault="00B07B6B">
                  <w:pPr>
                    <w:pStyle w:val="Default"/>
                    <w:spacing w:line="256" w:lineRule="auto"/>
                    <w:rPr>
                      <w:color w:val="auto"/>
                      <w:sz w:val="20"/>
                      <w:szCs w:val="20"/>
                    </w:rPr>
                  </w:pPr>
                  <w:r>
                    <w:rPr>
                      <w:i/>
                      <w:iCs/>
                      <w:color w:val="auto"/>
                      <w:sz w:val="20"/>
                      <w:szCs w:val="20"/>
                    </w:rPr>
                    <w:t xml:space="preserve">Uveďte, či v predkladanom návrhu právneho predpisu dochádza ku </w:t>
                  </w:r>
                  <w:proofErr w:type="spellStart"/>
                  <w:r>
                    <w:rPr>
                      <w:i/>
                      <w:iCs/>
                      <w:color w:val="auto"/>
                      <w:sz w:val="20"/>
                      <w:szCs w:val="20"/>
                    </w:rPr>
                    <w:t>goldplatingu</w:t>
                  </w:r>
                  <w:proofErr w:type="spellEnd"/>
                  <w:r>
                    <w:rPr>
                      <w:i/>
                      <w:iCs/>
                      <w:color w:val="auto"/>
                      <w:sz w:val="20"/>
                      <w:szCs w:val="20"/>
                    </w:rPr>
                    <w:t xml:space="preserve"> podľa tabuľky zhody, resp. či ku </w:t>
                  </w:r>
                  <w:proofErr w:type="spellStart"/>
                  <w:r>
                    <w:rPr>
                      <w:i/>
                      <w:iCs/>
                      <w:color w:val="auto"/>
                      <w:sz w:val="20"/>
                      <w:szCs w:val="20"/>
                    </w:rPr>
                    <w:t>goldplatingu</w:t>
                  </w:r>
                  <w:proofErr w:type="spellEnd"/>
                  <w:r>
                    <w:rPr>
                      <w:i/>
                      <w:iCs/>
                      <w:color w:val="auto"/>
                      <w:sz w:val="20"/>
                      <w:szCs w:val="20"/>
                    </w:rPr>
                    <w:t xml:space="preserve"> dochádza pri implementácii práva EÚ. </w:t>
                  </w:r>
                </w:p>
              </w:tc>
            </w:tr>
            <w:tr w:rsidR="00B07B6B">
              <w:trPr>
                <w:trHeight w:val="296"/>
              </w:trPr>
              <w:tc>
                <w:tcPr>
                  <w:tcW w:w="8643" w:type="dxa"/>
                  <w:tcBorders>
                    <w:top w:val="nil"/>
                    <w:left w:val="nil"/>
                    <w:bottom w:val="nil"/>
                    <w:right w:val="nil"/>
                  </w:tcBorders>
                </w:tcPr>
                <w:p w:rsidR="00B07B6B" w:rsidRDefault="00B07B6B">
                  <w:pPr>
                    <w:pStyle w:val="Default"/>
                    <w:spacing w:line="256" w:lineRule="auto"/>
                    <w:rPr>
                      <w:b/>
                      <w:iCs/>
                      <w:color w:val="auto"/>
                      <w:sz w:val="20"/>
                      <w:szCs w:val="20"/>
                    </w:rPr>
                  </w:pPr>
                  <w:r>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lang w:val="en-US"/>
                        </w:rPr>
                        <w:t>☐</w:t>
                      </w:r>
                    </w:sdtContent>
                  </w:sdt>
                  <w:r>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9964F4">
                        <w:rPr>
                          <w:rFonts w:ascii="MS Gothic" w:eastAsia="MS Gothic" w:hAnsi="MS Gothic" w:hint="eastAsia"/>
                          <w:b/>
                          <w:iCs/>
                          <w:color w:val="auto"/>
                          <w:sz w:val="20"/>
                          <w:szCs w:val="20"/>
                        </w:rPr>
                        <w:t>☒</w:t>
                      </w:r>
                    </w:sdtContent>
                  </w:sdt>
                  <w:r>
                    <w:rPr>
                      <w:b/>
                      <w:iCs/>
                      <w:color w:val="auto"/>
                      <w:sz w:val="20"/>
                      <w:szCs w:val="20"/>
                    </w:rPr>
                    <w:t xml:space="preserve"> Nie</w:t>
                  </w:r>
                </w:p>
                <w:p w:rsidR="00B07B6B" w:rsidRDefault="00B07B6B">
                  <w:pPr>
                    <w:pStyle w:val="Default"/>
                    <w:spacing w:line="256" w:lineRule="auto"/>
                    <w:rPr>
                      <w:i/>
                      <w:iCs/>
                      <w:color w:val="auto"/>
                      <w:sz w:val="20"/>
                      <w:szCs w:val="20"/>
                    </w:rPr>
                  </w:pPr>
                </w:p>
                <w:p w:rsidR="00B07B6B" w:rsidRDefault="00B07B6B">
                  <w:pPr>
                    <w:pStyle w:val="Default"/>
                    <w:spacing w:line="256" w:lineRule="auto"/>
                    <w:rPr>
                      <w:color w:val="auto"/>
                      <w:sz w:val="20"/>
                      <w:szCs w:val="20"/>
                    </w:rPr>
                  </w:pPr>
                  <w:r>
                    <w:rPr>
                      <w:i/>
                      <w:iCs/>
                      <w:color w:val="auto"/>
                      <w:sz w:val="20"/>
                      <w:szCs w:val="20"/>
                    </w:rPr>
                    <w:t xml:space="preserve">Ak áno, uveďte, ktorých vplyvov podľa bodu 9 sa </w:t>
                  </w:r>
                  <w:proofErr w:type="spellStart"/>
                  <w:r>
                    <w:rPr>
                      <w:i/>
                      <w:iCs/>
                      <w:color w:val="auto"/>
                      <w:sz w:val="20"/>
                      <w:szCs w:val="20"/>
                    </w:rPr>
                    <w:t>goldplating</w:t>
                  </w:r>
                  <w:proofErr w:type="spellEnd"/>
                  <w:r>
                    <w:rPr>
                      <w:i/>
                      <w:iCs/>
                      <w:color w:val="auto"/>
                      <w:sz w:val="20"/>
                      <w:szCs w:val="20"/>
                    </w:rPr>
                    <w:t xml:space="preserve"> týka: </w:t>
                  </w:r>
                </w:p>
              </w:tc>
            </w:tr>
            <w:tr w:rsidR="00B07B6B">
              <w:trPr>
                <w:trHeight w:val="296"/>
              </w:trPr>
              <w:tc>
                <w:tcPr>
                  <w:tcW w:w="8643" w:type="dxa"/>
                  <w:tcBorders>
                    <w:top w:val="nil"/>
                    <w:left w:val="nil"/>
                    <w:bottom w:val="nil"/>
                    <w:right w:val="nil"/>
                  </w:tcBorders>
                </w:tcPr>
                <w:p w:rsidR="00B07B6B" w:rsidRDefault="00B07B6B">
                  <w:pPr>
                    <w:pStyle w:val="Default"/>
                    <w:spacing w:line="256" w:lineRule="auto"/>
                    <w:rPr>
                      <w:rFonts w:ascii="Segoe UI Symbol" w:hAnsi="Segoe UI Symbol" w:cs="Segoe UI Symbol"/>
                      <w:color w:val="auto"/>
                      <w:sz w:val="20"/>
                      <w:szCs w:val="20"/>
                    </w:rPr>
                  </w:pPr>
                </w:p>
              </w:tc>
            </w:tr>
          </w:tbl>
          <w:p w:rsidR="00B07B6B" w:rsidRDefault="00B07B6B">
            <w:pPr>
              <w:jc w:val="both"/>
              <w:rPr>
                <w:i/>
                <w:sz w:val="20"/>
                <w:szCs w:val="20"/>
                <w:lang w:eastAsia="sk-SK"/>
              </w:rPr>
            </w:pPr>
          </w:p>
        </w:tc>
      </w:tr>
      <w:tr w:rsidR="00B07B6B" w:rsidTr="00B07B6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B07B6B" w:rsidRDefault="00B07B6B">
            <w:pPr>
              <w:jc w:val="center"/>
              <w:rPr>
                <w:sz w:val="20"/>
                <w:szCs w:val="20"/>
                <w:lang w:eastAsia="sk-SK"/>
              </w:rPr>
            </w:pPr>
          </w:p>
        </w:tc>
      </w:tr>
      <w:tr w:rsidR="00B07B6B" w:rsidTr="00B07B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rsidP="00B07B6B">
            <w:pPr>
              <w:numPr>
                <w:ilvl w:val="0"/>
                <w:numId w:val="3"/>
              </w:numPr>
              <w:ind w:left="426"/>
              <w:contextualSpacing/>
              <w:rPr>
                <w:rFonts w:eastAsia="Calibri"/>
                <w:b/>
                <w:sz w:val="22"/>
                <w:szCs w:val="22"/>
                <w:lang w:eastAsia="en-US"/>
              </w:rPr>
            </w:pPr>
            <w:r>
              <w:rPr>
                <w:rFonts w:eastAsia="Calibri"/>
                <w:b/>
              </w:rPr>
              <w:t>Preskúmanie účelnosti</w:t>
            </w:r>
          </w:p>
        </w:tc>
      </w:tr>
      <w:tr w:rsidR="00B07B6B" w:rsidTr="00B07B6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07B6B" w:rsidRDefault="00B07B6B">
            <w:pPr>
              <w:rPr>
                <w:i/>
                <w:sz w:val="20"/>
                <w:szCs w:val="20"/>
                <w:lang w:eastAsia="sk-SK"/>
              </w:rPr>
            </w:pPr>
            <w:r>
              <w:rPr>
                <w:i/>
                <w:sz w:val="20"/>
                <w:szCs w:val="20"/>
                <w:lang w:eastAsia="sk-SK"/>
              </w:rPr>
              <w:t>Uveďte termín, kedy by malo dôjsť k preskúmaniu účinnosti a účelnosti predkladaného materiálu.</w:t>
            </w:r>
          </w:p>
          <w:p w:rsidR="00B07B6B" w:rsidRDefault="00B07B6B">
            <w:pPr>
              <w:rPr>
                <w:i/>
                <w:sz w:val="20"/>
                <w:szCs w:val="20"/>
                <w:lang w:eastAsia="sk-SK"/>
              </w:rPr>
            </w:pPr>
            <w:r>
              <w:rPr>
                <w:i/>
                <w:sz w:val="20"/>
                <w:szCs w:val="20"/>
                <w:lang w:eastAsia="sk-SK"/>
              </w:rPr>
              <w:t>Uveďte kritériá, na základe ktorých bude preskúmanie vykonané.</w:t>
            </w:r>
          </w:p>
          <w:p w:rsidR="009964F4" w:rsidRDefault="009964F4">
            <w:pPr>
              <w:rPr>
                <w:i/>
                <w:sz w:val="20"/>
                <w:szCs w:val="20"/>
                <w:lang w:eastAsia="sk-SK"/>
              </w:rPr>
            </w:pPr>
          </w:p>
          <w:p w:rsidR="009964F4" w:rsidRPr="009964F4" w:rsidRDefault="009964F4">
            <w:pPr>
              <w:rPr>
                <w:lang w:eastAsia="sk-SK"/>
              </w:rPr>
            </w:pPr>
            <w:r>
              <w:rPr>
                <w:lang w:eastAsia="sk-SK"/>
              </w:rPr>
              <w:t>Bez skúmania</w:t>
            </w:r>
          </w:p>
          <w:p w:rsidR="00B07B6B" w:rsidRDefault="00B07B6B">
            <w:pPr>
              <w:rPr>
                <w:i/>
                <w:sz w:val="20"/>
                <w:szCs w:val="20"/>
                <w:lang w:eastAsia="sk-SK"/>
              </w:rPr>
            </w:pPr>
          </w:p>
        </w:tc>
      </w:tr>
      <w:tr w:rsidR="00B07B6B" w:rsidTr="00B07B6B">
        <w:tc>
          <w:tcPr>
            <w:tcW w:w="9180" w:type="dxa"/>
            <w:gridSpan w:val="11"/>
            <w:tcBorders>
              <w:top w:val="nil"/>
              <w:left w:val="nil"/>
              <w:bottom w:val="single" w:sz="4" w:space="0" w:color="auto"/>
              <w:right w:val="nil"/>
            </w:tcBorders>
            <w:shd w:val="clear" w:color="auto" w:fill="FFFFFF"/>
          </w:tcPr>
          <w:p w:rsidR="00B07B6B" w:rsidRDefault="00B07B6B">
            <w:pPr>
              <w:jc w:val="both"/>
              <w:rPr>
                <w:b/>
                <w:sz w:val="20"/>
                <w:szCs w:val="20"/>
                <w:lang w:eastAsia="sk-SK"/>
              </w:rPr>
            </w:pPr>
          </w:p>
          <w:p w:rsidR="00B07B6B" w:rsidRDefault="00B07B6B">
            <w:pPr>
              <w:jc w:val="both"/>
              <w:rPr>
                <w:b/>
                <w:sz w:val="20"/>
                <w:szCs w:val="20"/>
                <w:lang w:eastAsia="sk-SK"/>
              </w:rPr>
            </w:pPr>
          </w:p>
          <w:p w:rsidR="00B07B6B" w:rsidRDefault="00B07B6B">
            <w:pPr>
              <w:ind w:left="142" w:hanging="142"/>
              <w:jc w:val="both"/>
              <w:rPr>
                <w:sz w:val="20"/>
                <w:szCs w:val="20"/>
                <w:lang w:eastAsia="sk-SK"/>
              </w:rPr>
            </w:pPr>
            <w:r>
              <w:rPr>
                <w:sz w:val="20"/>
                <w:szCs w:val="20"/>
                <w:lang w:eastAsia="sk-SK"/>
              </w:rPr>
              <w:t xml:space="preserve">* vyplniť iba v prípade, ak materiál nie je zahrnutý do Plánu práce vlády Slovenskej republiky alebo Plánu        legislatívnych úloh vlády Slovenskej republiky. </w:t>
            </w:r>
          </w:p>
          <w:p w:rsidR="00B07B6B" w:rsidRDefault="00B07B6B">
            <w:pPr>
              <w:jc w:val="both"/>
              <w:rPr>
                <w:sz w:val="20"/>
                <w:szCs w:val="20"/>
                <w:lang w:eastAsia="sk-SK"/>
              </w:rPr>
            </w:pPr>
            <w:r>
              <w:rPr>
                <w:sz w:val="20"/>
                <w:szCs w:val="20"/>
                <w:lang w:eastAsia="sk-SK"/>
              </w:rPr>
              <w:t>** vyplniť iba v prípade, ak sa záverečné posúdenie vybraných vplyvov uskutočnilo v zmysle bodu 9.1. jednotnej metodiky.</w:t>
            </w:r>
          </w:p>
          <w:p w:rsidR="00B07B6B" w:rsidRDefault="00B07B6B">
            <w:pPr>
              <w:jc w:val="both"/>
              <w:rPr>
                <w:sz w:val="20"/>
                <w:szCs w:val="20"/>
                <w:lang w:eastAsia="sk-SK"/>
              </w:rPr>
            </w:pPr>
            <w:r>
              <w:rPr>
                <w:sz w:val="20"/>
                <w:szCs w:val="20"/>
                <w:lang w:eastAsia="sk-SK"/>
              </w:rPr>
              <w:t>*** posudzovanie sa týka len zmien v I. a II. pilieri univerzálneho systému dôchodkového zabezpečenia s identifikovaným dopadom od 0,1 % HDP (vrátane) na dlhodobom horizonte.</w:t>
            </w:r>
          </w:p>
          <w:p w:rsidR="00B07B6B" w:rsidRDefault="00B07B6B">
            <w:pPr>
              <w:jc w:val="both"/>
              <w:rPr>
                <w:sz w:val="20"/>
                <w:szCs w:val="20"/>
                <w:lang w:eastAsia="sk-SK"/>
              </w:rPr>
            </w:pPr>
          </w:p>
          <w:p w:rsidR="00B07B6B" w:rsidRDefault="00B07B6B">
            <w:pPr>
              <w:jc w:val="both"/>
              <w:rPr>
                <w:b/>
                <w:sz w:val="20"/>
                <w:szCs w:val="20"/>
                <w:lang w:eastAsia="sk-SK"/>
              </w:rPr>
            </w:pPr>
          </w:p>
        </w:tc>
      </w:tr>
      <w:tr w:rsidR="00B07B6B" w:rsidTr="00B07B6B">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rsidR="00B07B6B" w:rsidRDefault="00B07B6B" w:rsidP="00B07B6B">
            <w:pPr>
              <w:numPr>
                <w:ilvl w:val="0"/>
                <w:numId w:val="3"/>
              </w:numPr>
              <w:ind w:left="426"/>
              <w:contextualSpacing/>
              <w:rPr>
                <w:rFonts w:eastAsia="Calibri"/>
                <w:b/>
                <w:sz w:val="22"/>
                <w:szCs w:val="22"/>
                <w:lang w:eastAsia="en-US"/>
              </w:rPr>
            </w:pPr>
            <w:r>
              <w:rPr>
                <w:rFonts w:eastAsia="Calibri"/>
                <w:b/>
              </w:rPr>
              <w:t>Vybrané vplyvy  materiálu</w:t>
            </w:r>
          </w:p>
        </w:tc>
      </w:tr>
      <w:tr w:rsidR="00B07B6B" w:rsidTr="00B07B6B">
        <w:tc>
          <w:tcPr>
            <w:tcW w:w="3812" w:type="dxa"/>
            <w:tcBorders>
              <w:top w:val="single" w:sz="4" w:space="0" w:color="auto"/>
              <w:left w:val="single" w:sz="4" w:space="0" w:color="auto"/>
              <w:bottom w:val="nil"/>
              <w:right w:val="single" w:sz="4" w:space="0" w:color="auto"/>
            </w:tcBorders>
            <w:shd w:val="clear" w:color="auto" w:fill="E2E2E2"/>
            <w:hideMark/>
          </w:tcPr>
          <w:p w:rsidR="00B07B6B" w:rsidRDefault="00B07B6B">
            <w:pPr>
              <w:rPr>
                <w:b/>
                <w:sz w:val="20"/>
                <w:szCs w:val="20"/>
                <w:lang w:eastAsia="sk-SK"/>
              </w:rPr>
            </w:pPr>
            <w:r>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hideMark/>
          </w:tcPr>
          <w:p w:rsidR="00B07B6B" w:rsidRDefault="00B07B6B">
            <w:pPr>
              <w:rPr>
                <w:b/>
                <w:sz w:val="20"/>
                <w:szCs w:val="20"/>
                <w:lang w:eastAsia="sk-SK"/>
              </w:rPr>
            </w:pPr>
            <w:r>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hideMark/>
              </w:tcPr>
              <w:p w:rsidR="00B07B6B" w:rsidRDefault="009964F4">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hideMark/>
          </w:tcPr>
          <w:p w:rsidR="00B07B6B" w:rsidRDefault="00B07B6B">
            <w:pPr>
              <w:rPr>
                <w:b/>
                <w:sz w:val="20"/>
                <w:szCs w:val="20"/>
                <w:lang w:eastAsia="sk-SK"/>
              </w:rPr>
            </w:pPr>
            <w:r>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hideMark/>
              </w:tcPr>
              <w:p w:rsidR="00B07B6B" w:rsidRDefault="008C2E60">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hideMark/>
          </w:tcPr>
          <w:p w:rsidR="00B07B6B" w:rsidRDefault="00B07B6B">
            <w:pPr>
              <w:ind w:left="34"/>
              <w:rPr>
                <w:b/>
                <w:sz w:val="20"/>
                <w:szCs w:val="20"/>
                <w:lang w:eastAsia="sk-SK"/>
              </w:rPr>
            </w:pPr>
            <w:r>
              <w:rPr>
                <w:b/>
                <w:sz w:val="20"/>
                <w:szCs w:val="20"/>
                <w:lang w:eastAsia="sk-SK"/>
              </w:rPr>
              <w:t>Negatívne</w:t>
            </w:r>
          </w:p>
        </w:tc>
      </w:tr>
      <w:tr w:rsidR="00B07B6B" w:rsidTr="00B07B6B">
        <w:tc>
          <w:tcPr>
            <w:tcW w:w="3812" w:type="dxa"/>
            <w:tcBorders>
              <w:top w:val="nil"/>
              <w:left w:val="single" w:sz="4" w:space="0" w:color="auto"/>
              <w:bottom w:val="nil"/>
              <w:right w:val="single" w:sz="4" w:space="0" w:color="auto"/>
            </w:tcBorders>
            <w:shd w:val="clear" w:color="auto" w:fill="E2E2E2"/>
            <w:hideMark/>
          </w:tcPr>
          <w:p w:rsidR="00B07B6B" w:rsidRDefault="00B07B6B">
            <w:pPr>
              <w:rPr>
                <w:sz w:val="20"/>
                <w:szCs w:val="20"/>
                <w:lang w:eastAsia="sk-SK"/>
              </w:rPr>
            </w:pPr>
            <w:r>
              <w:rPr>
                <w:sz w:val="20"/>
                <w:szCs w:val="20"/>
                <w:lang w:eastAsia="sk-SK"/>
              </w:rPr>
              <w:t xml:space="preserve">    z toho rozpočtovo zabezpečené vplyvy,         </w:t>
            </w:r>
          </w:p>
          <w:p w:rsidR="00B07B6B" w:rsidRDefault="00B07B6B">
            <w:pPr>
              <w:rPr>
                <w:sz w:val="20"/>
                <w:szCs w:val="20"/>
                <w:lang w:eastAsia="sk-SK"/>
              </w:rPr>
            </w:pPr>
            <w:r>
              <w:rPr>
                <w:sz w:val="20"/>
                <w:szCs w:val="20"/>
                <w:lang w:eastAsia="sk-SK"/>
              </w:rPr>
              <w:t xml:space="preserve">    v prípade identifikovaného negatívneho </w:t>
            </w:r>
          </w:p>
          <w:p w:rsidR="00B07B6B" w:rsidRDefault="00B07B6B">
            <w:pPr>
              <w:rPr>
                <w:sz w:val="20"/>
                <w:szCs w:val="20"/>
                <w:lang w:eastAsia="sk-SK"/>
              </w:rPr>
            </w:pPr>
            <w:r>
              <w:rPr>
                <w:sz w:val="20"/>
                <w:szCs w:val="20"/>
                <w:lang w:eastAsia="sk-SK"/>
              </w:rPr>
              <w:t xml:space="preserve">    vplyvu</w:t>
            </w:r>
          </w:p>
        </w:tc>
        <w:sdt>
          <w:sdtPr>
            <w:rPr>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hideMark/>
              </w:tcPr>
              <w:p w:rsidR="00B07B6B" w:rsidRDefault="00B07B6B">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B07B6B" w:rsidRDefault="00B07B6B">
            <w:pPr>
              <w:rPr>
                <w:sz w:val="20"/>
                <w:szCs w:val="20"/>
                <w:lang w:eastAsia="sk-SK"/>
              </w:rPr>
            </w:pPr>
            <w:r>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B07B6B" w:rsidRDefault="00B03338">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B07B6B" w:rsidRDefault="00B07B6B">
            <w:pPr>
              <w:rPr>
                <w:sz w:val="20"/>
                <w:szCs w:val="20"/>
                <w:lang w:eastAsia="sk-SK"/>
              </w:rPr>
            </w:pPr>
            <w:r>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B07B6B" w:rsidRDefault="00B07B6B">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B07B6B" w:rsidRDefault="00B07B6B">
            <w:pPr>
              <w:ind w:left="34"/>
              <w:rPr>
                <w:sz w:val="20"/>
                <w:szCs w:val="20"/>
                <w:lang w:eastAsia="sk-SK"/>
              </w:rPr>
            </w:pPr>
            <w:r>
              <w:rPr>
                <w:sz w:val="20"/>
                <w:szCs w:val="20"/>
                <w:lang w:eastAsia="sk-SK"/>
              </w:rPr>
              <w:t>Čiastočne</w:t>
            </w:r>
          </w:p>
        </w:tc>
      </w:tr>
      <w:tr w:rsidR="00B07B6B" w:rsidTr="00B07B6B">
        <w:tc>
          <w:tcPr>
            <w:tcW w:w="3812" w:type="dxa"/>
            <w:tcBorders>
              <w:top w:val="nil"/>
              <w:left w:val="single" w:sz="4" w:space="0" w:color="auto"/>
              <w:bottom w:val="nil"/>
              <w:right w:val="single" w:sz="4" w:space="0" w:color="auto"/>
            </w:tcBorders>
            <w:shd w:val="clear" w:color="auto" w:fill="E2E2E2"/>
            <w:hideMark/>
          </w:tcPr>
          <w:p w:rsidR="00B07B6B" w:rsidRDefault="00B07B6B">
            <w:pPr>
              <w:rPr>
                <w:b/>
                <w:sz w:val="20"/>
                <w:szCs w:val="20"/>
                <w:lang w:eastAsia="sk-SK"/>
              </w:rPr>
            </w:pPr>
            <w:r>
              <w:rPr>
                <w:b/>
                <w:sz w:val="20"/>
                <w:szCs w:val="20"/>
                <w:lang w:eastAsia="sk-SK"/>
              </w:rPr>
              <w:t xml:space="preserve">v tom vplyvy na rozpočty obcí a vyšších </w:t>
            </w:r>
            <w:r>
              <w:rPr>
                <w:b/>
                <w:sz w:val="20"/>
                <w:szCs w:val="20"/>
                <w:lang w:eastAsia="sk-SK"/>
              </w:rPr>
              <w:lastRenderedPageBreak/>
              <w:t>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hideMark/>
          </w:tcPr>
          <w:p w:rsidR="00B07B6B" w:rsidRDefault="00B07B6B">
            <w:pPr>
              <w:rPr>
                <w:b/>
                <w:sz w:val="20"/>
                <w:szCs w:val="20"/>
                <w:lang w:eastAsia="sk-SK"/>
              </w:rPr>
            </w:pPr>
            <w:r>
              <w:rPr>
                <w:b/>
                <w:sz w:val="20"/>
                <w:szCs w:val="20"/>
                <w:lang w:eastAsia="sk-SK"/>
              </w:rPr>
              <w:t>Pozitívne</w:t>
            </w:r>
          </w:p>
        </w:tc>
        <w:sdt>
          <w:sdtPr>
            <w:rPr>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hideMark/>
              </w:tcPr>
              <w:p w:rsidR="00B07B6B" w:rsidRDefault="00B0333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hideMark/>
          </w:tcPr>
          <w:p w:rsidR="00B07B6B" w:rsidRDefault="00B07B6B">
            <w:pPr>
              <w:rPr>
                <w:b/>
                <w:sz w:val="20"/>
                <w:szCs w:val="20"/>
                <w:lang w:eastAsia="sk-SK"/>
              </w:rPr>
            </w:pPr>
            <w:r>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hideMark/>
              </w:tcPr>
              <w:p w:rsidR="00B07B6B" w:rsidRDefault="00B07B6B">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hideMark/>
          </w:tcPr>
          <w:p w:rsidR="00B07B6B" w:rsidRDefault="00B07B6B">
            <w:pPr>
              <w:ind w:left="34"/>
              <w:rPr>
                <w:b/>
                <w:sz w:val="20"/>
                <w:szCs w:val="20"/>
                <w:lang w:eastAsia="sk-SK"/>
              </w:rPr>
            </w:pPr>
            <w:r>
              <w:rPr>
                <w:b/>
                <w:sz w:val="20"/>
                <w:szCs w:val="20"/>
                <w:lang w:eastAsia="sk-SK"/>
              </w:rPr>
              <w:t>Negatívne</w:t>
            </w:r>
          </w:p>
        </w:tc>
      </w:tr>
      <w:tr w:rsidR="00B07B6B" w:rsidTr="00B07B6B">
        <w:tc>
          <w:tcPr>
            <w:tcW w:w="3812" w:type="dxa"/>
            <w:tcBorders>
              <w:top w:val="nil"/>
              <w:left w:val="single" w:sz="4" w:space="0" w:color="auto"/>
              <w:bottom w:val="single" w:sz="4" w:space="0" w:color="auto"/>
              <w:right w:val="single" w:sz="4" w:space="0" w:color="auto"/>
            </w:tcBorders>
            <w:shd w:val="clear" w:color="auto" w:fill="E2E2E2"/>
            <w:hideMark/>
          </w:tcPr>
          <w:p w:rsidR="00B07B6B" w:rsidRDefault="00B07B6B">
            <w:pPr>
              <w:ind w:left="171"/>
              <w:rPr>
                <w:sz w:val="20"/>
                <w:szCs w:val="20"/>
                <w:lang w:eastAsia="sk-SK"/>
              </w:rPr>
            </w:pPr>
            <w:r>
              <w:rPr>
                <w:sz w:val="20"/>
                <w:szCs w:val="20"/>
                <w:lang w:eastAsia="sk-SK"/>
              </w:rPr>
              <w:t>z toho rozpočtovo zabezpečené vplyvy,</w:t>
            </w:r>
          </w:p>
          <w:p w:rsidR="00B07B6B" w:rsidRDefault="00B07B6B">
            <w:pPr>
              <w:ind w:left="171"/>
              <w:rPr>
                <w:sz w:val="20"/>
                <w:szCs w:val="20"/>
                <w:lang w:eastAsia="sk-SK"/>
              </w:rPr>
            </w:pPr>
            <w:r>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B07B6B" w:rsidRDefault="00B07B6B">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hideMark/>
          </w:tcPr>
          <w:p w:rsidR="00B07B6B" w:rsidRDefault="00B07B6B">
            <w:pPr>
              <w:rPr>
                <w:sz w:val="20"/>
                <w:szCs w:val="20"/>
                <w:lang w:eastAsia="sk-SK"/>
              </w:rPr>
            </w:pPr>
            <w:r>
              <w:rPr>
                <w:sz w:val="20"/>
                <w:szCs w:val="20"/>
                <w:lang w:eastAsia="sk-SK"/>
              </w:rPr>
              <w:t>Áno</w:t>
            </w:r>
          </w:p>
        </w:tc>
        <w:sdt>
          <w:sdtPr>
            <w:rPr>
              <w:sz w:val="20"/>
              <w:szCs w:val="20"/>
              <w:lang w:eastAsia="sk-SK"/>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hideMark/>
              </w:tcPr>
              <w:p w:rsidR="00B07B6B" w:rsidRDefault="008C2E60">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hideMark/>
          </w:tcPr>
          <w:p w:rsidR="00B07B6B" w:rsidRDefault="00B07B6B">
            <w:pPr>
              <w:rPr>
                <w:sz w:val="20"/>
                <w:szCs w:val="20"/>
                <w:lang w:eastAsia="sk-SK"/>
              </w:rPr>
            </w:pPr>
            <w:r>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B07B6B" w:rsidRDefault="00B07B6B">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B07B6B" w:rsidRDefault="00B07B6B">
            <w:pPr>
              <w:ind w:left="34"/>
              <w:rPr>
                <w:sz w:val="20"/>
                <w:szCs w:val="20"/>
                <w:lang w:eastAsia="sk-SK"/>
              </w:rPr>
            </w:pPr>
            <w:r>
              <w:rPr>
                <w:sz w:val="20"/>
                <w:szCs w:val="20"/>
                <w:lang w:eastAsia="sk-SK"/>
              </w:rPr>
              <w:t>Čiastočne</w:t>
            </w:r>
          </w:p>
        </w:tc>
      </w:tr>
      <w:tr w:rsidR="00B07B6B" w:rsidTr="00B07B6B">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07B6B" w:rsidRDefault="00B07B6B">
            <w:pPr>
              <w:ind w:left="171"/>
              <w:rPr>
                <w:sz w:val="20"/>
                <w:szCs w:val="20"/>
                <w:lang w:eastAsia="sk-SK"/>
              </w:rPr>
            </w:pPr>
            <w:r>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B07B6B" w:rsidRDefault="00B07B6B">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B07B6B" w:rsidRDefault="00B07B6B">
            <w:pPr>
              <w:rPr>
                <w:sz w:val="20"/>
                <w:szCs w:val="20"/>
                <w:lang w:eastAsia="sk-SK"/>
              </w:rPr>
            </w:pPr>
            <w:r>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B07B6B" w:rsidRDefault="00B07B6B">
            <w:pPr>
              <w:jc w:val="center"/>
              <w:rPr>
                <w:sz w:val="20"/>
                <w:szCs w:val="20"/>
                <w:lang w:eastAsia="sk-SK"/>
              </w:rPr>
            </w:pPr>
          </w:p>
        </w:tc>
        <w:tc>
          <w:tcPr>
            <w:tcW w:w="1133" w:type="dxa"/>
            <w:tcBorders>
              <w:top w:val="single" w:sz="4" w:space="0" w:color="auto"/>
              <w:left w:val="nil"/>
              <w:bottom w:val="single" w:sz="4" w:space="0" w:color="auto"/>
              <w:right w:val="nil"/>
            </w:tcBorders>
            <w:vAlign w:val="center"/>
          </w:tcPr>
          <w:p w:rsidR="00B07B6B" w:rsidRDefault="00B07B6B">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rsidR="00B07B6B" w:rsidRDefault="00B07B6B">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B07B6B" w:rsidRDefault="00B07B6B">
            <w:pPr>
              <w:ind w:left="34"/>
              <w:rPr>
                <w:sz w:val="20"/>
                <w:szCs w:val="20"/>
                <w:lang w:eastAsia="sk-SK"/>
              </w:rPr>
            </w:pPr>
            <w:r>
              <w:rPr>
                <w:sz w:val="20"/>
                <w:szCs w:val="20"/>
                <w:lang w:eastAsia="sk-SK"/>
              </w:rPr>
              <w:t>Nie</w:t>
            </w:r>
          </w:p>
        </w:tc>
      </w:tr>
      <w:tr w:rsidR="00B07B6B" w:rsidTr="00B07B6B">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07B6B" w:rsidRDefault="00B07B6B">
            <w:pPr>
              <w:rPr>
                <w:b/>
                <w:sz w:val="20"/>
                <w:szCs w:val="20"/>
                <w:lang w:eastAsia="sk-SK"/>
              </w:rPr>
            </w:pPr>
            <w:r>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B07B6B" w:rsidRDefault="00B07B6B">
            <w:pPr>
              <w:rPr>
                <w:sz w:val="20"/>
                <w:szCs w:val="20"/>
                <w:lang w:eastAsia="sk-SK"/>
              </w:rPr>
            </w:pPr>
            <w:r>
              <w:rPr>
                <w:b/>
                <w:sz w:val="20"/>
                <w:szCs w:val="20"/>
                <w:lang w:eastAsia="sk-SK"/>
              </w:rPr>
              <w:t>Pozitívne</w:t>
            </w:r>
          </w:p>
        </w:tc>
        <w:sdt>
          <w:sdtPr>
            <w:rPr>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rsidR="00B07B6B" w:rsidRDefault="00B07B6B">
            <w:pPr>
              <w:rPr>
                <w:sz w:val="20"/>
                <w:szCs w:val="20"/>
                <w:lang w:eastAsia="sk-SK"/>
              </w:rPr>
            </w:pPr>
            <w:r>
              <w:rPr>
                <w:b/>
                <w:sz w:val="20"/>
                <w:szCs w:val="20"/>
                <w:lang w:eastAsia="sk-SK"/>
              </w:rPr>
              <w:t>Žiadne</w:t>
            </w:r>
          </w:p>
        </w:tc>
        <w:sdt>
          <w:sdtPr>
            <w:rPr>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rsidR="00B07B6B" w:rsidRDefault="008C2E60">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B07B6B" w:rsidRDefault="00B07B6B">
            <w:pPr>
              <w:ind w:left="34"/>
              <w:rPr>
                <w:sz w:val="20"/>
                <w:szCs w:val="20"/>
                <w:lang w:eastAsia="sk-SK"/>
              </w:rPr>
            </w:pPr>
            <w:r>
              <w:rPr>
                <w:b/>
                <w:sz w:val="20"/>
                <w:szCs w:val="20"/>
                <w:lang w:eastAsia="sk-SK"/>
              </w:rPr>
              <w:t>Negatívne</w:t>
            </w:r>
          </w:p>
        </w:tc>
      </w:tr>
      <w:tr w:rsidR="00B07B6B" w:rsidTr="00B07B6B">
        <w:tc>
          <w:tcPr>
            <w:tcW w:w="3812" w:type="dxa"/>
            <w:tcBorders>
              <w:top w:val="single" w:sz="4" w:space="0" w:color="auto"/>
              <w:left w:val="single" w:sz="4" w:space="0" w:color="auto"/>
              <w:bottom w:val="nil"/>
              <w:right w:val="single" w:sz="4" w:space="0" w:color="auto"/>
            </w:tcBorders>
            <w:shd w:val="clear" w:color="auto" w:fill="E2E2E2"/>
            <w:hideMark/>
          </w:tcPr>
          <w:p w:rsidR="00B07B6B" w:rsidRDefault="00B07B6B">
            <w:pPr>
              <w:rPr>
                <w:b/>
                <w:sz w:val="20"/>
                <w:szCs w:val="20"/>
                <w:lang w:eastAsia="sk-SK"/>
              </w:rPr>
            </w:pPr>
            <w:r>
              <w:rPr>
                <w:b/>
                <w:sz w:val="20"/>
                <w:szCs w:val="20"/>
                <w:lang w:eastAsia="sk-SK"/>
              </w:rPr>
              <w:t>Vplyvy na podnikateľské prostredie</w:t>
            </w:r>
          </w:p>
        </w:tc>
        <w:sdt>
          <w:sdtPr>
            <w:rPr>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hideMark/>
          </w:tcPr>
          <w:p w:rsidR="00B07B6B" w:rsidRDefault="00B07B6B">
            <w:pPr>
              <w:ind w:right="-108"/>
              <w:rPr>
                <w:b/>
                <w:sz w:val="20"/>
                <w:szCs w:val="20"/>
                <w:lang w:eastAsia="sk-SK"/>
              </w:rPr>
            </w:pPr>
            <w:r>
              <w:rPr>
                <w:b/>
                <w:sz w:val="20"/>
                <w:szCs w:val="20"/>
                <w:lang w:eastAsia="sk-SK"/>
              </w:rPr>
              <w:t>Pozitívne</w:t>
            </w:r>
          </w:p>
        </w:tc>
        <w:sdt>
          <w:sdtPr>
            <w:rPr>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hideMark/>
              </w:tcPr>
              <w:p w:rsidR="00B07B6B" w:rsidRDefault="009964F4">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hideMark/>
          </w:tcPr>
          <w:p w:rsidR="00B07B6B" w:rsidRDefault="00B07B6B">
            <w:pPr>
              <w:rPr>
                <w:b/>
                <w:sz w:val="20"/>
                <w:szCs w:val="20"/>
                <w:lang w:eastAsia="sk-SK"/>
              </w:rPr>
            </w:pPr>
            <w:r>
              <w:rPr>
                <w:b/>
                <w:sz w:val="20"/>
                <w:szCs w:val="20"/>
                <w:lang w:eastAsia="sk-SK"/>
              </w:rPr>
              <w:t>Žiadne</w:t>
            </w:r>
          </w:p>
        </w:tc>
        <w:sdt>
          <w:sdtPr>
            <w:rPr>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rsidR="00B07B6B" w:rsidRDefault="00B07B6B">
            <w:pPr>
              <w:ind w:left="54"/>
              <w:rPr>
                <w:b/>
                <w:sz w:val="20"/>
                <w:szCs w:val="20"/>
                <w:lang w:eastAsia="sk-SK"/>
              </w:rPr>
            </w:pPr>
            <w:r>
              <w:rPr>
                <w:b/>
                <w:sz w:val="20"/>
                <w:szCs w:val="20"/>
                <w:lang w:eastAsia="sk-SK"/>
              </w:rPr>
              <w:t>Negatívne</w:t>
            </w:r>
          </w:p>
        </w:tc>
      </w:tr>
      <w:tr w:rsidR="00B07B6B" w:rsidTr="00B07B6B">
        <w:tc>
          <w:tcPr>
            <w:tcW w:w="3812" w:type="dxa"/>
            <w:tcBorders>
              <w:top w:val="nil"/>
              <w:left w:val="single" w:sz="4" w:space="0" w:color="000000"/>
              <w:bottom w:val="nil"/>
              <w:right w:val="single" w:sz="4" w:space="0" w:color="000000"/>
            </w:tcBorders>
            <w:shd w:val="clear" w:color="auto" w:fill="E2E2E2"/>
          </w:tcPr>
          <w:p w:rsidR="00B07B6B" w:rsidRDefault="00B07B6B">
            <w:pPr>
              <w:rPr>
                <w:sz w:val="20"/>
                <w:szCs w:val="20"/>
                <w:lang w:eastAsia="sk-SK"/>
              </w:rPr>
            </w:pPr>
            <w:r>
              <w:rPr>
                <w:sz w:val="20"/>
                <w:szCs w:val="20"/>
                <w:lang w:eastAsia="sk-SK"/>
              </w:rPr>
              <w:t xml:space="preserve">    z toho vplyvy na MSP</w:t>
            </w:r>
          </w:p>
          <w:p w:rsidR="00B07B6B" w:rsidRDefault="00B07B6B">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hideMark/>
              </w:tcPr>
              <w:p w:rsidR="00B07B6B" w:rsidRDefault="00B07B6B">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B07B6B" w:rsidRDefault="00B07B6B">
            <w:pPr>
              <w:ind w:right="-108"/>
              <w:rPr>
                <w:sz w:val="20"/>
                <w:szCs w:val="20"/>
                <w:lang w:eastAsia="sk-SK"/>
              </w:rPr>
            </w:pPr>
            <w:r>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B07B6B" w:rsidRDefault="006B1E7F">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B07B6B" w:rsidRDefault="00B07B6B">
            <w:pPr>
              <w:rPr>
                <w:sz w:val="20"/>
                <w:szCs w:val="20"/>
                <w:lang w:eastAsia="sk-SK"/>
              </w:rPr>
            </w:pPr>
            <w:r>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B07B6B" w:rsidRDefault="00B07B6B">
                <w:pPr>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B07B6B" w:rsidRDefault="00B07B6B">
            <w:pPr>
              <w:ind w:left="54"/>
              <w:rPr>
                <w:sz w:val="20"/>
                <w:szCs w:val="20"/>
                <w:lang w:eastAsia="sk-SK"/>
              </w:rPr>
            </w:pPr>
            <w:r>
              <w:rPr>
                <w:sz w:val="20"/>
                <w:szCs w:val="20"/>
                <w:lang w:eastAsia="sk-SK"/>
              </w:rPr>
              <w:t>Negatívne</w:t>
            </w:r>
          </w:p>
        </w:tc>
        <w:bookmarkStart w:id="0" w:name="_GoBack"/>
        <w:bookmarkEnd w:id="0"/>
      </w:tr>
      <w:tr w:rsidR="00B07B6B" w:rsidTr="00B07B6B">
        <w:tc>
          <w:tcPr>
            <w:tcW w:w="3812" w:type="dxa"/>
            <w:tcBorders>
              <w:top w:val="nil"/>
              <w:left w:val="single" w:sz="4" w:space="0" w:color="auto"/>
              <w:bottom w:val="single" w:sz="4" w:space="0" w:color="auto"/>
              <w:right w:val="single" w:sz="4" w:space="0" w:color="auto"/>
            </w:tcBorders>
            <w:shd w:val="clear" w:color="auto" w:fill="E2E2E2"/>
            <w:hideMark/>
          </w:tcPr>
          <w:p w:rsidR="00B07B6B" w:rsidRDefault="00B07B6B">
            <w:pPr>
              <w:rPr>
                <w:sz w:val="20"/>
                <w:szCs w:val="20"/>
                <w:lang w:eastAsia="sk-SK"/>
              </w:rPr>
            </w:pPr>
            <w:r>
              <w:rPr>
                <w:sz w:val="20"/>
                <w:szCs w:val="20"/>
                <w:lang w:eastAsia="sk-SK"/>
              </w:rPr>
              <w:t xml:space="preserve">    Mechanizmus znižovania byrokracie    </w:t>
            </w:r>
          </w:p>
          <w:p w:rsidR="00B07B6B" w:rsidRDefault="00B07B6B">
            <w:pPr>
              <w:rPr>
                <w:b/>
                <w:sz w:val="20"/>
                <w:szCs w:val="20"/>
                <w:lang w:eastAsia="sk-SK"/>
              </w:rPr>
            </w:pPr>
            <w:r>
              <w:rPr>
                <w:sz w:val="20"/>
                <w:szCs w:val="20"/>
                <w:lang w:eastAsia="sk-SK"/>
              </w:rPr>
              <w:t xml:space="preserve">    a nákladov sa uplatňuje:</w:t>
            </w:r>
          </w:p>
        </w:tc>
        <w:sdt>
          <w:sdtPr>
            <w:rPr>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hideMark/>
          </w:tcPr>
          <w:p w:rsidR="00B07B6B" w:rsidRDefault="00B07B6B">
            <w:pPr>
              <w:ind w:right="-108"/>
              <w:rPr>
                <w:b/>
                <w:sz w:val="20"/>
                <w:szCs w:val="20"/>
                <w:lang w:eastAsia="sk-SK"/>
              </w:rPr>
            </w:pPr>
            <w:r>
              <w:rPr>
                <w:sz w:val="20"/>
                <w:szCs w:val="20"/>
                <w:lang w:eastAsia="sk-SK"/>
              </w:rPr>
              <w:t>Áno</w:t>
            </w:r>
          </w:p>
        </w:tc>
        <w:tc>
          <w:tcPr>
            <w:tcW w:w="254" w:type="dxa"/>
            <w:tcBorders>
              <w:top w:val="dotted" w:sz="4" w:space="0" w:color="auto"/>
              <w:left w:val="nil"/>
              <w:bottom w:val="single" w:sz="4" w:space="0" w:color="auto"/>
              <w:right w:val="nil"/>
            </w:tcBorders>
            <w:vAlign w:val="center"/>
          </w:tcPr>
          <w:p w:rsidR="00B07B6B" w:rsidRDefault="00B07B6B">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rsidR="00B07B6B" w:rsidRDefault="00B07B6B">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B07B6B" w:rsidRDefault="00B07B6B">
            <w:pPr>
              <w:ind w:left="54"/>
              <w:rPr>
                <w:b/>
                <w:sz w:val="20"/>
                <w:szCs w:val="20"/>
                <w:lang w:eastAsia="sk-SK"/>
              </w:rPr>
            </w:pPr>
            <w:r>
              <w:rPr>
                <w:sz w:val="20"/>
                <w:szCs w:val="20"/>
                <w:lang w:eastAsia="sk-SK"/>
              </w:rPr>
              <w:t>Nie</w:t>
            </w:r>
          </w:p>
        </w:tc>
      </w:tr>
      <w:tr w:rsidR="00B07B6B" w:rsidTr="00B07B6B">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B07B6B" w:rsidRDefault="00B07B6B">
            <w:pPr>
              <w:rPr>
                <w:b/>
                <w:sz w:val="20"/>
                <w:szCs w:val="20"/>
                <w:lang w:eastAsia="sk-SK"/>
              </w:rPr>
            </w:pPr>
            <w:r>
              <w:rPr>
                <w:b/>
                <w:sz w:val="20"/>
                <w:szCs w:val="20"/>
                <w:lang w:eastAsia="sk-SK"/>
              </w:rPr>
              <w:t>Sociálne vplyvy</w:t>
            </w:r>
          </w:p>
        </w:tc>
        <w:sdt>
          <w:sdtPr>
            <w:rPr>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07B6B" w:rsidRDefault="009964F4">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B07B6B" w:rsidRDefault="00B07B6B">
            <w:pPr>
              <w:ind w:right="-108"/>
              <w:rPr>
                <w:b/>
                <w:sz w:val="20"/>
                <w:szCs w:val="20"/>
                <w:lang w:eastAsia="sk-SK"/>
              </w:rPr>
            </w:pPr>
            <w:r>
              <w:rPr>
                <w:b/>
                <w:sz w:val="20"/>
                <w:szCs w:val="20"/>
                <w:lang w:eastAsia="sk-SK"/>
              </w:rPr>
              <w:t>Pozitívne</w:t>
            </w:r>
          </w:p>
        </w:tc>
        <w:sdt>
          <w:sdtPr>
            <w:rPr>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B07B6B" w:rsidRDefault="00B07B6B">
            <w:pPr>
              <w:rPr>
                <w:b/>
                <w:sz w:val="20"/>
                <w:szCs w:val="20"/>
                <w:lang w:eastAsia="sk-SK"/>
              </w:rPr>
            </w:pPr>
            <w:r>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B07B6B" w:rsidRDefault="00B07B6B">
            <w:pPr>
              <w:ind w:left="54"/>
              <w:rPr>
                <w:b/>
                <w:sz w:val="20"/>
                <w:szCs w:val="20"/>
                <w:lang w:eastAsia="sk-SK"/>
              </w:rPr>
            </w:pPr>
            <w:r>
              <w:rPr>
                <w:b/>
                <w:sz w:val="20"/>
                <w:szCs w:val="20"/>
                <w:lang w:eastAsia="sk-SK"/>
              </w:rPr>
              <w:t>Negatívne</w:t>
            </w:r>
          </w:p>
        </w:tc>
      </w:tr>
      <w:tr w:rsidR="00B07B6B" w:rsidTr="00B07B6B">
        <w:tc>
          <w:tcPr>
            <w:tcW w:w="3812" w:type="dxa"/>
            <w:tcBorders>
              <w:top w:val="single" w:sz="4" w:space="0" w:color="auto"/>
              <w:left w:val="single" w:sz="4" w:space="0" w:color="auto"/>
              <w:bottom w:val="nil"/>
              <w:right w:val="single" w:sz="4" w:space="0" w:color="auto"/>
            </w:tcBorders>
            <w:shd w:val="clear" w:color="auto" w:fill="E2E2E2"/>
            <w:hideMark/>
          </w:tcPr>
          <w:p w:rsidR="00B07B6B" w:rsidRDefault="00B07B6B">
            <w:pPr>
              <w:rPr>
                <w:b/>
                <w:sz w:val="20"/>
                <w:szCs w:val="20"/>
                <w:lang w:eastAsia="sk-SK"/>
              </w:rPr>
            </w:pPr>
            <w:r>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B07B6B" w:rsidRDefault="00B07B6B">
            <w:pPr>
              <w:ind w:right="-108"/>
              <w:rPr>
                <w:b/>
                <w:sz w:val="20"/>
                <w:szCs w:val="20"/>
                <w:lang w:eastAsia="sk-SK"/>
              </w:rPr>
            </w:pPr>
            <w:r>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B07B6B" w:rsidRDefault="009964F4">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B07B6B" w:rsidRDefault="00B07B6B">
            <w:pPr>
              <w:rPr>
                <w:b/>
                <w:sz w:val="20"/>
                <w:szCs w:val="20"/>
                <w:lang w:eastAsia="sk-SK"/>
              </w:rPr>
            </w:pPr>
            <w:r>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B07B6B" w:rsidRDefault="00B07B6B">
            <w:pPr>
              <w:ind w:left="54"/>
              <w:rPr>
                <w:b/>
                <w:sz w:val="20"/>
                <w:szCs w:val="20"/>
                <w:lang w:eastAsia="sk-SK"/>
              </w:rPr>
            </w:pPr>
            <w:r>
              <w:rPr>
                <w:b/>
                <w:sz w:val="20"/>
                <w:szCs w:val="20"/>
                <w:lang w:eastAsia="sk-SK"/>
              </w:rPr>
              <w:t>Negatívne</w:t>
            </w:r>
          </w:p>
        </w:tc>
      </w:tr>
      <w:tr w:rsidR="00B07B6B" w:rsidTr="00B07B6B">
        <w:tc>
          <w:tcPr>
            <w:tcW w:w="3812" w:type="dxa"/>
            <w:tcBorders>
              <w:top w:val="nil"/>
              <w:left w:val="single" w:sz="4" w:space="0" w:color="auto"/>
              <w:bottom w:val="single" w:sz="4" w:space="0" w:color="auto"/>
              <w:right w:val="single" w:sz="4" w:space="0" w:color="auto"/>
            </w:tcBorders>
            <w:shd w:val="clear" w:color="auto" w:fill="E2E2E2"/>
          </w:tcPr>
          <w:p w:rsidR="00B07B6B" w:rsidRDefault="00B07B6B">
            <w:pPr>
              <w:rPr>
                <w:sz w:val="20"/>
                <w:szCs w:val="20"/>
                <w:lang w:eastAsia="sk-SK"/>
              </w:rPr>
            </w:pPr>
          </w:p>
          <w:p w:rsidR="00B07B6B" w:rsidRDefault="00B07B6B">
            <w:pPr>
              <w:ind w:left="164"/>
              <w:rPr>
                <w:b/>
                <w:sz w:val="20"/>
                <w:szCs w:val="20"/>
                <w:lang w:eastAsia="sk-SK"/>
              </w:rPr>
            </w:pPr>
            <w:r>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B07B6B" w:rsidRDefault="00B07B6B">
            <w:pPr>
              <w:ind w:right="-108"/>
              <w:rPr>
                <w:b/>
                <w:sz w:val="20"/>
                <w:szCs w:val="20"/>
                <w:lang w:eastAsia="sk-SK"/>
              </w:rPr>
            </w:pPr>
            <w:r>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B07B6B" w:rsidRDefault="00B07B6B">
            <w:pPr>
              <w:jc w:val="center"/>
              <w:rPr>
                <w:b/>
                <w:sz w:val="20"/>
                <w:szCs w:val="20"/>
                <w:lang w:eastAsia="sk-SK"/>
              </w:rPr>
            </w:pPr>
          </w:p>
        </w:tc>
        <w:tc>
          <w:tcPr>
            <w:tcW w:w="1133" w:type="dxa"/>
            <w:tcBorders>
              <w:top w:val="single" w:sz="4" w:space="0" w:color="auto"/>
              <w:left w:val="nil"/>
              <w:bottom w:val="single" w:sz="4" w:space="0" w:color="auto"/>
              <w:right w:val="nil"/>
            </w:tcBorders>
            <w:vAlign w:val="center"/>
          </w:tcPr>
          <w:p w:rsidR="00B07B6B" w:rsidRDefault="00B07B6B">
            <w:pPr>
              <w:jc w:val="center"/>
              <w:rPr>
                <w:b/>
                <w:sz w:val="20"/>
                <w:szCs w:val="20"/>
                <w:lang w:eastAsia="sk-SK"/>
              </w:rPr>
            </w:pPr>
          </w:p>
        </w:tc>
        <w:sdt>
          <w:sdtPr>
            <w:rPr>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rsidR="00B07B6B" w:rsidRDefault="008C2E60">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B07B6B" w:rsidRDefault="00B07B6B">
            <w:pPr>
              <w:ind w:left="54"/>
              <w:rPr>
                <w:b/>
                <w:sz w:val="20"/>
                <w:szCs w:val="20"/>
                <w:lang w:eastAsia="sk-SK"/>
              </w:rPr>
            </w:pPr>
            <w:r>
              <w:rPr>
                <w:sz w:val="20"/>
                <w:szCs w:val="20"/>
                <w:lang w:eastAsia="sk-SK"/>
              </w:rPr>
              <w:t>Nie</w:t>
            </w:r>
          </w:p>
        </w:tc>
      </w:tr>
      <w:tr w:rsidR="00B07B6B" w:rsidTr="00B07B6B">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07B6B" w:rsidRDefault="00B07B6B">
            <w:pPr>
              <w:rPr>
                <w:b/>
                <w:sz w:val="20"/>
                <w:szCs w:val="20"/>
                <w:lang w:eastAsia="sk-SK"/>
              </w:rPr>
            </w:pPr>
            <w:r>
              <w:rPr>
                <w:b/>
                <w:sz w:val="20"/>
                <w:szCs w:val="20"/>
                <w:lang w:eastAsia="sk-SK"/>
              </w:rPr>
              <w:t>Vplyvy na informatizáciu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B07B6B" w:rsidRDefault="00B07B6B">
            <w:pPr>
              <w:ind w:right="-108"/>
              <w:rPr>
                <w:b/>
                <w:sz w:val="20"/>
                <w:szCs w:val="20"/>
                <w:lang w:eastAsia="sk-SK"/>
              </w:rPr>
            </w:pPr>
            <w:r>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B07B6B" w:rsidRDefault="009964F4">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B07B6B" w:rsidRDefault="00B07B6B">
            <w:pPr>
              <w:rPr>
                <w:b/>
                <w:sz w:val="20"/>
                <w:szCs w:val="20"/>
                <w:lang w:eastAsia="sk-SK"/>
              </w:rPr>
            </w:pPr>
            <w:r>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B07B6B" w:rsidRDefault="00B07B6B">
            <w:pPr>
              <w:ind w:left="54"/>
              <w:rPr>
                <w:b/>
                <w:sz w:val="20"/>
                <w:szCs w:val="20"/>
                <w:lang w:eastAsia="sk-SK"/>
              </w:rPr>
            </w:pPr>
            <w:r>
              <w:rPr>
                <w:b/>
                <w:sz w:val="20"/>
                <w:szCs w:val="20"/>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07B6B" w:rsidTr="00B07B6B">
        <w:tc>
          <w:tcPr>
            <w:tcW w:w="3812" w:type="dxa"/>
            <w:tcBorders>
              <w:top w:val="single" w:sz="4" w:space="0" w:color="auto"/>
              <w:left w:val="single" w:sz="4" w:space="0" w:color="auto"/>
              <w:bottom w:val="nil"/>
              <w:right w:val="single" w:sz="4" w:space="0" w:color="auto"/>
            </w:tcBorders>
            <w:shd w:val="clear" w:color="auto" w:fill="E2E2E2"/>
            <w:hideMark/>
          </w:tcPr>
          <w:p w:rsidR="00B07B6B" w:rsidRDefault="00B07B6B">
            <w:pPr>
              <w:rPr>
                <w:b/>
                <w:sz w:val="20"/>
                <w:szCs w:val="20"/>
                <w:lang w:eastAsia="sk-SK"/>
              </w:rPr>
            </w:pPr>
            <w:r>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tcPr>
          <w:p w:rsidR="00B07B6B" w:rsidRDefault="00B07B6B">
            <w:pPr>
              <w:jc w:val="center"/>
              <w:rPr>
                <w:rFonts w:eastAsia="MS Mincho"/>
                <w:b/>
                <w:sz w:val="20"/>
                <w:szCs w:val="20"/>
                <w:lang w:eastAsia="sk-SK"/>
              </w:rPr>
            </w:pPr>
          </w:p>
        </w:tc>
        <w:tc>
          <w:tcPr>
            <w:tcW w:w="1281" w:type="dxa"/>
            <w:tcBorders>
              <w:top w:val="single" w:sz="4" w:space="0" w:color="auto"/>
              <w:left w:val="nil"/>
              <w:bottom w:val="nil"/>
              <w:right w:val="nil"/>
            </w:tcBorders>
          </w:tcPr>
          <w:p w:rsidR="00B07B6B" w:rsidRDefault="00B07B6B">
            <w:pPr>
              <w:ind w:right="-108"/>
              <w:rPr>
                <w:b/>
                <w:sz w:val="20"/>
                <w:szCs w:val="20"/>
                <w:lang w:eastAsia="sk-SK"/>
              </w:rPr>
            </w:pPr>
          </w:p>
        </w:tc>
        <w:tc>
          <w:tcPr>
            <w:tcW w:w="569" w:type="dxa"/>
            <w:gridSpan w:val="2"/>
            <w:tcBorders>
              <w:top w:val="single" w:sz="4" w:space="0" w:color="auto"/>
              <w:left w:val="nil"/>
              <w:bottom w:val="nil"/>
              <w:right w:val="nil"/>
            </w:tcBorders>
          </w:tcPr>
          <w:p w:rsidR="00B07B6B" w:rsidRDefault="00B07B6B">
            <w:pPr>
              <w:jc w:val="center"/>
              <w:rPr>
                <w:rFonts w:eastAsia="MS Mincho"/>
                <w:b/>
                <w:sz w:val="20"/>
                <w:szCs w:val="20"/>
                <w:lang w:eastAsia="sk-SK"/>
              </w:rPr>
            </w:pPr>
          </w:p>
        </w:tc>
        <w:tc>
          <w:tcPr>
            <w:tcW w:w="1133" w:type="dxa"/>
            <w:tcBorders>
              <w:top w:val="single" w:sz="4" w:space="0" w:color="auto"/>
              <w:left w:val="nil"/>
              <w:bottom w:val="nil"/>
              <w:right w:val="nil"/>
            </w:tcBorders>
          </w:tcPr>
          <w:p w:rsidR="00B07B6B" w:rsidRDefault="00B07B6B">
            <w:pPr>
              <w:rPr>
                <w:b/>
                <w:sz w:val="20"/>
                <w:szCs w:val="20"/>
                <w:lang w:eastAsia="sk-SK"/>
              </w:rPr>
            </w:pPr>
          </w:p>
        </w:tc>
        <w:tc>
          <w:tcPr>
            <w:tcW w:w="547" w:type="dxa"/>
            <w:tcBorders>
              <w:top w:val="single" w:sz="4" w:space="0" w:color="auto"/>
              <w:left w:val="nil"/>
              <w:bottom w:val="nil"/>
              <w:right w:val="nil"/>
            </w:tcBorders>
          </w:tcPr>
          <w:p w:rsidR="00B07B6B" w:rsidRDefault="00B07B6B">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tcPr>
          <w:p w:rsidR="00B07B6B" w:rsidRDefault="00B07B6B">
            <w:pPr>
              <w:ind w:left="54"/>
              <w:rPr>
                <w:b/>
                <w:sz w:val="20"/>
                <w:szCs w:val="20"/>
                <w:lang w:eastAsia="sk-SK"/>
              </w:rPr>
            </w:pPr>
          </w:p>
        </w:tc>
      </w:tr>
      <w:tr w:rsidR="00B07B6B" w:rsidTr="00B07B6B">
        <w:tc>
          <w:tcPr>
            <w:tcW w:w="3812" w:type="dxa"/>
            <w:tcBorders>
              <w:top w:val="nil"/>
              <w:left w:val="single" w:sz="4" w:space="0" w:color="auto"/>
              <w:bottom w:val="nil"/>
              <w:right w:val="single" w:sz="4" w:space="0" w:color="auto"/>
            </w:tcBorders>
            <w:shd w:val="clear" w:color="auto" w:fill="E2E2E2"/>
            <w:hideMark/>
          </w:tcPr>
          <w:p w:rsidR="00B07B6B" w:rsidRDefault="00B07B6B">
            <w:pPr>
              <w:ind w:left="196" w:hanging="196"/>
              <w:rPr>
                <w:rFonts w:eastAsia="Calibri"/>
                <w:b/>
                <w:sz w:val="20"/>
                <w:szCs w:val="20"/>
                <w:lang w:eastAsia="en-US"/>
              </w:rPr>
            </w:pPr>
            <w:r>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hideMark/>
          </w:tcPr>
          <w:p w:rsidR="00B07B6B" w:rsidRDefault="00B07B6B">
            <w:pPr>
              <w:ind w:right="-108"/>
              <w:rPr>
                <w:b/>
                <w:sz w:val="20"/>
                <w:szCs w:val="20"/>
                <w:lang w:eastAsia="sk-SK"/>
              </w:rPr>
            </w:pPr>
            <w:r>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hideMark/>
              </w:tcPr>
              <w:p w:rsidR="00B07B6B" w:rsidRDefault="009964F4">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hideMark/>
          </w:tcPr>
          <w:p w:rsidR="00B07B6B" w:rsidRDefault="00B07B6B">
            <w:pPr>
              <w:rPr>
                <w:b/>
                <w:sz w:val="20"/>
                <w:szCs w:val="20"/>
                <w:lang w:eastAsia="sk-SK"/>
              </w:rPr>
            </w:pPr>
            <w:r>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hideMark/>
          </w:tcPr>
          <w:p w:rsidR="00B07B6B" w:rsidRDefault="00B07B6B">
            <w:pPr>
              <w:ind w:left="54"/>
              <w:rPr>
                <w:b/>
                <w:sz w:val="20"/>
                <w:szCs w:val="20"/>
                <w:lang w:eastAsia="sk-SK"/>
              </w:rPr>
            </w:pPr>
            <w:r>
              <w:rPr>
                <w:b/>
                <w:sz w:val="20"/>
                <w:szCs w:val="20"/>
                <w:lang w:eastAsia="sk-SK"/>
              </w:rPr>
              <w:t>Negatívne</w:t>
            </w:r>
          </w:p>
        </w:tc>
      </w:tr>
      <w:tr w:rsidR="00B07B6B" w:rsidTr="00B07B6B">
        <w:tc>
          <w:tcPr>
            <w:tcW w:w="3812" w:type="dxa"/>
            <w:tcBorders>
              <w:top w:val="nil"/>
              <w:left w:val="single" w:sz="4" w:space="0" w:color="auto"/>
              <w:bottom w:val="nil"/>
              <w:right w:val="single" w:sz="4" w:space="0" w:color="auto"/>
            </w:tcBorders>
            <w:shd w:val="clear" w:color="auto" w:fill="E2E2E2"/>
            <w:hideMark/>
          </w:tcPr>
          <w:p w:rsidR="00B07B6B" w:rsidRDefault="00B07B6B">
            <w:pPr>
              <w:ind w:left="168" w:hanging="168"/>
              <w:rPr>
                <w:rFonts w:eastAsia="Calibri"/>
                <w:b/>
                <w:sz w:val="20"/>
                <w:szCs w:val="20"/>
                <w:lang w:eastAsia="en-US"/>
              </w:rPr>
            </w:pPr>
            <w:r>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B07B6B" w:rsidRDefault="00B07B6B">
            <w:pPr>
              <w:ind w:right="-108"/>
              <w:rPr>
                <w:b/>
                <w:sz w:val="20"/>
                <w:szCs w:val="20"/>
                <w:lang w:eastAsia="sk-SK"/>
              </w:rPr>
            </w:pPr>
            <w:r>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hideMark/>
              </w:tcPr>
              <w:p w:rsidR="00B07B6B" w:rsidRDefault="009964F4">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B07B6B" w:rsidRDefault="00B07B6B">
            <w:pPr>
              <w:rPr>
                <w:b/>
                <w:sz w:val="20"/>
                <w:szCs w:val="20"/>
                <w:lang w:eastAsia="sk-SK"/>
              </w:rPr>
            </w:pPr>
            <w:r>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B07B6B" w:rsidRDefault="00B07B6B">
            <w:pPr>
              <w:ind w:left="54"/>
              <w:rPr>
                <w:b/>
                <w:sz w:val="20"/>
                <w:szCs w:val="20"/>
                <w:lang w:eastAsia="sk-SK"/>
              </w:rPr>
            </w:pPr>
            <w:r>
              <w:rPr>
                <w:b/>
                <w:sz w:val="20"/>
                <w:szCs w:val="20"/>
                <w:lang w:eastAsia="sk-SK"/>
              </w:rPr>
              <w:t>Negatívne</w:t>
            </w:r>
          </w:p>
        </w:tc>
      </w:tr>
    </w:tbl>
    <w:tbl>
      <w:tblPr>
        <w:tblStyle w:val="Mriekatabuky1"/>
        <w:tblW w:w="0" w:type="dxa"/>
        <w:tblInd w:w="0" w:type="dxa"/>
        <w:tblLayout w:type="fixed"/>
        <w:tblLook w:val="04A0" w:firstRow="1" w:lastRow="0" w:firstColumn="1" w:lastColumn="0" w:noHBand="0" w:noVBand="1"/>
      </w:tblPr>
      <w:tblGrid>
        <w:gridCol w:w="3812"/>
        <w:gridCol w:w="541"/>
        <w:gridCol w:w="1312"/>
        <w:gridCol w:w="538"/>
        <w:gridCol w:w="1133"/>
        <w:gridCol w:w="547"/>
        <w:gridCol w:w="1297"/>
      </w:tblGrid>
      <w:tr w:rsidR="00B07B6B" w:rsidTr="00B07B6B">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B07B6B" w:rsidRDefault="00B07B6B">
            <w:pPr>
              <w:rPr>
                <w:b/>
                <w:sz w:val="20"/>
                <w:szCs w:val="20"/>
                <w:lang w:eastAsia="sk-SK"/>
              </w:rPr>
            </w:pPr>
            <w:r>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hideMark/>
          </w:tcPr>
          <w:p w:rsidR="00B07B6B" w:rsidRDefault="00B07B6B">
            <w:pPr>
              <w:ind w:right="-108"/>
              <w:rPr>
                <w:b/>
                <w:sz w:val="20"/>
                <w:szCs w:val="20"/>
                <w:lang w:eastAsia="sk-SK"/>
              </w:rPr>
            </w:pPr>
            <w:r>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hideMark/>
              </w:tcPr>
              <w:p w:rsidR="00B07B6B" w:rsidRDefault="009964F4">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rsidR="00B07B6B" w:rsidRDefault="00B07B6B">
            <w:pPr>
              <w:rPr>
                <w:b/>
                <w:sz w:val="20"/>
                <w:szCs w:val="20"/>
                <w:lang w:eastAsia="sk-SK"/>
              </w:rPr>
            </w:pPr>
            <w:r>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hideMark/>
              </w:tcPr>
              <w:p w:rsidR="00B07B6B" w:rsidRDefault="00B07B6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B07B6B" w:rsidRDefault="00B07B6B">
            <w:pPr>
              <w:ind w:left="54"/>
              <w:rPr>
                <w:b/>
                <w:sz w:val="20"/>
                <w:szCs w:val="20"/>
                <w:lang w:eastAsia="sk-SK"/>
              </w:rPr>
            </w:pPr>
            <w:r>
              <w:rPr>
                <w:b/>
                <w:sz w:val="20"/>
                <w:szCs w:val="20"/>
                <w:lang w:eastAsia="sk-SK"/>
              </w:rPr>
              <w:t>Negatívne</w:t>
            </w:r>
          </w:p>
        </w:tc>
      </w:tr>
    </w:tbl>
    <w:p w:rsidR="00B07B6B" w:rsidRDefault="00B07B6B" w:rsidP="00B07B6B">
      <w:pPr>
        <w:ind w:right="141"/>
        <w:rPr>
          <w:b/>
          <w:sz w:val="20"/>
          <w:szCs w:val="20"/>
          <w:lang w:eastAsia="sk-SK"/>
        </w:rPr>
      </w:pPr>
    </w:p>
    <w:tbl>
      <w:tblPr>
        <w:tblStyle w:val="Mriekatabuky1"/>
        <w:tblW w:w="0" w:type="dxa"/>
        <w:tblInd w:w="0" w:type="dxa"/>
        <w:tblLayout w:type="fixed"/>
        <w:tblLook w:val="04A0" w:firstRow="1" w:lastRow="0" w:firstColumn="1" w:lastColumn="0" w:noHBand="0" w:noVBand="1"/>
      </w:tblPr>
      <w:tblGrid>
        <w:gridCol w:w="9176"/>
      </w:tblGrid>
      <w:tr w:rsidR="00B07B6B" w:rsidTr="00B07B6B">
        <w:tc>
          <w:tcPr>
            <w:tcW w:w="9176" w:type="dxa"/>
            <w:tcBorders>
              <w:top w:val="single" w:sz="4" w:space="0" w:color="auto"/>
              <w:left w:val="single" w:sz="4" w:space="0" w:color="auto"/>
              <w:bottom w:val="nil"/>
              <w:right w:val="single" w:sz="4" w:space="0" w:color="auto"/>
            </w:tcBorders>
            <w:shd w:val="clear" w:color="auto" w:fill="E2E2E2"/>
            <w:hideMark/>
          </w:tcPr>
          <w:p w:rsidR="00B07B6B" w:rsidRDefault="00B07B6B" w:rsidP="00B07B6B">
            <w:pPr>
              <w:numPr>
                <w:ilvl w:val="0"/>
                <w:numId w:val="3"/>
              </w:numPr>
              <w:ind w:left="426"/>
              <w:contextualSpacing/>
              <w:rPr>
                <w:rFonts w:eastAsia="Calibri"/>
                <w:b/>
                <w:sz w:val="22"/>
                <w:szCs w:val="22"/>
                <w:lang w:eastAsia="en-US"/>
              </w:rPr>
            </w:pPr>
            <w:r>
              <w:rPr>
                <w:rFonts w:eastAsia="Calibri"/>
                <w:b/>
              </w:rPr>
              <w:t>Poznámky</w:t>
            </w:r>
          </w:p>
        </w:tc>
      </w:tr>
      <w:tr w:rsidR="00B07B6B" w:rsidTr="00B07B6B">
        <w:trPr>
          <w:trHeight w:val="713"/>
        </w:trPr>
        <w:tc>
          <w:tcPr>
            <w:tcW w:w="9176" w:type="dxa"/>
            <w:tcBorders>
              <w:top w:val="nil"/>
              <w:left w:val="single" w:sz="4" w:space="0" w:color="auto"/>
              <w:bottom w:val="single" w:sz="4" w:space="0" w:color="FFFFFF"/>
              <w:right w:val="single" w:sz="4" w:space="0" w:color="auto"/>
            </w:tcBorders>
          </w:tcPr>
          <w:p w:rsidR="00B07B6B" w:rsidRDefault="00B07B6B">
            <w:pPr>
              <w:jc w:val="both"/>
              <w:rPr>
                <w:i/>
                <w:sz w:val="20"/>
                <w:szCs w:val="20"/>
                <w:lang w:eastAsia="sk-SK"/>
              </w:rPr>
            </w:pPr>
            <w:r>
              <w:rPr>
                <w:i/>
                <w:sz w:val="20"/>
                <w:szCs w:val="20"/>
                <w:lang w:eastAsia="sk-SK"/>
              </w:rPr>
              <w:t xml:space="preserve">V prípade potreby uveďte doplňujúce informácie k identifikovaným vplyvom a ich analýzam. </w:t>
            </w:r>
          </w:p>
          <w:p w:rsidR="00B07B6B" w:rsidRDefault="00B07B6B">
            <w:pPr>
              <w:jc w:val="both"/>
              <w:rPr>
                <w:i/>
                <w:sz w:val="20"/>
                <w:szCs w:val="20"/>
                <w:lang w:eastAsia="sk-SK"/>
              </w:rPr>
            </w:pPr>
          </w:p>
          <w:p w:rsidR="00B07B6B" w:rsidRDefault="00B07B6B">
            <w:pPr>
              <w:jc w:val="both"/>
              <w:rPr>
                <w:i/>
                <w:sz w:val="20"/>
                <w:szCs w:val="20"/>
                <w:lang w:eastAsia="sk-SK"/>
              </w:rPr>
            </w:pPr>
            <w:r>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B07B6B" w:rsidRDefault="00B07B6B">
            <w:pPr>
              <w:jc w:val="both"/>
              <w:rPr>
                <w:i/>
                <w:sz w:val="20"/>
                <w:szCs w:val="20"/>
                <w:lang w:eastAsia="sk-SK"/>
              </w:rPr>
            </w:pPr>
          </w:p>
          <w:p w:rsidR="00B07B6B" w:rsidRDefault="00B07B6B">
            <w:pPr>
              <w:jc w:val="both"/>
              <w:rPr>
                <w:i/>
                <w:sz w:val="20"/>
                <w:szCs w:val="20"/>
                <w:lang w:eastAsia="sk-SK"/>
              </w:rPr>
            </w:pPr>
            <w:r>
              <w:rPr>
                <w:i/>
                <w:sz w:val="20"/>
                <w:szCs w:val="20"/>
                <w:lang w:eastAsia="sk-SK"/>
              </w:rPr>
              <w:t>Informácie v tejto časti slúžia na zhrnutie vplyvov alebo aj na vyjadrenie sa k marginálnym vplyvom a nie ako náhrada za vypracovanie príslušných analýz vybraných vplyvov.</w:t>
            </w:r>
          </w:p>
          <w:p w:rsidR="00B07B6B" w:rsidRDefault="00B07B6B">
            <w:pPr>
              <w:jc w:val="both"/>
              <w:rPr>
                <w:i/>
                <w:sz w:val="20"/>
                <w:szCs w:val="20"/>
                <w:lang w:eastAsia="sk-SK"/>
              </w:rPr>
            </w:pPr>
          </w:p>
          <w:p w:rsidR="00B07B6B" w:rsidRDefault="00B07B6B">
            <w:pPr>
              <w:jc w:val="both"/>
              <w:rPr>
                <w:i/>
                <w:sz w:val="20"/>
                <w:szCs w:val="20"/>
                <w:lang w:eastAsia="sk-SK"/>
              </w:rPr>
            </w:pPr>
            <w:r>
              <w:rPr>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B07B6B" w:rsidRDefault="00B07B6B">
            <w:pPr>
              <w:jc w:val="both"/>
              <w:rPr>
                <w:i/>
                <w:sz w:val="20"/>
                <w:szCs w:val="20"/>
                <w:lang w:eastAsia="sk-SK"/>
              </w:rPr>
            </w:pPr>
          </w:p>
          <w:p w:rsidR="00451244" w:rsidRDefault="00451244" w:rsidP="00451244">
            <w:pPr>
              <w:pStyle w:val="Default"/>
              <w:ind w:firstLine="708"/>
              <w:jc w:val="both"/>
              <w:rPr>
                <w:sz w:val="22"/>
                <w:szCs w:val="22"/>
              </w:rPr>
            </w:pPr>
            <w:r>
              <w:rPr>
                <w:rFonts w:eastAsia="Times New Roman"/>
                <w:i/>
                <w:sz w:val="20"/>
                <w:szCs w:val="20"/>
                <w:lang w:eastAsia="sk-SK"/>
              </w:rPr>
              <w:t>.</w:t>
            </w:r>
            <w:r>
              <w:t xml:space="preserve"> </w:t>
            </w:r>
            <w:r>
              <w:rPr>
                <w:sz w:val="22"/>
                <w:szCs w:val="22"/>
              </w:rPr>
              <w:t>Návrhom nariadenia vlády sa ustanovuje na rok 202</w:t>
            </w:r>
            <w:r w:rsidR="00CF4A4A">
              <w:rPr>
                <w:sz w:val="22"/>
                <w:szCs w:val="22"/>
              </w:rPr>
              <w:t>6</w:t>
            </w:r>
            <w:r>
              <w:rPr>
                <w:sz w:val="22"/>
                <w:szCs w:val="22"/>
              </w:rPr>
              <w:t xml:space="preserve"> výška finančného príspevku na poskytovanie sociálnej služby v</w:t>
            </w:r>
          </w:p>
          <w:p w:rsidR="00451244" w:rsidRDefault="00451244" w:rsidP="00451244">
            <w:pPr>
              <w:pStyle w:val="Default"/>
              <w:numPr>
                <w:ilvl w:val="0"/>
                <w:numId w:val="4"/>
              </w:numPr>
              <w:jc w:val="both"/>
              <w:rPr>
                <w:sz w:val="22"/>
                <w:szCs w:val="22"/>
              </w:rPr>
            </w:pPr>
            <w:r>
              <w:rPr>
                <w:sz w:val="22"/>
                <w:szCs w:val="22"/>
              </w:rPr>
              <w:t>zariadeniach sociálnych služieb pre fyzické osoby, ktoré sú odkázané na pomoc inej fyzickej osoby, a pre fyzické osoby, ktoré dovŕšili vek potrebný na nárok na starobný dôchodok (zariadenia podmienené odkázanosťou)  - zariadenie podporovaného bývania, zariadenie pre seniorov, zariadenie opatrovateľskej služby, rehabilitačné stredisko, domov sociálnych služieb, špecializované zariadenie, denný stacionár – ak je poskytovateľom tejto sociálnej služby v týchto zariadeniach obec alebo obcou zriadená alebo založená právnická osoba alebo neverejný poskytovateľ tejto sociálnej služby v týchto zariadeniach),</w:t>
            </w:r>
          </w:p>
          <w:p w:rsidR="00451244" w:rsidRDefault="00451244" w:rsidP="00451244">
            <w:pPr>
              <w:pStyle w:val="Default"/>
              <w:numPr>
                <w:ilvl w:val="0"/>
                <w:numId w:val="4"/>
              </w:numPr>
              <w:jc w:val="both"/>
              <w:rPr>
                <w:sz w:val="22"/>
                <w:szCs w:val="22"/>
              </w:rPr>
            </w:pPr>
            <w:r>
              <w:rPr>
                <w:sz w:val="22"/>
                <w:szCs w:val="22"/>
              </w:rPr>
              <w:t xml:space="preserve">zariadeniach krízovej intervencie (nocľaháreň, útulok, domov na polceste, zariadenie núdzového bývania, ak je poskytovateľom tejto sociálnej služby v týchto zariadeniach obec lebo obcou zriadená alebo založená právnická osoba), </w:t>
            </w:r>
          </w:p>
          <w:p w:rsidR="00451244" w:rsidRDefault="00451244" w:rsidP="00451244">
            <w:pPr>
              <w:pStyle w:val="Default"/>
              <w:numPr>
                <w:ilvl w:val="0"/>
                <w:numId w:val="4"/>
              </w:numPr>
              <w:jc w:val="both"/>
              <w:rPr>
                <w:sz w:val="22"/>
                <w:szCs w:val="22"/>
              </w:rPr>
            </w:pPr>
            <w:r>
              <w:rPr>
                <w:sz w:val="22"/>
                <w:szCs w:val="22"/>
              </w:rPr>
              <w:t xml:space="preserve">nocľahárni, ak je poskytovateľom sociálnej služby v nocľahárni neverejný poskytovateľ tejto sociálnej služby. </w:t>
            </w:r>
          </w:p>
          <w:p w:rsidR="00451244" w:rsidRDefault="00451244" w:rsidP="00451244">
            <w:pPr>
              <w:pStyle w:val="Default"/>
              <w:ind w:left="720"/>
              <w:jc w:val="both"/>
              <w:rPr>
                <w:sz w:val="22"/>
                <w:szCs w:val="22"/>
              </w:rPr>
            </w:pPr>
          </w:p>
          <w:p w:rsidR="00415E00" w:rsidRDefault="00415E00" w:rsidP="00415E00">
            <w:pPr>
              <w:jc w:val="both"/>
              <w:rPr>
                <w:lang w:eastAsia="en-US"/>
              </w:rPr>
            </w:pPr>
            <w:r>
              <w:lastRenderedPageBreak/>
              <w:t xml:space="preserve">Vplyv na výdavkovú časť štátneho rozpočtu  sa očakáva v dôsledku zvýšenia finančného príspevku na  poskytovanie sociálnej služby v zariadeniach podmienených odkázanosťou, ktorého výška je odvodená od medziročného navýšenia minimálnej mzdy v spojitosti so súvisiacou nákladovosťou služby a účelovým určením finančného príspevku na pokrytie časti nákladov na mzdy, platy a ostatné osobné vyrovnania zamestnancov poskytovateľa sociálnych služieb  najviac vo výške, ktorá zodpovedá výške platu a ostatných osobných vyrovnaní podľa osobitného predpisu a poistnému na verejné zdravotné poistenie, poistnému na sociálne poistenie a povinným príspevkom na starobné dôchodkové sporenie platené zamestnávateľom v rozsahu týchto miezd, platov v konkrétnom zariadení sociálnych služieb. </w:t>
            </w:r>
          </w:p>
          <w:p w:rsidR="00415E00" w:rsidRDefault="00415E00" w:rsidP="00415E00">
            <w:pPr>
              <w:jc w:val="both"/>
              <w:rPr>
                <w:rFonts w:eastAsia="Calibri"/>
                <w:i/>
                <w:kern w:val="3"/>
              </w:rPr>
            </w:pPr>
          </w:p>
          <w:p w:rsidR="00415E00" w:rsidRDefault="00415E00" w:rsidP="00415E00">
            <w:pPr>
              <w:jc w:val="both"/>
              <w:rPr>
                <w:rFonts w:eastAsiaTheme="minorHAnsi"/>
                <w:color w:val="000000"/>
              </w:rPr>
            </w:pPr>
            <w:r>
              <w:rPr>
                <w:color w:val="000000"/>
              </w:rPr>
              <w:t>Navrhuje sa  výška finančného príspevku na mesiac na miesto v zariadení ako násobok mesačnej minimálnej mzdy (</w:t>
            </w:r>
            <w:r w:rsidR="00CF4A4A">
              <w:rPr>
                <w:color w:val="000000"/>
              </w:rPr>
              <w:t>816</w:t>
            </w:r>
            <w:r>
              <w:rPr>
                <w:color w:val="000000"/>
              </w:rPr>
              <w:t xml:space="preserve"> eur v roku 202</w:t>
            </w:r>
            <w:r w:rsidR="00CF4A4A">
              <w:rPr>
                <w:color w:val="000000"/>
              </w:rPr>
              <w:t>5</w:t>
            </w:r>
            <w:r>
              <w:rPr>
                <w:color w:val="000000"/>
              </w:rPr>
              <w:t xml:space="preserve">) pri jednotlivých stupňoch odkázanosti, a to konkrétne 0,25 násobku minimálnej mzdy pri II. stupni odkázanosti, 0,5 násobku minimálnej mzdy pri III. stupni odkázanosti, 0,65 násobku minimálnej mzdy pri IV. stupni odkázanosti, 0,9 </w:t>
            </w:r>
            <w:r w:rsidR="00CF4A4A">
              <w:rPr>
                <w:color w:val="000000"/>
              </w:rPr>
              <w:t xml:space="preserve">násobku minimálnej mzdy </w:t>
            </w:r>
            <w:r>
              <w:rPr>
                <w:color w:val="000000"/>
              </w:rPr>
              <w:t>pri V. stupni odkázanosti a 1,1 násobku minimálnej mzdy pri VI. stupni odkázanosti. Výška finančného príspevku pri poskytovaní ambulantnej sociálnej služby v zariadení podmienenom odkázanosťou/mesiac/miesto tvorí 66,67 % (2/3) z výšky finančného príspevku pri poskytovaní pobytovej služby v tomto zariadení/mesiac/miesto.</w:t>
            </w:r>
          </w:p>
          <w:p w:rsidR="00415E00" w:rsidRDefault="00415E00" w:rsidP="00415E00">
            <w:pPr>
              <w:jc w:val="both"/>
              <w:rPr>
                <w:rFonts w:cstheme="minorBidi"/>
                <w:color w:val="000000"/>
              </w:rPr>
            </w:pPr>
          </w:p>
          <w:p w:rsidR="00415E00" w:rsidRDefault="00415E00" w:rsidP="00415E00">
            <w:pPr>
              <w:jc w:val="both"/>
            </w:pPr>
            <w:r>
              <w:t>Návrhom nariadenia vlády bude realizovaná aj valorizácia výšky finančného príspevku zo štátneho rozpočtu poskytovaného podľa zákona o sociálnych službách prostredníctvom kapitoly Ministerstva práce, sociálnych vecí a rodiny Slovenskej republiky k vybraným druhom zariadení krízovej intervencie. Dôvodom je najmä skutočnosť, že aj pri výške finančného príspevku poskytovaného vybraným zariadeniam krízovej intervencie zriadeným alebo založeným obcou a nocľahárňam neverejných poskytovateľov sociálnych služieb je potrebné zohľadniť medziročný vývoj prevádzkových nákladov na poskytovanú sociálnu službu. Vzhľadom na skutočnosť, že aj pri týchto druhoch zariadení sociálnych služieb najmä náklady na mzdy a ostatné osobné náklady tvoria najvyšší podiel nákladov, konkrétne výška finančného príspevku na rok 202</w:t>
            </w:r>
            <w:r w:rsidR="00CF4A4A">
              <w:t>6</w:t>
            </w:r>
            <w:r>
              <w:t xml:space="preserve"> je určená ako 0,5 násobok minimálnej mzdy v roku 202</w:t>
            </w:r>
            <w:r w:rsidR="00CF4A4A">
              <w:t>5</w:t>
            </w:r>
            <w:r>
              <w:t xml:space="preserve">. </w:t>
            </w:r>
          </w:p>
          <w:p w:rsidR="00415E00" w:rsidRDefault="00415E00" w:rsidP="00415E00">
            <w:pPr>
              <w:jc w:val="both"/>
            </w:pPr>
          </w:p>
          <w:p w:rsidR="00415E00" w:rsidRDefault="00415E00" w:rsidP="00415E00">
            <w:pPr>
              <w:jc w:val="both"/>
            </w:pPr>
            <w:r>
              <w:t>Napriek tomu, že ide len o vyhlásenie sumy, zvyšovanie príspevku na spolufinancovanie poskytovania sociálnych služieb bude mať pozitívny vplyv aj na neverejných poskytovateľov sociálnych služieb, najčastejšie ide o občianske združenia, prípadne neziskové organizácie.</w:t>
            </w:r>
          </w:p>
          <w:p w:rsidR="00415E00" w:rsidRDefault="00415E00" w:rsidP="00415E00">
            <w:pPr>
              <w:jc w:val="both"/>
            </w:pPr>
            <w:r>
              <w:t xml:space="preserve"> </w:t>
            </w:r>
          </w:p>
          <w:p w:rsidR="00415E00" w:rsidRDefault="00415E00" w:rsidP="00415E00">
            <w:pPr>
              <w:jc w:val="both"/>
            </w:pPr>
            <w:r>
              <w:t>Konkrétne  výšky príspevkov sú obsiahnuté v analýze vplyvov na rozpočet verejnej správy.</w:t>
            </w:r>
          </w:p>
          <w:p w:rsidR="00415E00" w:rsidRDefault="00415E00" w:rsidP="00415E00">
            <w:pPr>
              <w:jc w:val="both"/>
            </w:pPr>
          </w:p>
          <w:p w:rsidR="00415E00" w:rsidRDefault="00415E00" w:rsidP="00415E00">
            <w:pPr>
              <w:jc w:val="both"/>
              <w:rPr>
                <w:i/>
              </w:rPr>
            </w:pPr>
            <w:r>
              <w:t xml:space="preserve">Pozitívne sociálne vplyvy sa očakávajú v oblasti zvyšovania dostupnosti a udržateľnosti sociálnych služieb v zariadeniach podmienených odkázanosťou.  </w:t>
            </w:r>
          </w:p>
          <w:p w:rsidR="00415E00" w:rsidRDefault="00415E00" w:rsidP="00415E00">
            <w:pPr>
              <w:jc w:val="both"/>
            </w:pPr>
          </w:p>
          <w:p w:rsidR="00415E00" w:rsidRDefault="00415E00" w:rsidP="00415E00">
            <w:pPr>
              <w:jc w:val="both"/>
            </w:pPr>
            <w:r>
              <w:t xml:space="preserve">Návrh nebude mať vplyv na životné prostredie, vplyv na informatizáciu, podnikateľské prostredie,   na manželstvo, rodičovstvo a rodinu, ani vplyv na služby verejnej správy pre občana. </w:t>
            </w:r>
          </w:p>
          <w:p w:rsidR="00415E00" w:rsidRDefault="00415E00" w:rsidP="00415E00">
            <w:pPr>
              <w:jc w:val="both"/>
              <w:rPr>
                <w:color w:val="FF0000"/>
                <w:sz w:val="20"/>
                <w:szCs w:val="20"/>
              </w:rPr>
            </w:pPr>
          </w:p>
          <w:p w:rsidR="00451244" w:rsidRPr="00451244" w:rsidRDefault="00451244" w:rsidP="00451244">
            <w:pPr>
              <w:pStyle w:val="Default"/>
              <w:ind w:left="720"/>
              <w:jc w:val="both"/>
            </w:pPr>
          </w:p>
          <w:p w:rsidR="00B07B6B" w:rsidRDefault="00B07B6B">
            <w:pPr>
              <w:ind w:left="426"/>
              <w:contextualSpacing/>
              <w:rPr>
                <w:rFonts w:eastAsia="Calibri"/>
                <w:b/>
                <w:sz w:val="22"/>
                <w:szCs w:val="22"/>
                <w:lang w:eastAsia="en-US"/>
              </w:rPr>
            </w:pPr>
          </w:p>
        </w:tc>
      </w:tr>
      <w:tr w:rsidR="00B07B6B" w:rsidTr="00B07B6B">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rsidP="00B07B6B">
            <w:pPr>
              <w:numPr>
                <w:ilvl w:val="0"/>
                <w:numId w:val="3"/>
              </w:numPr>
              <w:ind w:left="426"/>
              <w:contextualSpacing/>
              <w:rPr>
                <w:rFonts w:eastAsia="Calibri"/>
                <w:b/>
              </w:rPr>
            </w:pPr>
            <w:r>
              <w:rPr>
                <w:rFonts w:eastAsia="Calibri"/>
                <w:b/>
              </w:rPr>
              <w:lastRenderedPageBreak/>
              <w:t>Kontakt na spracovateľa</w:t>
            </w:r>
          </w:p>
        </w:tc>
      </w:tr>
      <w:tr w:rsidR="00B07B6B" w:rsidTr="00B07B6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rsidR="00B07B6B" w:rsidRDefault="00B07B6B">
            <w:pPr>
              <w:rPr>
                <w:i/>
                <w:sz w:val="20"/>
                <w:szCs w:val="20"/>
                <w:lang w:eastAsia="sk-SK"/>
              </w:rPr>
            </w:pPr>
            <w:r>
              <w:rPr>
                <w:i/>
                <w:sz w:val="20"/>
                <w:szCs w:val="20"/>
                <w:lang w:eastAsia="sk-SK"/>
              </w:rPr>
              <w:t>Uveďte údaje na kontaktnú osobu, ktorú je možné kontaktovať v súvislosti s posúdením vybraných vplyvov.</w:t>
            </w:r>
          </w:p>
          <w:p w:rsidR="00415E00" w:rsidRDefault="00415E00">
            <w:pPr>
              <w:rPr>
                <w:i/>
                <w:sz w:val="20"/>
                <w:szCs w:val="20"/>
                <w:lang w:eastAsia="sk-SK"/>
              </w:rPr>
            </w:pPr>
          </w:p>
          <w:p w:rsidR="00415E00" w:rsidRDefault="00415E00" w:rsidP="00415E00">
            <w:pPr>
              <w:rPr>
                <w:lang w:eastAsia="sk-SK"/>
              </w:rPr>
            </w:pPr>
            <w:r>
              <w:rPr>
                <w:lang w:eastAsia="sk-SK"/>
              </w:rPr>
              <w:t>Mgr. Mária Machajdíková, riaditeľka odboru sociálnych služieb</w:t>
            </w:r>
          </w:p>
          <w:p w:rsidR="00415E00" w:rsidRDefault="00F14CEF" w:rsidP="00415E00">
            <w:pPr>
              <w:rPr>
                <w:rStyle w:val="Hypertextovprepojenie"/>
                <w:lang w:eastAsia="sk-SK"/>
              </w:rPr>
            </w:pPr>
            <w:hyperlink r:id="rId7" w:history="1">
              <w:r w:rsidR="00415E00" w:rsidRPr="007209FA">
                <w:rPr>
                  <w:rStyle w:val="Hypertextovprepojenie"/>
                  <w:lang w:eastAsia="sk-SK"/>
                </w:rPr>
                <w:t>maria.machajdikova@empl</w:t>
              </w:r>
              <w:r w:rsidR="00635933">
                <w:rPr>
                  <w:rStyle w:val="Hypertextovprepojenie"/>
                  <w:lang w:eastAsia="sk-SK"/>
                </w:rPr>
                <w:t>o</w:t>
              </w:r>
              <w:r w:rsidR="00415E00" w:rsidRPr="007209FA">
                <w:rPr>
                  <w:rStyle w:val="Hypertextovprepojenie"/>
                  <w:lang w:eastAsia="sk-SK"/>
                </w:rPr>
                <w:t>yment.gov.sk</w:t>
              </w:r>
            </w:hyperlink>
          </w:p>
          <w:p w:rsidR="00866838" w:rsidRDefault="00866838" w:rsidP="00415E00">
            <w:pPr>
              <w:rPr>
                <w:lang w:eastAsia="sk-SK"/>
              </w:rPr>
            </w:pPr>
            <w:r>
              <w:rPr>
                <w:rStyle w:val="Hypertextovprepojenie"/>
                <w:lang w:eastAsia="sk-SK"/>
              </w:rPr>
              <w:lastRenderedPageBreak/>
              <w:t>02 20 46 31 08</w:t>
            </w:r>
          </w:p>
          <w:p w:rsidR="00415E00" w:rsidRPr="00415E00" w:rsidRDefault="00415E00" w:rsidP="00415E00">
            <w:pPr>
              <w:rPr>
                <w:lang w:eastAsia="sk-SK"/>
              </w:rPr>
            </w:pPr>
          </w:p>
        </w:tc>
      </w:tr>
      <w:tr w:rsidR="00B07B6B" w:rsidTr="00B07B6B">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rsidP="00B07B6B">
            <w:pPr>
              <w:numPr>
                <w:ilvl w:val="0"/>
                <w:numId w:val="3"/>
              </w:numPr>
              <w:ind w:left="426"/>
              <w:contextualSpacing/>
              <w:rPr>
                <w:rFonts w:eastAsia="Calibri"/>
                <w:b/>
                <w:sz w:val="22"/>
                <w:szCs w:val="22"/>
                <w:lang w:eastAsia="en-US"/>
              </w:rPr>
            </w:pPr>
            <w:r>
              <w:rPr>
                <w:rFonts w:eastAsia="Calibri"/>
                <w:b/>
              </w:rPr>
              <w:lastRenderedPageBreak/>
              <w:t>Zdroje</w:t>
            </w:r>
          </w:p>
        </w:tc>
      </w:tr>
      <w:tr w:rsidR="00B07B6B" w:rsidTr="00B07B6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07B6B" w:rsidRDefault="00B07B6B">
            <w:pPr>
              <w:jc w:val="both"/>
              <w:rPr>
                <w:rFonts w:eastAsia="Calibri"/>
              </w:rPr>
            </w:pPr>
            <w:r>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Pr>
                <w:rFonts w:eastAsia="Calibri"/>
              </w:rPr>
              <w:t xml:space="preserve"> </w:t>
            </w:r>
          </w:p>
          <w:p w:rsidR="00415E00" w:rsidRDefault="00415E00">
            <w:pPr>
              <w:jc w:val="both"/>
              <w:rPr>
                <w:rFonts w:eastAsia="Calibri"/>
              </w:rPr>
            </w:pPr>
          </w:p>
          <w:p w:rsidR="00415E00" w:rsidRDefault="00415E00">
            <w:pPr>
              <w:jc w:val="both"/>
              <w:rPr>
                <w:rFonts w:eastAsia="Calibri"/>
              </w:rPr>
            </w:pPr>
            <w:r>
              <w:rPr>
                <w:rFonts w:eastAsia="Calibri"/>
              </w:rPr>
              <w:t>Informačný systém sociálnych služieb</w:t>
            </w:r>
          </w:p>
          <w:p w:rsidR="00415E00" w:rsidRDefault="00415E00">
            <w:pPr>
              <w:jc w:val="both"/>
              <w:rPr>
                <w:i/>
                <w:sz w:val="20"/>
                <w:szCs w:val="20"/>
                <w:lang w:eastAsia="sk-SK"/>
              </w:rPr>
            </w:pPr>
          </w:p>
          <w:p w:rsidR="00B07B6B" w:rsidRDefault="00B07B6B">
            <w:pPr>
              <w:rPr>
                <w:i/>
                <w:sz w:val="20"/>
                <w:szCs w:val="20"/>
                <w:lang w:eastAsia="sk-SK"/>
              </w:rPr>
            </w:pPr>
          </w:p>
          <w:p w:rsidR="00B07B6B" w:rsidRDefault="00B07B6B">
            <w:pPr>
              <w:rPr>
                <w:b/>
                <w:sz w:val="20"/>
                <w:szCs w:val="20"/>
                <w:lang w:eastAsia="sk-SK"/>
              </w:rPr>
            </w:pPr>
          </w:p>
        </w:tc>
      </w:tr>
      <w:tr w:rsidR="00B07B6B" w:rsidTr="00B07B6B">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rsidP="00B07B6B">
            <w:pPr>
              <w:numPr>
                <w:ilvl w:val="0"/>
                <w:numId w:val="3"/>
              </w:numPr>
              <w:ind w:left="447" w:hanging="425"/>
              <w:contextualSpacing/>
              <w:rPr>
                <w:rFonts w:eastAsia="Calibri"/>
                <w:b/>
                <w:sz w:val="22"/>
                <w:szCs w:val="22"/>
                <w:lang w:eastAsia="en-US"/>
              </w:rPr>
            </w:pPr>
            <w:r>
              <w:rPr>
                <w:rFonts w:eastAsia="Calibri"/>
                <w:b/>
              </w:rPr>
              <w:t>Stanovisko Komisie na posudzovanie vybraných vplyvov z PPK č. ..........</w:t>
            </w:r>
            <w:r>
              <w:rPr>
                <w:rFonts w:ascii="Calibri" w:eastAsia="Calibri" w:hAnsi="Calibri"/>
              </w:rPr>
              <w:t xml:space="preserve"> </w:t>
            </w:r>
          </w:p>
          <w:p w:rsidR="00B07B6B" w:rsidRDefault="00B07B6B">
            <w:pPr>
              <w:ind w:left="502"/>
              <w:rPr>
                <w:b/>
                <w:sz w:val="20"/>
                <w:szCs w:val="20"/>
                <w:lang w:eastAsia="sk-SK"/>
              </w:rPr>
            </w:pPr>
            <w:r>
              <w:rPr>
                <w:rFonts w:eastAsia="Calibri"/>
              </w:rPr>
              <w:t>(v prípade, ak sa uskutočnilo v zmysle bodu 8.1 Jednotnej metodiky)</w:t>
            </w:r>
          </w:p>
        </w:tc>
      </w:tr>
      <w:tr w:rsidR="00B07B6B" w:rsidTr="00B07B6B">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07B6B" w:rsidRDefault="00B07B6B">
            <w:pPr>
              <w:rPr>
                <w:b/>
                <w:sz w:val="20"/>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07B6B">
              <w:trPr>
                <w:trHeight w:val="396"/>
              </w:trPr>
              <w:tc>
                <w:tcPr>
                  <w:tcW w:w="2552" w:type="dxa"/>
                  <w:hideMark/>
                </w:tcPr>
                <w:p w:rsidR="00B07B6B" w:rsidRDefault="00F14CEF">
                  <w:pPr>
                    <w:rPr>
                      <w:b/>
                      <w:sz w:val="20"/>
                      <w:szCs w:val="20"/>
                      <w:lang w:eastAsia="sk-SK"/>
                    </w:rPr>
                  </w:pPr>
                  <w:sdt>
                    <w:sdtPr>
                      <w:rPr>
                        <w:b/>
                        <w:sz w:val="20"/>
                        <w:szCs w:val="20"/>
                        <w:lang w:eastAsia="sk-SK"/>
                      </w:rPr>
                      <w:id w:val="-1874910888"/>
                      <w14:checkbox>
                        <w14:checked w14:val="1"/>
                        <w14:checkedState w14:val="2612" w14:font="MS Gothic"/>
                        <w14:uncheckedState w14:val="2610" w14:font="MS Gothic"/>
                      </w14:checkbox>
                    </w:sdtPr>
                    <w:sdtEndPr/>
                    <w:sdtContent>
                      <w:r w:rsidR="00003E3C">
                        <w:rPr>
                          <w:rFonts w:ascii="MS Gothic" w:eastAsia="MS Gothic" w:hAnsi="MS Gothic" w:hint="eastAsia"/>
                          <w:b/>
                          <w:sz w:val="20"/>
                          <w:szCs w:val="20"/>
                          <w:lang w:eastAsia="sk-SK"/>
                        </w:rPr>
                        <w:t>☒</w:t>
                      </w:r>
                    </w:sdtContent>
                  </w:sdt>
                  <w:r w:rsidR="00B07B6B">
                    <w:rPr>
                      <w:b/>
                      <w:sz w:val="20"/>
                      <w:szCs w:val="20"/>
                      <w:lang w:eastAsia="sk-SK"/>
                    </w:rPr>
                    <w:t xml:space="preserve">  Súhlasné </w:t>
                  </w:r>
                </w:p>
              </w:tc>
              <w:tc>
                <w:tcPr>
                  <w:tcW w:w="3827" w:type="dxa"/>
                  <w:hideMark/>
                </w:tcPr>
                <w:p w:rsidR="00B07B6B" w:rsidRDefault="00F14CEF">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B07B6B">
                        <w:rPr>
                          <w:rFonts w:ascii="MS Gothic" w:eastAsia="MS Gothic" w:hAnsi="MS Gothic" w:hint="eastAsia"/>
                          <w:b/>
                          <w:sz w:val="20"/>
                          <w:szCs w:val="20"/>
                          <w:lang w:eastAsia="sk-SK"/>
                        </w:rPr>
                        <w:t>☐</w:t>
                      </w:r>
                    </w:sdtContent>
                  </w:sdt>
                  <w:r w:rsidR="00B07B6B">
                    <w:rPr>
                      <w:b/>
                      <w:sz w:val="20"/>
                      <w:szCs w:val="20"/>
                      <w:lang w:eastAsia="sk-SK"/>
                    </w:rPr>
                    <w:t xml:space="preserve">  Súhlasné s návrhom na dopracovanie</w:t>
                  </w:r>
                </w:p>
              </w:tc>
              <w:tc>
                <w:tcPr>
                  <w:tcW w:w="2534" w:type="dxa"/>
                  <w:hideMark/>
                </w:tcPr>
                <w:p w:rsidR="00B07B6B" w:rsidRDefault="00F14CEF">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B07B6B">
                        <w:rPr>
                          <w:rFonts w:ascii="MS Gothic" w:eastAsia="MS Gothic" w:hAnsi="MS Gothic" w:hint="eastAsia"/>
                          <w:b/>
                          <w:sz w:val="20"/>
                          <w:szCs w:val="20"/>
                          <w:lang w:eastAsia="sk-SK"/>
                        </w:rPr>
                        <w:t>☐</w:t>
                      </w:r>
                    </w:sdtContent>
                  </w:sdt>
                  <w:r w:rsidR="00B07B6B">
                    <w:rPr>
                      <w:b/>
                      <w:sz w:val="20"/>
                      <w:szCs w:val="20"/>
                      <w:lang w:eastAsia="sk-SK"/>
                    </w:rPr>
                    <w:t xml:space="preserve">  Nesúhlasné</w:t>
                  </w:r>
                </w:p>
              </w:tc>
            </w:tr>
          </w:tbl>
          <w:p w:rsidR="00B07B6B" w:rsidRDefault="00B07B6B">
            <w:pPr>
              <w:jc w:val="both"/>
              <w:rPr>
                <w:b/>
                <w:sz w:val="20"/>
                <w:szCs w:val="20"/>
                <w:lang w:eastAsia="sk-SK"/>
              </w:rPr>
            </w:pPr>
            <w:r>
              <w:rPr>
                <w:b/>
                <w:sz w:val="20"/>
                <w:szCs w:val="20"/>
                <w:lang w:eastAsia="sk-SK"/>
              </w:rPr>
              <w:t>Uveďte pripomienky zo stanoviska Komisie z časti II. spolu s Vaším vyhodnotením:</w:t>
            </w:r>
          </w:p>
          <w:p w:rsidR="00B07B6B" w:rsidRDefault="00B07B6B">
            <w:pPr>
              <w:rPr>
                <w:b/>
                <w:sz w:val="20"/>
                <w:szCs w:val="20"/>
                <w:lang w:eastAsia="sk-SK"/>
              </w:rPr>
            </w:pPr>
          </w:p>
          <w:tbl>
            <w:tblPr>
              <w:tblW w:w="0" w:type="auto"/>
              <w:tblInd w:w="109" w:type="dxa"/>
              <w:tblLayout w:type="fixed"/>
              <w:tblLook w:val="04A0" w:firstRow="1" w:lastRow="0" w:firstColumn="1" w:lastColumn="0" w:noHBand="0" w:noVBand="1"/>
            </w:tblPr>
            <w:tblGrid>
              <w:gridCol w:w="4252"/>
              <w:gridCol w:w="5244"/>
            </w:tblGrid>
            <w:tr w:rsidR="00003E3C" w:rsidTr="00003E3C">
              <w:tc>
                <w:tcPr>
                  <w:tcW w:w="4252" w:type="dxa"/>
                  <w:shd w:val="clear" w:color="auto" w:fill="FFFFFF"/>
                </w:tcPr>
                <w:p w:rsidR="00003E3C" w:rsidRDefault="00003E3C" w:rsidP="00003E3C">
                  <w:pPr>
                    <w:jc w:val="both"/>
                    <w:rPr>
                      <w:smallCaps/>
                      <w:lang w:eastAsia="ar-SA"/>
                    </w:rPr>
                  </w:pPr>
                </w:p>
              </w:tc>
              <w:tc>
                <w:tcPr>
                  <w:tcW w:w="5244" w:type="dxa"/>
                  <w:shd w:val="clear" w:color="auto" w:fill="FFFFFF"/>
                  <w:hideMark/>
                </w:tcPr>
                <w:p w:rsidR="00003E3C" w:rsidRDefault="00003E3C" w:rsidP="00003E3C">
                  <w:pPr>
                    <w:rPr>
                      <w:smallCaps/>
                    </w:rPr>
                  </w:pPr>
                  <w:r>
                    <w:rPr>
                      <w:smallCaps/>
                    </w:rPr>
                    <w:t xml:space="preserve">                               Bratislava:  7.4.2025</w:t>
                  </w:r>
                </w:p>
                <w:p w:rsidR="00003E3C" w:rsidRDefault="00003E3C" w:rsidP="00003E3C">
                  <w:pPr>
                    <w:rPr>
                      <w:smallCaps/>
                    </w:rPr>
                  </w:pPr>
                  <w:r>
                    <w:rPr>
                      <w:smallCaps/>
                    </w:rPr>
                    <w:t xml:space="preserve">                               Číslo: 42/2025</w:t>
                  </w:r>
                </w:p>
                <w:p w:rsidR="00003E3C" w:rsidRDefault="00003E3C" w:rsidP="00003E3C">
                  <w:pPr>
                    <w:rPr>
                      <w:sz w:val="20"/>
                      <w:szCs w:val="20"/>
                    </w:rPr>
                  </w:pPr>
                  <w:r>
                    <w:rPr>
                      <w:smallCaps/>
                    </w:rPr>
                    <w:t xml:space="preserve">                               Vybavuje: Mgr. </w:t>
                  </w:r>
                  <w:proofErr w:type="spellStart"/>
                  <w:r>
                    <w:rPr>
                      <w:smallCaps/>
                    </w:rPr>
                    <w:t>Fontányová</w:t>
                  </w:r>
                  <w:proofErr w:type="spellEnd"/>
                </w:p>
              </w:tc>
            </w:tr>
          </w:tbl>
          <w:p w:rsidR="00003E3C" w:rsidRDefault="00003E3C" w:rsidP="00003E3C">
            <w:pPr>
              <w:ind w:right="-2"/>
              <w:jc w:val="center"/>
              <w:rPr>
                <w:szCs w:val="20"/>
                <w:lang w:eastAsia="ar-SA"/>
              </w:rPr>
            </w:pPr>
          </w:p>
          <w:p w:rsidR="00003E3C" w:rsidRDefault="00003E3C" w:rsidP="00003E3C">
            <w:pPr>
              <w:pStyle w:val="Nadpis4"/>
              <w:outlineLvl w:val="3"/>
              <w:rPr>
                <w:rFonts w:ascii="Arial" w:hAnsi="Arial"/>
                <w:sz w:val="22"/>
              </w:rPr>
            </w:pPr>
          </w:p>
          <w:p w:rsidR="00003E3C" w:rsidRDefault="00003E3C" w:rsidP="00003E3C">
            <w:pPr>
              <w:pStyle w:val="Nadpis4"/>
              <w:numPr>
                <w:ilvl w:val="0"/>
                <w:numId w:val="0"/>
              </w:numPr>
              <w:tabs>
                <w:tab w:val="left" w:pos="708"/>
              </w:tabs>
              <w:ind w:left="2124" w:firstLine="708"/>
              <w:jc w:val="left"/>
              <w:outlineLvl w:val="3"/>
              <w:rPr>
                <w:rFonts w:ascii="Arial" w:hAnsi="Arial"/>
                <w:sz w:val="22"/>
              </w:rPr>
            </w:pPr>
            <w:r>
              <w:rPr>
                <w:rFonts w:ascii="Arial" w:hAnsi="Arial"/>
                <w:spacing w:val="20"/>
                <w:sz w:val="32"/>
              </w:rPr>
              <w:t>stanovisko komisie</w:t>
            </w:r>
            <w:r>
              <w:rPr>
                <w:rFonts w:ascii="Arial" w:hAnsi="Arial"/>
                <w:sz w:val="22"/>
              </w:rPr>
              <w:t xml:space="preserve"> </w:t>
            </w:r>
          </w:p>
          <w:p w:rsidR="00003E3C" w:rsidRDefault="00003E3C" w:rsidP="00003E3C">
            <w:pPr>
              <w:ind w:right="-2"/>
              <w:jc w:val="center"/>
              <w:rPr>
                <w:rFonts w:ascii="Arial" w:hAnsi="Arial"/>
                <w:b/>
                <w:smallCaps/>
                <w:sz w:val="22"/>
              </w:rPr>
            </w:pPr>
          </w:p>
          <w:p w:rsidR="00003E3C" w:rsidRDefault="00003E3C" w:rsidP="00003E3C">
            <w:pPr>
              <w:ind w:right="-2"/>
              <w:jc w:val="center"/>
              <w:rPr>
                <w:rFonts w:ascii="Arial" w:hAnsi="Arial"/>
                <w:b/>
                <w:smallCaps/>
                <w:sz w:val="22"/>
              </w:rPr>
            </w:pPr>
            <w:r>
              <w:rPr>
                <w:rFonts w:ascii="Arial" w:hAnsi="Arial"/>
                <w:b/>
                <w:smallCaps/>
                <w:sz w:val="22"/>
              </w:rPr>
              <w:t>(K udeleniu výnimky z procesu)</w:t>
            </w:r>
          </w:p>
          <w:p w:rsidR="00003E3C" w:rsidRDefault="00003E3C" w:rsidP="00003E3C">
            <w:pPr>
              <w:ind w:right="-2"/>
              <w:jc w:val="center"/>
              <w:rPr>
                <w:rFonts w:ascii="Arial" w:hAnsi="Arial"/>
                <w:b/>
                <w:smallCaps/>
                <w:sz w:val="22"/>
              </w:rPr>
            </w:pPr>
          </w:p>
          <w:p w:rsidR="00003E3C" w:rsidRDefault="00003E3C" w:rsidP="00003E3C">
            <w:pPr>
              <w:ind w:right="-2"/>
              <w:jc w:val="center"/>
              <w:rPr>
                <w:rFonts w:ascii="Arial" w:hAnsi="Arial"/>
                <w:b/>
                <w:smallCaps/>
                <w:sz w:val="22"/>
              </w:rPr>
            </w:pPr>
            <w:r>
              <w:rPr>
                <w:rFonts w:ascii="Arial" w:hAnsi="Arial"/>
                <w:b/>
                <w:smallCaps/>
                <w:sz w:val="22"/>
              </w:rPr>
              <w:t>k materiálu</w:t>
            </w:r>
          </w:p>
          <w:p w:rsidR="00003E3C" w:rsidRDefault="00003E3C" w:rsidP="00003E3C">
            <w:pPr>
              <w:ind w:right="-2"/>
              <w:jc w:val="center"/>
              <w:rPr>
                <w:rFonts w:ascii="Arial" w:hAnsi="Arial"/>
                <w:b/>
                <w:smallCaps/>
                <w:sz w:val="22"/>
                <w:szCs w:val="22"/>
              </w:rPr>
            </w:pPr>
          </w:p>
          <w:p w:rsidR="00003E3C" w:rsidRDefault="00003E3C" w:rsidP="00003E3C">
            <w:pPr>
              <w:pBdr>
                <w:bottom w:val="single" w:sz="4" w:space="1" w:color="auto"/>
              </w:pBdr>
              <w:jc w:val="center"/>
              <w:rPr>
                <w:rStyle w:val="Jemnodkaz"/>
                <w:rFonts w:cs="Arial"/>
                <w:color w:val="auto"/>
                <w:szCs w:val="20"/>
              </w:rPr>
            </w:pPr>
            <w:r>
              <w:rPr>
                <w:rStyle w:val="Jemnodkaz"/>
                <w:rFonts w:ascii="Arial" w:hAnsi="Arial" w:cs="Arial"/>
                <w:b/>
              </w:rPr>
              <w:t xml:space="preserve">Návrh nariadenia vlády Slovenskej republiky, ktorým sa ustanovuje výška finančného príspevku na poskytovanie sociálnej služby v niektorých druhoch zariadení sociálnych služieb na rok 2026 </w:t>
            </w:r>
          </w:p>
          <w:p w:rsidR="00003E3C" w:rsidRDefault="00003E3C" w:rsidP="00003E3C">
            <w:pPr>
              <w:jc w:val="both"/>
              <w:rPr>
                <w:bCs/>
                <w:szCs w:val="22"/>
              </w:rPr>
            </w:pPr>
          </w:p>
          <w:p w:rsidR="00003E3C" w:rsidRDefault="00003E3C" w:rsidP="00003E3C">
            <w:pPr>
              <w:jc w:val="both"/>
              <w:rPr>
                <w:rFonts w:ascii="Arial" w:hAnsi="Arial" w:cs="Arial"/>
                <w:iCs/>
                <w:szCs w:val="22"/>
              </w:rPr>
            </w:pPr>
            <w:r>
              <w:rPr>
                <w:rFonts w:ascii="Arial" w:hAnsi="Arial" w:cs="Arial"/>
                <w:b/>
                <w:bCs/>
                <w:szCs w:val="22"/>
              </w:rPr>
              <w:t xml:space="preserve">I. Úvod: </w:t>
            </w:r>
            <w:r>
              <w:rPr>
                <w:rFonts w:ascii="Arial" w:hAnsi="Arial" w:cs="Arial"/>
                <w:bCs/>
                <w:szCs w:val="22"/>
              </w:rPr>
              <w:t xml:space="preserve">Ministerstvo práce, sociálnych vecí a rodiny Slovenskej republiky dňa 3. apríla 2025 predložilo Stálej pracovnej komisii na posudzovanie vybraných vplyvov (ďalej len „Komisia“) materiál: </w:t>
            </w:r>
            <w:r>
              <w:rPr>
                <w:rFonts w:ascii="Arial" w:hAnsi="Arial" w:cs="Arial"/>
                <w:bCs/>
                <w:i/>
                <w:szCs w:val="22"/>
              </w:rPr>
              <w:t>„Návrh nariadenia vlády Slovenskej republiky, ktorým sa ustanovuje výška finančného príspevku na poskytovanie sociálnej služby v niektorých druhoch zariadení sociálnych služieb na rok 2026</w:t>
            </w:r>
            <w:r>
              <w:rPr>
                <w:rFonts w:ascii="Arial" w:hAnsi="Arial" w:cs="Arial"/>
                <w:bCs/>
                <w:i/>
              </w:rPr>
              <w:t>"</w:t>
            </w:r>
            <w:r>
              <w:rPr>
                <w:rFonts w:ascii="Arial" w:hAnsi="Arial" w:cs="Arial"/>
                <w:bCs/>
                <w:szCs w:val="22"/>
              </w:rPr>
              <w:t>,</w:t>
            </w:r>
            <w:r>
              <w:rPr>
                <w:rFonts w:ascii="Arial" w:hAnsi="Arial" w:cs="Arial"/>
                <w:bCs/>
                <w:i/>
                <w:szCs w:val="22"/>
              </w:rPr>
              <w:t xml:space="preserve"> </w:t>
            </w:r>
            <w:r>
              <w:rPr>
                <w:rFonts w:ascii="Arial" w:hAnsi="Arial" w:cs="Arial"/>
                <w:iCs/>
                <w:szCs w:val="22"/>
              </w:rPr>
              <w:t>spolu so žiadosťou o udelenie výnimky z procesu podľa bodu 2.6. Jednotnej metodiky na posudzovanie vybraných vplyvov. Materiál predpokladá negatívne vplyvy na rozpočet verejnej správy, ktoré nie sú rozpočtovo zabezpečené, negatívne vplyvy na limit verejných výdavkov a pozitívne sociálne vplyvy.</w:t>
            </w:r>
          </w:p>
          <w:p w:rsidR="00003E3C" w:rsidRDefault="00003E3C" w:rsidP="00003E3C">
            <w:pPr>
              <w:jc w:val="both"/>
              <w:rPr>
                <w:rFonts w:ascii="Arial" w:hAnsi="Arial" w:cs="Arial"/>
                <w:b/>
                <w:bCs/>
              </w:rPr>
            </w:pPr>
          </w:p>
          <w:p w:rsidR="00003E3C" w:rsidRDefault="00003E3C" w:rsidP="00003E3C">
            <w:pPr>
              <w:jc w:val="both"/>
              <w:rPr>
                <w:rFonts w:ascii="Arial" w:hAnsi="Arial" w:cs="Arial"/>
                <w:bCs/>
                <w:szCs w:val="22"/>
              </w:rPr>
            </w:pPr>
            <w:r>
              <w:rPr>
                <w:rFonts w:ascii="Arial" w:hAnsi="Arial" w:cs="Arial"/>
                <w:b/>
                <w:bCs/>
              </w:rPr>
              <w:t>II. P</w:t>
            </w:r>
            <w:r>
              <w:rPr>
                <w:rFonts w:ascii="Arial" w:hAnsi="Arial" w:cs="Arial"/>
                <w:b/>
              </w:rPr>
              <w:t>r</w:t>
            </w:r>
            <w:r>
              <w:rPr>
                <w:rFonts w:ascii="Arial" w:hAnsi="Arial" w:cs="Arial"/>
                <w:b/>
                <w:bCs/>
              </w:rPr>
              <w:t>ipomienky a návrhy zm</w:t>
            </w:r>
            <w:r>
              <w:rPr>
                <w:rFonts w:ascii="Arial" w:hAnsi="Arial" w:cs="Arial"/>
                <w:b/>
              </w:rPr>
              <w:t>ie</w:t>
            </w:r>
            <w:r>
              <w:rPr>
                <w:rFonts w:ascii="Arial" w:hAnsi="Arial" w:cs="Arial"/>
                <w:b/>
                <w:bCs/>
              </w:rPr>
              <w:t xml:space="preserve">n: </w:t>
            </w:r>
            <w:r>
              <w:rPr>
                <w:rFonts w:ascii="Arial" w:hAnsi="Arial" w:cs="Arial"/>
                <w:bCs/>
                <w:szCs w:val="22"/>
              </w:rPr>
              <w:t>Komisia uplatňuje k materiálu nasledovné pripomienky a odporúčania:</w:t>
            </w:r>
          </w:p>
          <w:p w:rsidR="00003E3C" w:rsidRDefault="00003E3C" w:rsidP="00003E3C">
            <w:pPr>
              <w:jc w:val="both"/>
              <w:rPr>
                <w:rFonts w:ascii="Arial" w:hAnsi="Arial" w:cs="Arial"/>
                <w:bCs/>
                <w:szCs w:val="22"/>
              </w:rPr>
            </w:pPr>
          </w:p>
          <w:p w:rsidR="00003E3C" w:rsidRDefault="00003E3C" w:rsidP="00003E3C">
            <w:pPr>
              <w:jc w:val="both"/>
              <w:rPr>
                <w:rFonts w:ascii="Arial" w:hAnsi="Arial" w:cs="Arial"/>
                <w:b/>
                <w:bCs/>
                <w:szCs w:val="22"/>
              </w:rPr>
            </w:pPr>
            <w:r>
              <w:rPr>
                <w:rFonts w:ascii="Arial" w:hAnsi="Arial" w:cs="Arial"/>
                <w:b/>
                <w:bCs/>
                <w:szCs w:val="22"/>
              </w:rPr>
              <w:t>K doložke vybraných vplyvov</w:t>
            </w:r>
          </w:p>
          <w:p w:rsidR="00003E3C" w:rsidRDefault="00003E3C" w:rsidP="00003E3C">
            <w:pPr>
              <w:jc w:val="both"/>
              <w:rPr>
                <w:rFonts w:ascii="Arial" w:hAnsi="Arial" w:cs="Arial"/>
                <w:bCs/>
                <w:szCs w:val="22"/>
              </w:rPr>
            </w:pPr>
            <w:r>
              <w:rPr>
                <w:rFonts w:ascii="Arial" w:hAnsi="Arial" w:cs="Arial"/>
                <w:bCs/>
                <w:szCs w:val="22"/>
              </w:rPr>
              <w:t xml:space="preserve">Komisia odporúča  predkladateľovi zrušiť označenie x v časti 9. Vybrané vplyvy – na podnikateľské prostredie, a to  vplyvy na MSP  „žiadne“. (Stačí vyznačiť x  „žiadne“ len v prvom riadku vplyvy na podnikateľské prostredie.) </w:t>
            </w:r>
          </w:p>
          <w:p w:rsidR="00003E3C" w:rsidRDefault="00003E3C" w:rsidP="00003E3C">
            <w:pPr>
              <w:jc w:val="both"/>
              <w:rPr>
                <w:rFonts w:ascii="Arial" w:hAnsi="Arial" w:cs="Arial"/>
                <w:bCs/>
                <w:szCs w:val="22"/>
              </w:rPr>
            </w:pPr>
          </w:p>
          <w:p w:rsidR="00003E3C" w:rsidRDefault="00003E3C" w:rsidP="00003E3C">
            <w:pPr>
              <w:jc w:val="both"/>
              <w:rPr>
                <w:rFonts w:ascii="Arial" w:hAnsi="Arial" w:cs="Arial"/>
                <w:bCs/>
                <w:szCs w:val="22"/>
              </w:rPr>
            </w:pPr>
            <w:r>
              <w:rPr>
                <w:rFonts w:ascii="Arial" w:hAnsi="Arial" w:cs="Arial"/>
                <w:bCs/>
                <w:szCs w:val="22"/>
              </w:rPr>
              <w:t>Komisia odporúča predkladateľovi materiálu doplniť do časti 11. Kontakt na spracovateľa aj chýbajúci telefonický kontakt.</w:t>
            </w:r>
          </w:p>
          <w:p w:rsidR="00003E3C" w:rsidRDefault="00003E3C" w:rsidP="00003E3C">
            <w:pPr>
              <w:jc w:val="both"/>
              <w:rPr>
                <w:rFonts w:ascii="Arial" w:hAnsi="Arial" w:cs="Arial"/>
                <w:bCs/>
                <w:szCs w:val="22"/>
              </w:rPr>
            </w:pPr>
            <w:r>
              <w:rPr>
                <w:rFonts w:ascii="Arial" w:hAnsi="Arial" w:cs="Arial"/>
                <w:bCs/>
                <w:szCs w:val="22"/>
                <w:u w:val="single"/>
              </w:rPr>
              <w:t>Odôvodnenie:</w:t>
            </w:r>
            <w:r>
              <w:rPr>
                <w:rFonts w:ascii="Arial" w:hAnsi="Arial" w:cs="Arial"/>
                <w:bCs/>
                <w:szCs w:val="22"/>
              </w:rPr>
              <w:t xml:space="preserve"> Ide o potrebný údaj v zmysle Jednotnej metodiky na posudzovanie </w:t>
            </w:r>
            <w:r>
              <w:rPr>
                <w:rFonts w:ascii="Arial" w:hAnsi="Arial" w:cs="Arial"/>
                <w:bCs/>
                <w:szCs w:val="22"/>
              </w:rPr>
              <w:lastRenderedPageBreak/>
              <w:t>vybraných vplyvov pre prípadnú lepšiu komunikáciu predkladateľa a pripomienkujúce útvary.</w:t>
            </w:r>
          </w:p>
          <w:p w:rsidR="00003E3C" w:rsidRDefault="00003E3C" w:rsidP="00003E3C">
            <w:pPr>
              <w:jc w:val="both"/>
              <w:rPr>
                <w:rFonts w:ascii="Arial" w:hAnsi="Arial" w:cs="Arial"/>
                <w:bCs/>
                <w:szCs w:val="22"/>
              </w:rPr>
            </w:pPr>
          </w:p>
          <w:p w:rsidR="00003E3C" w:rsidRDefault="00003E3C" w:rsidP="00003E3C">
            <w:pPr>
              <w:pStyle w:val="xxmsonormal"/>
            </w:pPr>
            <w:r>
              <w:rPr>
                <w:rFonts w:ascii="Arial" w:hAnsi="Arial" w:cs="Arial"/>
                <w:b/>
                <w:bCs/>
                <w:szCs w:val="22"/>
              </w:rPr>
              <w:t xml:space="preserve">III. Záver: </w:t>
            </w:r>
            <w:r>
              <w:rPr>
                <w:rFonts w:ascii="Arial" w:hAnsi="Arial" w:cs="Arial"/>
                <w:bCs/>
                <w:szCs w:val="22"/>
              </w:rPr>
              <w:t xml:space="preserve">Stála pracovná komisia na posudzovanie vybraných vplyvov vyjadruje </w:t>
            </w:r>
          </w:p>
          <w:p w:rsidR="00003E3C" w:rsidRDefault="00003E3C" w:rsidP="00003E3C">
            <w:pPr>
              <w:tabs>
                <w:tab w:val="center" w:pos="6379"/>
              </w:tabs>
              <w:ind w:right="-2"/>
              <w:jc w:val="center"/>
              <w:rPr>
                <w:rFonts w:ascii="Arial" w:hAnsi="Arial" w:cs="Arial"/>
                <w:b/>
                <w:bCs/>
                <w:szCs w:val="22"/>
              </w:rPr>
            </w:pPr>
          </w:p>
          <w:p w:rsidR="00003E3C" w:rsidRDefault="00003E3C" w:rsidP="00003E3C">
            <w:pPr>
              <w:tabs>
                <w:tab w:val="center" w:pos="6379"/>
              </w:tabs>
              <w:ind w:right="-2"/>
              <w:jc w:val="center"/>
              <w:rPr>
                <w:rFonts w:ascii="Arial" w:hAnsi="Arial" w:cs="Arial"/>
                <w:bCs/>
                <w:szCs w:val="22"/>
              </w:rPr>
            </w:pPr>
            <w:r>
              <w:rPr>
                <w:rFonts w:ascii="Arial" w:hAnsi="Arial" w:cs="Arial"/>
                <w:b/>
                <w:bCs/>
                <w:szCs w:val="22"/>
              </w:rPr>
              <w:t>súhlasné stanovisko</w:t>
            </w:r>
          </w:p>
          <w:p w:rsidR="00003E3C" w:rsidRDefault="00003E3C" w:rsidP="00003E3C">
            <w:pPr>
              <w:tabs>
                <w:tab w:val="center" w:pos="6379"/>
              </w:tabs>
              <w:ind w:right="-2"/>
              <w:jc w:val="both"/>
              <w:rPr>
                <w:rFonts w:ascii="Arial" w:hAnsi="Arial" w:cs="Arial"/>
                <w:bCs/>
                <w:szCs w:val="22"/>
              </w:rPr>
            </w:pPr>
          </w:p>
          <w:p w:rsidR="00003E3C" w:rsidRDefault="00003E3C" w:rsidP="00003E3C">
            <w:pPr>
              <w:tabs>
                <w:tab w:val="center" w:pos="6379"/>
              </w:tabs>
              <w:ind w:right="-2"/>
              <w:jc w:val="both"/>
              <w:rPr>
                <w:rFonts w:ascii="Arial" w:hAnsi="Arial" w:cs="Arial"/>
                <w:b/>
                <w:bCs/>
                <w:szCs w:val="22"/>
              </w:rPr>
            </w:pPr>
            <w:r>
              <w:rPr>
                <w:rFonts w:ascii="Arial" w:hAnsi="Arial" w:cs="Arial"/>
                <w:bCs/>
                <w:szCs w:val="22"/>
                <w:u w:val="single"/>
              </w:rPr>
              <w:t>k udeleniu výnimky pri uplatňovaní postupu podľa Jednotnej metodiky na posudzovanie vybraných vplyvov predmetnému materiálu</w:t>
            </w:r>
            <w:r>
              <w:rPr>
                <w:rFonts w:ascii="Arial" w:hAnsi="Arial" w:cs="Arial"/>
                <w:bCs/>
                <w:szCs w:val="22"/>
              </w:rPr>
              <w:t xml:space="preserve">. </w:t>
            </w:r>
          </w:p>
          <w:p w:rsidR="00003E3C" w:rsidRDefault="00003E3C" w:rsidP="00003E3C">
            <w:pPr>
              <w:tabs>
                <w:tab w:val="center" w:pos="6379"/>
              </w:tabs>
              <w:ind w:right="-2"/>
              <w:jc w:val="both"/>
              <w:rPr>
                <w:rFonts w:ascii="Arial" w:hAnsi="Arial" w:cs="Arial"/>
                <w:b/>
                <w:bCs/>
                <w:szCs w:val="22"/>
              </w:rPr>
            </w:pPr>
          </w:p>
          <w:p w:rsidR="00003E3C" w:rsidRDefault="00003E3C" w:rsidP="00003E3C">
            <w:pPr>
              <w:tabs>
                <w:tab w:val="center" w:pos="6379"/>
              </w:tabs>
              <w:ind w:right="-2"/>
              <w:jc w:val="both"/>
              <w:rPr>
                <w:rFonts w:ascii="Arial" w:hAnsi="Arial" w:cs="Arial"/>
                <w:bCs/>
                <w:szCs w:val="22"/>
              </w:rPr>
            </w:pPr>
            <w:r>
              <w:rPr>
                <w:rFonts w:ascii="Arial" w:hAnsi="Arial" w:cs="Arial"/>
                <w:b/>
                <w:bCs/>
                <w:szCs w:val="22"/>
              </w:rPr>
              <w:t xml:space="preserve">IV. Poznámka: </w:t>
            </w:r>
            <w:r>
              <w:rPr>
                <w:rFonts w:ascii="Arial" w:hAnsi="Arial" w:cs="Arial"/>
                <w:bCs/>
                <w:szCs w:val="22"/>
              </w:rPr>
              <w:t>Komisia si dovoľuje predkladateľovi pripomenúť, že výnimka pri uplatňovaní postupu podľa jednotnej metodiky znamená, že materiál nemusí prejsť štandardným procesom podľa Jednotnej metodiky na posudzovane vybraných vplyvov (nemusí sa uskutočniť: proces konzultácií, predbežného pripomienkového konania a proces záverečného posúdenia). Materiál však musí obsahovať potrebné náležitosti (doložku vybraných vplyvov a analýzy vplyvov).</w:t>
            </w:r>
          </w:p>
          <w:p w:rsidR="00003E3C" w:rsidRDefault="00003E3C" w:rsidP="00003E3C">
            <w:pPr>
              <w:tabs>
                <w:tab w:val="center" w:pos="6379"/>
              </w:tabs>
              <w:ind w:right="-2"/>
              <w:jc w:val="both"/>
              <w:rPr>
                <w:rFonts w:ascii="Arial" w:hAnsi="Arial" w:cs="Arial"/>
                <w:bCs/>
                <w:szCs w:val="22"/>
              </w:rPr>
            </w:pPr>
          </w:p>
          <w:p w:rsidR="00003E3C" w:rsidRDefault="00003E3C" w:rsidP="00003E3C">
            <w:pPr>
              <w:tabs>
                <w:tab w:val="center" w:pos="6379"/>
              </w:tabs>
              <w:ind w:right="-2"/>
              <w:jc w:val="both"/>
              <w:rPr>
                <w:rFonts w:ascii="Arial" w:hAnsi="Arial" w:cs="Arial"/>
                <w:b/>
                <w:bCs/>
                <w:szCs w:val="22"/>
              </w:rPr>
            </w:pPr>
            <w:r>
              <w:rPr>
                <w:rFonts w:ascii="Arial" w:hAnsi="Arial" w:cs="Arial"/>
                <w:bCs/>
                <w:szCs w:val="22"/>
              </w:rPr>
              <w:t>Komisia zároveň upozorňuje predkladateľa, že stanovisko Komisie je nutné uviesť do doložky vybraných vplyvov.</w:t>
            </w:r>
          </w:p>
          <w:p w:rsidR="00003E3C" w:rsidRDefault="00003E3C" w:rsidP="00003E3C">
            <w:pPr>
              <w:tabs>
                <w:tab w:val="center" w:pos="6379"/>
              </w:tabs>
              <w:ind w:right="-2"/>
              <w:jc w:val="center"/>
              <w:rPr>
                <w:rFonts w:ascii="Arial" w:hAnsi="Arial" w:cs="Arial"/>
                <w:b/>
                <w:bCs/>
                <w:szCs w:val="22"/>
              </w:rPr>
            </w:pPr>
          </w:p>
          <w:p w:rsidR="00003E3C" w:rsidRDefault="00003E3C" w:rsidP="00003E3C">
            <w:pPr>
              <w:tabs>
                <w:tab w:val="center" w:pos="6379"/>
              </w:tabs>
              <w:ind w:right="-2"/>
              <w:jc w:val="center"/>
              <w:rPr>
                <w:rFonts w:ascii="Arial" w:hAnsi="Arial" w:cs="Arial"/>
                <w:bCs/>
                <w:szCs w:val="22"/>
              </w:rPr>
            </w:pPr>
            <w:r>
              <w:rPr>
                <w:rFonts w:ascii="Arial" w:hAnsi="Arial" w:cs="Arial"/>
                <w:b/>
                <w:bCs/>
                <w:szCs w:val="22"/>
              </w:rPr>
              <w:tab/>
              <w:t xml:space="preserve">JUDr. Martin </w:t>
            </w:r>
            <w:proofErr w:type="spellStart"/>
            <w:r>
              <w:rPr>
                <w:rFonts w:ascii="Arial" w:hAnsi="Arial" w:cs="Arial"/>
                <w:b/>
                <w:bCs/>
                <w:szCs w:val="22"/>
              </w:rPr>
              <w:t>Semanco</w:t>
            </w:r>
            <w:proofErr w:type="spellEnd"/>
            <w:r>
              <w:rPr>
                <w:rFonts w:ascii="Arial" w:hAnsi="Arial" w:cs="Arial"/>
                <w:bCs/>
                <w:szCs w:val="22"/>
              </w:rPr>
              <w:t xml:space="preserve">   </w:t>
            </w:r>
          </w:p>
          <w:p w:rsidR="00003E3C" w:rsidRDefault="00003E3C" w:rsidP="00003E3C">
            <w:pPr>
              <w:tabs>
                <w:tab w:val="center" w:pos="6379"/>
              </w:tabs>
              <w:ind w:right="-2"/>
              <w:rPr>
                <w:sz w:val="20"/>
                <w:szCs w:val="20"/>
              </w:rPr>
            </w:pPr>
            <w:r>
              <w:rPr>
                <w:rFonts w:ascii="Arial" w:hAnsi="Arial" w:cs="Arial"/>
                <w:bCs/>
                <w:szCs w:val="22"/>
              </w:rPr>
              <w:tab/>
              <w:t xml:space="preserve">                      predseda Komisie</w:t>
            </w:r>
          </w:p>
          <w:p w:rsidR="00003E3C" w:rsidRDefault="00003E3C" w:rsidP="00003E3C"/>
          <w:p w:rsidR="00B07B6B" w:rsidRDefault="00B07B6B">
            <w:pPr>
              <w:rPr>
                <w:b/>
                <w:sz w:val="20"/>
                <w:szCs w:val="20"/>
                <w:lang w:eastAsia="sk-SK"/>
              </w:rPr>
            </w:pPr>
          </w:p>
        </w:tc>
      </w:tr>
      <w:tr w:rsidR="00B07B6B" w:rsidTr="00B07B6B">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B07B6B" w:rsidRDefault="00B07B6B" w:rsidP="00B07B6B">
            <w:pPr>
              <w:numPr>
                <w:ilvl w:val="0"/>
                <w:numId w:val="3"/>
              </w:numPr>
              <w:ind w:left="450" w:hanging="425"/>
              <w:contextualSpacing/>
              <w:jc w:val="both"/>
              <w:rPr>
                <w:rFonts w:eastAsia="Calibri"/>
                <w:b/>
                <w:sz w:val="22"/>
                <w:szCs w:val="22"/>
                <w:lang w:eastAsia="en-US"/>
              </w:rPr>
            </w:pPr>
            <w:r>
              <w:rPr>
                <w:rFonts w:eastAsia="Calibri"/>
                <w:b/>
              </w:rPr>
              <w:lastRenderedPageBreak/>
              <w:t>Stanovisko Komisie na posudzovanie vybraných vplyvov zo záverečného posúdenia č. ..........</w:t>
            </w:r>
            <w:r>
              <w:rPr>
                <w:rFonts w:eastAsia="Calibri"/>
              </w:rPr>
              <w:t xml:space="preserve"> (v prípade, ak sa uskutočnilo v zmysle bodu 9.1. Jednotnej metodiky) </w:t>
            </w:r>
          </w:p>
        </w:tc>
      </w:tr>
      <w:tr w:rsidR="00B07B6B" w:rsidTr="00B07B6B">
        <w:tc>
          <w:tcPr>
            <w:tcW w:w="9176" w:type="dxa"/>
            <w:tcBorders>
              <w:top w:val="single" w:sz="4" w:space="0" w:color="FFFFFF"/>
              <w:left w:val="single" w:sz="4" w:space="0" w:color="auto"/>
              <w:bottom w:val="single" w:sz="4" w:space="0" w:color="auto"/>
              <w:right w:val="single" w:sz="4" w:space="0" w:color="auto"/>
            </w:tcBorders>
            <w:shd w:val="clear" w:color="auto" w:fill="FFFFFF"/>
          </w:tcPr>
          <w:p w:rsidR="00B07B6B" w:rsidRDefault="00B07B6B">
            <w:pPr>
              <w:rPr>
                <w:b/>
                <w:sz w:val="20"/>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07B6B">
              <w:trPr>
                <w:trHeight w:val="396"/>
              </w:trPr>
              <w:tc>
                <w:tcPr>
                  <w:tcW w:w="2552" w:type="dxa"/>
                  <w:hideMark/>
                </w:tcPr>
                <w:p w:rsidR="00B07B6B" w:rsidRDefault="00F14CEF">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B07B6B">
                        <w:rPr>
                          <w:rFonts w:ascii="MS Gothic" w:eastAsia="MS Gothic" w:hAnsi="MS Gothic" w:hint="eastAsia"/>
                          <w:b/>
                          <w:sz w:val="20"/>
                          <w:szCs w:val="20"/>
                          <w:lang w:eastAsia="sk-SK"/>
                        </w:rPr>
                        <w:t>☐</w:t>
                      </w:r>
                    </w:sdtContent>
                  </w:sdt>
                  <w:r w:rsidR="00B07B6B">
                    <w:rPr>
                      <w:b/>
                      <w:sz w:val="20"/>
                      <w:szCs w:val="20"/>
                      <w:lang w:eastAsia="sk-SK"/>
                    </w:rPr>
                    <w:t xml:space="preserve">   Súhlasné </w:t>
                  </w:r>
                </w:p>
              </w:tc>
              <w:tc>
                <w:tcPr>
                  <w:tcW w:w="3827" w:type="dxa"/>
                  <w:hideMark/>
                </w:tcPr>
                <w:p w:rsidR="00B07B6B" w:rsidRDefault="00F14CEF">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B07B6B">
                        <w:rPr>
                          <w:rFonts w:ascii="MS Gothic" w:eastAsia="MS Gothic" w:hAnsi="MS Gothic" w:hint="eastAsia"/>
                          <w:b/>
                          <w:sz w:val="20"/>
                          <w:szCs w:val="20"/>
                          <w:lang w:eastAsia="sk-SK"/>
                        </w:rPr>
                        <w:t>☐</w:t>
                      </w:r>
                    </w:sdtContent>
                  </w:sdt>
                  <w:r w:rsidR="00B07B6B">
                    <w:rPr>
                      <w:b/>
                      <w:sz w:val="20"/>
                      <w:szCs w:val="20"/>
                      <w:lang w:eastAsia="sk-SK"/>
                    </w:rPr>
                    <w:t xml:space="preserve">  Súhlasné s  návrhom na dopracovanie</w:t>
                  </w:r>
                </w:p>
              </w:tc>
              <w:tc>
                <w:tcPr>
                  <w:tcW w:w="2534" w:type="dxa"/>
                  <w:hideMark/>
                </w:tcPr>
                <w:p w:rsidR="00B07B6B" w:rsidRDefault="00F14CEF">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B07B6B">
                        <w:rPr>
                          <w:rFonts w:ascii="MS Gothic" w:eastAsia="MS Gothic" w:hAnsi="MS Gothic" w:hint="eastAsia"/>
                          <w:b/>
                          <w:sz w:val="20"/>
                          <w:szCs w:val="20"/>
                          <w:lang w:eastAsia="sk-SK"/>
                        </w:rPr>
                        <w:t>☐</w:t>
                      </w:r>
                    </w:sdtContent>
                  </w:sdt>
                  <w:r w:rsidR="00B07B6B">
                    <w:rPr>
                      <w:b/>
                      <w:sz w:val="20"/>
                      <w:szCs w:val="20"/>
                      <w:lang w:eastAsia="sk-SK"/>
                    </w:rPr>
                    <w:t xml:space="preserve">  Nesúhlasné</w:t>
                  </w:r>
                </w:p>
              </w:tc>
            </w:tr>
          </w:tbl>
          <w:p w:rsidR="00B07B6B" w:rsidRDefault="00B07B6B">
            <w:pPr>
              <w:jc w:val="both"/>
              <w:rPr>
                <w:b/>
                <w:sz w:val="20"/>
                <w:szCs w:val="20"/>
                <w:lang w:eastAsia="sk-SK"/>
              </w:rPr>
            </w:pPr>
            <w:r>
              <w:rPr>
                <w:b/>
                <w:sz w:val="20"/>
                <w:szCs w:val="20"/>
                <w:lang w:eastAsia="sk-SK"/>
              </w:rPr>
              <w:t>Uveďte pripomienky zo stanoviska Komisie z časti II. spolu s Vaším vyhodnotením:</w:t>
            </w:r>
          </w:p>
          <w:p w:rsidR="00B07B6B" w:rsidRDefault="00B07B6B">
            <w:pPr>
              <w:rPr>
                <w:b/>
                <w:sz w:val="20"/>
                <w:szCs w:val="20"/>
                <w:lang w:eastAsia="sk-SK"/>
              </w:rPr>
            </w:pPr>
          </w:p>
          <w:p w:rsidR="00B07B6B" w:rsidRDefault="00B07B6B">
            <w:pPr>
              <w:rPr>
                <w:b/>
                <w:sz w:val="20"/>
                <w:szCs w:val="20"/>
                <w:lang w:eastAsia="sk-SK"/>
              </w:rPr>
            </w:pPr>
          </w:p>
        </w:tc>
      </w:tr>
    </w:tbl>
    <w:p w:rsidR="00B07B6B" w:rsidRDefault="00B07B6B" w:rsidP="00B07B6B">
      <w:pPr>
        <w:rPr>
          <w:rFonts w:asciiTheme="minorHAnsi" w:eastAsiaTheme="minorHAnsi" w:hAnsiTheme="minorHAnsi" w:cstheme="minorBidi"/>
          <w:sz w:val="22"/>
          <w:szCs w:val="22"/>
          <w:lang w:eastAsia="en-US"/>
        </w:rPr>
      </w:pPr>
    </w:p>
    <w:p w:rsidR="004C6FB3" w:rsidRPr="00397232" w:rsidRDefault="004C6FB3" w:rsidP="00397232">
      <w:pPr>
        <w:rPr>
          <w:rFonts w:eastAsiaTheme="minorHAnsi"/>
        </w:rPr>
      </w:pPr>
    </w:p>
    <w:sectPr w:rsidR="004C6FB3" w:rsidRPr="00397232" w:rsidSect="00162F82">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134" w:left="851" w:header="73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EF" w:rsidRDefault="00F14CEF" w:rsidP="00B03338">
      <w:r>
        <w:separator/>
      </w:r>
    </w:p>
  </w:endnote>
  <w:endnote w:type="continuationSeparator" w:id="0">
    <w:p w:rsidR="00F14CEF" w:rsidRDefault="00F14CEF" w:rsidP="00B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38" w:rsidRDefault="00B0333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38" w:rsidRDefault="00B0333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38" w:rsidRDefault="00B033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EF" w:rsidRDefault="00F14CEF" w:rsidP="00B03338">
      <w:r>
        <w:separator/>
      </w:r>
    </w:p>
  </w:footnote>
  <w:footnote w:type="continuationSeparator" w:id="0">
    <w:p w:rsidR="00F14CEF" w:rsidRDefault="00F14CEF" w:rsidP="00B0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38" w:rsidRDefault="00B0333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38" w:rsidRDefault="00B0333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38" w:rsidRDefault="00B033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AB6015"/>
    <w:multiLevelType w:val="hybridMultilevel"/>
    <w:tmpl w:val="A3F46F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0B51FAE"/>
    <w:multiLevelType w:val="hybridMultilevel"/>
    <w:tmpl w:val="FBD4A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922DF8"/>
    <w:multiLevelType w:val="hybridMultilevel"/>
    <w:tmpl w:val="7C6843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2F"/>
    <w:rsid w:val="00003E3C"/>
    <w:rsid w:val="00004FF6"/>
    <w:rsid w:val="0010664F"/>
    <w:rsid w:val="0012477C"/>
    <w:rsid w:val="00197DE4"/>
    <w:rsid w:val="001B47D2"/>
    <w:rsid w:val="001D362F"/>
    <w:rsid w:val="00202ABC"/>
    <w:rsid w:val="0020767F"/>
    <w:rsid w:val="002320DE"/>
    <w:rsid w:val="00290CDC"/>
    <w:rsid w:val="002C1A7E"/>
    <w:rsid w:val="002D7CE9"/>
    <w:rsid w:val="002E6933"/>
    <w:rsid w:val="003167A1"/>
    <w:rsid w:val="00390447"/>
    <w:rsid w:val="00397232"/>
    <w:rsid w:val="003F6973"/>
    <w:rsid w:val="00414136"/>
    <w:rsid w:val="00415E00"/>
    <w:rsid w:val="004236AD"/>
    <w:rsid w:val="00447D2F"/>
    <w:rsid w:val="00451244"/>
    <w:rsid w:val="00451B4F"/>
    <w:rsid w:val="004B1F03"/>
    <w:rsid w:val="004C6FB3"/>
    <w:rsid w:val="004E556B"/>
    <w:rsid w:val="004F5544"/>
    <w:rsid w:val="0052769B"/>
    <w:rsid w:val="00544D5D"/>
    <w:rsid w:val="005B43E0"/>
    <w:rsid w:val="005B4EFC"/>
    <w:rsid w:val="005C3545"/>
    <w:rsid w:val="00600E7A"/>
    <w:rsid w:val="00613A2D"/>
    <w:rsid w:val="006272F6"/>
    <w:rsid w:val="00635933"/>
    <w:rsid w:val="00650834"/>
    <w:rsid w:val="00651D5F"/>
    <w:rsid w:val="006956FC"/>
    <w:rsid w:val="006B1E7F"/>
    <w:rsid w:val="006B636F"/>
    <w:rsid w:val="006E43C9"/>
    <w:rsid w:val="006F5927"/>
    <w:rsid w:val="00710C71"/>
    <w:rsid w:val="0075598A"/>
    <w:rsid w:val="007D4603"/>
    <w:rsid w:val="007D4C5A"/>
    <w:rsid w:val="008263EB"/>
    <w:rsid w:val="00851D4C"/>
    <w:rsid w:val="00866838"/>
    <w:rsid w:val="008863FA"/>
    <w:rsid w:val="00887D25"/>
    <w:rsid w:val="0089420A"/>
    <w:rsid w:val="008A29BB"/>
    <w:rsid w:val="008B5D30"/>
    <w:rsid w:val="008C2E60"/>
    <w:rsid w:val="008C76A7"/>
    <w:rsid w:val="008D35FC"/>
    <w:rsid w:val="008D64F7"/>
    <w:rsid w:val="008E14B5"/>
    <w:rsid w:val="008F6609"/>
    <w:rsid w:val="0091683E"/>
    <w:rsid w:val="00922750"/>
    <w:rsid w:val="0093490C"/>
    <w:rsid w:val="009964F4"/>
    <w:rsid w:val="009A1851"/>
    <w:rsid w:val="00A35776"/>
    <w:rsid w:val="00A64F6C"/>
    <w:rsid w:val="00A77833"/>
    <w:rsid w:val="00AE294B"/>
    <w:rsid w:val="00B03338"/>
    <w:rsid w:val="00B07B6B"/>
    <w:rsid w:val="00B734D7"/>
    <w:rsid w:val="00B90AF3"/>
    <w:rsid w:val="00BB3417"/>
    <w:rsid w:val="00BD731A"/>
    <w:rsid w:val="00BE3B79"/>
    <w:rsid w:val="00BE5E50"/>
    <w:rsid w:val="00BF4F4E"/>
    <w:rsid w:val="00CF4A4A"/>
    <w:rsid w:val="00D66DA3"/>
    <w:rsid w:val="00DC3D0A"/>
    <w:rsid w:val="00DC7919"/>
    <w:rsid w:val="00DD4B29"/>
    <w:rsid w:val="00DE5AEB"/>
    <w:rsid w:val="00E41C56"/>
    <w:rsid w:val="00E47E77"/>
    <w:rsid w:val="00E577B2"/>
    <w:rsid w:val="00E63380"/>
    <w:rsid w:val="00EA08E4"/>
    <w:rsid w:val="00EB35EE"/>
    <w:rsid w:val="00F14CEF"/>
    <w:rsid w:val="00F16822"/>
    <w:rsid w:val="00F96E2A"/>
    <w:rsid w:val="00FA2FD7"/>
    <w:rsid w:val="00FE3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79597-D28B-4F8F-8E9E-CAA14433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731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y"/>
    <w:next w:val="Zkladntext"/>
    <w:link w:val="Nadpis4Char"/>
    <w:semiHidden/>
    <w:unhideWhenUsed/>
    <w:qFormat/>
    <w:rsid w:val="00003E3C"/>
    <w:pPr>
      <w:keepNext/>
      <w:numPr>
        <w:ilvl w:val="3"/>
        <w:numId w:val="5"/>
      </w:numPr>
      <w:suppressAutoHyphens/>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F5927"/>
    <w:rPr>
      <w:color w:val="0000FF" w:themeColor="hyperlink"/>
      <w:u w:val="single"/>
    </w:rPr>
  </w:style>
  <w:style w:type="paragraph" w:customStyle="1" w:styleId="Textformulra">
    <w:name w:val="Text formulára"/>
    <w:basedOn w:val="Normlny"/>
    <w:uiPriority w:val="2"/>
    <w:qFormat/>
    <w:rsid w:val="003167A1"/>
    <w:pPr>
      <w:spacing w:after="120"/>
      <w:contextualSpacing/>
    </w:pPr>
    <w:rPr>
      <w:rFonts w:asciiTheme="minorHAnsi" w:eastAsiaTheme="minorHAnsi" w:hAnsiTheme="minorHAnsi" w:cstheme="minorBidi"/>
      <w:color w:val="404040" w:themeColor="text1" w:themeTint="BF"/>
      <w:kern w:val="2"/>
      <w:sz w:val="18"/>
      <w:szCs w:val="20"/>
      <w:lang w:val="en-US" w:eastAsia="ja-JP"/>
      <w14:ligatures w14:val="standard"/>
    </w:rPr>
  </w:style>
  <w:style w:type="paragraph" w:styleId="Textbubliny">
    <w:name w:val="Balloon Text"/>
    <w:basedOn w:val="Normlny"/>
    <w:link w:val="TextbublinyChar"/>
    <w:uiPriority w:val="99"/>
    <w:semiHidden/>
    <w:unhideWhenUsed/>
    <w:rsid w:val="001B47D2"/>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7D2"/>
    <w:rPr>
      <w:rFonts w:ascii="Segoe UI" w:eastAsia="Times New Roman" w:hAnsi="Segoe UI" w:cs="Segoe UI"/>
      <w:sz w:val="18"/>
      <w:szCs w:val="18"/>
      <w:lang w:eastAsia="cs-CZ"/>
    </w:rPr>
  </w:style>
  <w:style w:type="paragraph" w:customStyle="1" w:styleId="Default">
    <w:name w:val="Default"/>
    <w:rsid w:val="005B4EF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59"/>
    <w:rsid w:val="00E4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DC7919"/>
    <w:pPr>
      <w:ind w:left="720"/>
      <w:contextualSpacing/>
    </w:pPr>
  </w:style>
  <w:style w:type="paragraph" w:customStyle="1" w:styleId="default0">
    <w:name w:val="default"/>
    <w:basedOn w:val="Normlny"/>
    <w:uiPriority w:val="99"/>
    <w:rsid w:val="0010664F"/>
    <w:rPr>
      <w:rFonts w:eastAsiaTheme="minorHAnsi"/>
      <w:lang w:eastAsia="sk-SK"/>
    </w:rPr>
  </w:style>
  <w:style w:type="table" w:customStyle="1" w:styleId="Mriekatabuky1">
    <w:name w:val="Mriežka tabuľky1"/>
    <w:basedOn w:val="Normlnatabuka"/>
    <w:uiPriority w:val="59"/>
    <w:rsid w:val="00B07B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semiHidden/>
    <w:rsid w:val="00003E3C"/>
    <w:rPr>
      <w:rFonts w:ascii="Times New Roman" w:eastAsia="Times New Roman" w:hAnsi="Times New Roman" w:cs="Times New Roman"/>
      <w:b/>
      <w:smallCaps/>
      <w:sz w:val="26"/>
      <w:szCs w:val="20"/>
      <w:lang w:eastAsia="ar-SA"/>
    </w:rPr>
  </w:style>
  <w:style w:type="paragraph" w:customStyle="1" w:styleId="xxmsonormal">
    <w:name w:val="x_xmsonormal"/>
    <w:basedOn w:val="Normlny"/>
    <w:rsid w:val="00003E3C"/>
    <w:rPr>
      <w:rFonts w:eastAsiaTheme="minorHAnsi"/>
      <w:lang w:eastAsia="sk-SK"/>
    </w:rPr>
  </w:style>
  <w:style w:type="character" w:styleId="Jemnodkaz">
    <w:name w:val="Subtle Reference"/>
    <w:basedOn w:val="Predvolenpsmoodseku"/>
    <w:uiPriority w:val="31"/>
    <w:qFormat/>
    <w:rsid w:val="00003E3C"/>
    <w:rPr>
      <w:smallCaps/>
      <w:color w:val="5A5A5A" w:themeColor="text1" w:themeTint="A5"/>
    </w:rPr>
  </w:style>
  <w:style w:type="paragraph" w:styleId="Zkladntext">
    <w:name w:val="Body Text"/>
    <w:basedOn w:val="Normlny"/>
    <w:link w:val="ZkladntextChar"/>
    <w:uiPriority w:val="99"/>
    <w:semiHidden/>
    <w:unhideWhenUsed/>
    <w:rsid w:val="00003E3C"/>
    <w:pPr>
      <w:spacing w:after="120"/>
    </w:pPr>
  </w:style>
  <w:style w:type="character" w:customStyle="1" w:styleId="ZkladntextChar">
    <w:name w:val="Základný text Char"/>
    <w:basedOn w:val="Predvolenpsmoodseku"/>
    <w:link w:val="Zkladntext"/>
    <w:uiPriority w:val="99"/>
    <w:semiHidden/>
    <w:rsid w:val="00003E3C"/>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B03338"/>
    <w:pPr>
      <w:tabs>
        <w:tab w:val="center" w:pos="4536"/>
        <w:tab w:val="right" w:pos="9072"/>
      </w:tabs>
    </w:pPr>
  </w:style>
  <w:style w:type="character" w:customStyle="1" w:styleId="HlavikaChar">
    <w:name w:val="Hlavička Char"/>
    <w:basedOn w:val="Predvolenpsmoodseku"/>
    <w:link w:val="Hlavika"/>
    <w:uiPriority w:val="99"/>
    <w:rsid w:val="00B03338"/>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B03338"/>
    <w:pPr>
      <w:tabs>
        <w:tab w:val="center" w:pos="4536"/>
        <w:tab w:val="right" w:pos="9072"/>
      </w:tabs>
    </w:pPr>
  </w:style>
  <w:style w:type="character" w:customStyle="1" w:styleId="PtaChar">
    <w:name w:val="Päta Char"/>
    <w:basedOn w:val="Predvolenpsmoodseku"/>
    <w:link w:val="Pta"/>
    <w:uiPriority w:val="99"/>
    <w:rsid w:val="00B0333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7103">
      <w:bodyDiv w:val="1"/>
      <w:marLeft w:val="0"/>
      <w:marRight w:val="0"/>
      <w:marTop w:val="0"/>
      <w:marBottom w:val="0"/>
      <w:divBdr>
        <w:top w:val="none" w:sz="0" w:space="0" w:color="auto"/>
        <w:left w:val="none" w:sz="0" w:space="0" w:color="auto"/>
        <w:bottom w:val="none" w:sz="0" w:space="0" w:color="auto"/>
        <w:right w:val="none" w:sz="0" w:space="0" w:color="auto"/>
      </w:divBdr>
    </w:div>
    <w:div w:id="478690510">
      <w:bodyDiv w:val="1"/>
      <w:marLeft w:val="0"/>
      <w:marRight w:val="0"/>
      <w:marTop w:val="0"/>
      <w:marBottom w:val="0"/>
      <w:divBdr>
        <w:top w:val="none" w:sz="0" w:space="0" w:color="auto"/>
        <w:left w:val="none" w:sz="0" w:space="0" w:color="auto"/>
        <w:bottom w:val="none" w:sz="0" w:space="0" w:color="auto"/>
        <w:right w:val="none" w:sz="0" w:space="0" w:color="auto"/>
      </w:divBdr>
    </w:div>
    <w:div w:id="498891081">
      <w:bodyDiv w:val="1"/>
      <w:marLeft w:val="0"/>
      <w:marRight w:val="0"/>
      <w:marTop w:val="0"/>
      <w:marBottom w:val="0"/>
      <w:divBdr>
        <w:top w:val="none" w:sz="0" w:space="0" w:color="auto"/>
        <w:left w:val="none" w:sz="0" w:space="0" w:color="auto"/>
        <w:bottom w:val="none" w:sz="0" w:space="0" w:color="auto"/>
        <w:right w:val="none" w:sz="0" w:space="0" w:color="auto"/>
      </w:divBdr>
    </w:div>
    <w:div w:id="595596157">
      <w:bodyDiv w:val="1"/>
      <w:marLeft w:val="0"/>
      <w:marRight w:val="0"/>
      <w:marTop w:val="0"/>
      <w:marBottom w:val="0"/>
      <w:divBdr>
        <w:top w:val="none" w:sz="0" w:space="0" w:color="auto"/>
        <w:left w:val="none" w:sz="0" w:space="0" w:color="auto"/>
        <w:bottom w:val="none" w:sz="0" w:space="0" w:color="auto"/>
        <w:right w:val="none" w:sz="0" w:space="0" w:color="auto"/>
      </w:divBdr>
    </w:div>
    <w:div w:id="631710071">
      <w:bodyDiv w:val="1"/>
      <w:marLeft w:val="0"/>
      <w:marRight w:val="0"/>
      <w:marTop w:val="0"/>
      <w:marBottom w:val="0"/>
      <w:divBdr>
        <w:top w:val="none" w:sz="0" w:space="0" w:color="auto"/>
        <w:left w:val="none" w:sz="0" w:space="0" w:color="auto"/>
        <w:bottom w:val="none" w:sz="0" w:space="0" w:color="auto"/>
        <w:right w:val="none" w:sz="0" w:space="0" w:color="auto"/>
      </w:divBdr>
    </w:div>
    <w:div w:id="1266619348">
      <w:bodyDiv w:val="1"/>
      <w:marLeft w:val="0"/>
      <w:marRight w:val="0"/>
      <w:marTop w:val="0"/>
      <w:marBottom w:val="0"/>
      <w:divBdr>
        <w:top w:val="none" w:sz="0" w:space="0" w:color="auto"/>
        <w:left w:val="none" w:sz="0" w:space="0" w:color="auto"/>
        <w:bottom w:val="none" w:sz="0" w:space="0" w:color="auto"/>
        <w:right w:val="none" w:sz="0" w:space="0" w:color="auto"/>
      </w:divBdr>
    </w:div>
    <w:div w:id="1295674103">
      <w:bodyDiv w:val="1"/>
      <w:marLeft w:val="0"/>
      <w:marRight w:val="0"/>
      <w:marTop w:val="0"/>
      <w:marBottom w:val="0"/>
      <w:divBdr>
        <w:top w:val="none" w:sz="0" w:space="0" w:color="auto"/>
        <w:left w:val="none" w:sz="0" w:space="0" w:color="auto"/>
        <w:bottom w:val="none" w:sz="0" w:space="0" w:color="auto"/>
        <w:right w:val="none" w:sz="0" w:space="0" w:color="auto"/>
      </w:divBdr>
    </w:div>
    <w:div w:id="1523127242">
      <w:bodyDiv w:val="1"/>
      <w:marLeft w:val="0"/>
      <w:marRight w:val="0"/>
      <w:marTop w:val="0"/>
      <w:marBottom w:val="0"/>
      <w:divBdr>
        <w:top w:val="none" w:sz="0" w:space="0" w:color="auto"/>
        <w:left w:val="none" w:sz="0" w:space="0" w:color="auto"/>
        <w:bottom w:val="none" w:sz="0" w:space="0" w:color="auto"/>
        <w:right w:val="none" w:sz="0" w:space="0" w:color="auto"/>
      </w:divBdr>
    </w:div>
    <w:div w:id="1660579601">
      <w:bodyDiv w:val="1"/>
      <w:marLeft w:val="0"/>
      <w:marRight w:val="0"/>
      <w:marTop w:val="0"/>
      <w:marBottom w:val="0"/>
      <w:divBdr>
        <w:top w:val="none" w:sz="0" w:space="0" w:color="auto"/>
        <w:left w:val="none" w:sz="0" w:space="0" w:color="auto"/>
        <w:bottom w:val="none" w:sz="0" w:space="0" w:color="auto"/>
        <w:right w:val="none" w:sz="0" w:space="0" w:color="auto"/>
      </w:divBdr>
    </w:div>
    <w:div w:id="1676608685">
      <w:bodyDiv w:val="1"/>
      <w:marLeft w:val="0"/>
      <w:marRight w:val="0"/>
      <w:marTop w:val="0"/>
      <w:marBottom w:val="0"/>
      <w:divBdr>
        <w:top w:val="none" w:sz="0" w:space="0" w:color="auto"/>
        <w:left w:val="none" w:sz="0" w:space="0" w:color="auto"/>
        <w:bottom w:val="none" w:sz="0" w:space="0" w:color="auto"/>
        <w:right w:val="none" w:sz="0" w:space="0" w:color="auto"/>
      </w:divBdr>
    </w:div>
    <w:div w:id="17084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a.machajdikova@emplyment.gov.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2829</Words>
  <Characters>16127</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Filipova Viera</dc:creator>
  <cp:lastModifiedBy>Filipova Viera</cp:lastModifiedBy>
  <cp:revision>127</cp:revision>
  <cp:lastPrinted>2025-04-02T08:22:00Z</cp:lastPrinted>
  <dcterms:created xsi:type="dcterms:W3CDTF">2021-01-13T07:45:00Z</dcterms:created>
  <dcterms:modified xsi:type="dcterms:W3CDTF">2025-05-21T16:05:00Z</dcterms:modified>
</cp:coreProperties>
</file>