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D3" w:rsidRPr="00473213" w:rsidRDefault="00E34D78" w:rsidP="005C56D3">
      <w:pPr>
        <w:pStyle w:val="Nadpis1"/>
        <w:jc w:val="center"/>
        <w:rPr>
          <w:b/>
          <w:bCs/>
        </w:rPr>
      </w:pPr>
      <w:r w:rsidRPr="00473213">
        <w:rPr>
          <w:b/>
          <w:bCs/>
        </w:rPr>
        <w:t>VYHLÁSENIE O ROZPOROCH</w:t>
      </w:r>
    </w:p>
    <w:p w:rsidR="005C56D3" w:rsidRPr="00473213" w:rsidRDefault="005C56D3" w:rsidP="005C56D3">
      <w:pPr>
        <w:jc w:val="both"/>
        <w:rPr>
          <w:sz w:val="24"/>
          <w:szCs w:val="24"/>
        </w:rPr>
      </w:pPr>
    </w:p>
    <w:p w:rsidR="005C56D3" w:rsidRPr="00473213" w:rsidRDefault="005C56D3" w:rsidP="005C56D3">
      <w:pPr>
        <w:jc w:val="both"/>
        <w:rPr>
          <w:sz w:val="24"/>
          <w:szCs w:val="24"/>
        </w:rPr>
      </w:pPr>
      <w:r w:rsidRPr="00473213">
        <w:rPr>
          <w:sz w:val="24"/>
          <w:szCs w:val="24"/>
        </w:rPr>
        <w:tab/>
        <w:t xml:space="preserve">Návrh zákona sa predkladá na rokovanie </w:t>
      </w:r>
      <w:r w:rsidR="00B11907">
        <w:rPr>
          <w:sz w:val="24"/>
          <w:szCs w:val="24"/>
        </w:rPr>
        <w:t>LRV SR</w:t>
      </w:r>
      <w:r w:rsidR="00E34D78">
        <w:rPr>
          <w:sz w:val="24"/>
          <w:szCs w:val="24"/>
        </w:rPr>
        <w:t xml:space="preserve"> </w:t>
      </w:r>
      <w:r w:rsidRPr="00473213">
        <w:rPr>
          <w:sz w:val="24"/>
          <w:szCs w:val="24"/>
        </w:rPr>
        <w:t>s rozpor</w:t>
      </w:r>
      <w:r w:rsidR="00A60726">
        <w:rPr>
          <w:sz w:val="24"/>
          <w:szCs w:val="24"/>
        </w:rPr>
        <w:t>om</w:t>
      </w:r>
      <w:r w:rsidRPr="00473213">
        <w:rPr>
          <w:sz w:val="24"/>
          <w:szCs w:val="24"/>
        </w:rPr>
        <w:t xml:space="preserve"> s:</w:t>
      </w:r>
    </w:p>
    <w:p w:rsidR="00473213" w:rsidRPr="00473213" w:rsidRDefault="00473213" w:rsidP="004E3F95">
      <w:pPr>
        <w:pStyle w:val="Zkladntext"/>
      </w:pPr>
    </w:p>
    <w:p w:rsidR="005A4B3D" w:rsidRPr="00B11907" w:rsidRDefault="003C35E5" w:rsidP="00B11907">
      <w:pPr>
        <w:numPr>
          <w:ilvl w:val="0"/>
          <w:numId w:val="5"/>
        </w:numPr>
        <w:jc w:val="both"/>
        <w:rPr>
          <w:rFonts w:ascii="Times" w:hAnsi="Times" w:cs="Times"/>
          <w:i/>
          <w:sz w:val="24"/>
          <w:szCs w:val="24"/>
        </w:rPr>
      </w:pPr>
      <w:r>
        <w:rPr>
          <w:rFonts w:ascii="Times" w:hAnsi="Times" w:cs="Times"/>
          <w:sz w:val="24"/>
          <w:szCs w:val="24"/>
        </w:rPr>
        <w:t>Ministerstvom financií Slovenskej republiky</w:t>
      </w:r>
    </w:p>
    <w:p w:rsidR="005A4B3D" w:rsidRDefault="005A4B3D" w:rsidP="005A4B3D">
      <w:pPr>
        <w:pStyle w:val="Odsekzoznamu"/>
        <w:jc w:val="both"/>
        <w:rPr>
          <w:rFonts w:ascii="Times" w:hAnsi="Times" w:cs="Times"/>
          <w:sz w:val="24"/>
          <w:szCs w:val="24"/>
        </w:rPr>
      </w:pPr>
    </w:p>
    <w:p w:rsidR="005A4B3D" w:rsidRDefault="003C35E5" w:rsidP="005A4B3D">
      <w:pPr>
        <w:pStyle w:val="Odsekzoznamu"/>
        <w:ind w:left="0"/>
        <w:jc w:val="both"/>
        <w:rPr>
          <w:rFonts w:ascii="Times" w:hAnsi="Times" w:cs="Times"/>
          <w:sz w:val="24"/>
          <w:szCs w:val="24"/>
        </w:rPr>
      </w:pPr>
      <w:r>
        <w:rPr>
          <w:rFonts w:ascii="Times" w:hAnsi="Times" w:cs="Times"/>
          <w:sz w:val="24"/>
          <w:szCs w:val="24"/>
        </w:rPr>
        <w:t xml:space="preserve">Ministerstvo financií </w:t>
      </w:r>
      <w:r w:rsidR="00677EAF">
        <w:rPr>
          <w:rFonts w:ascii="Times" w:hAnsi="Times" w:cs="Times"/>
          <w:sz w:val="24"/>
          <w:szCs w:val="24"/>
        </w:rPr>
        <w:t>S</w:t>
      </w:r>
      <w:r>
        <w:rPr>
          <w:rFonts w:ascii="Times" w:hAnsi="Times" w:cs="Times"/>
          <w:sz w:val="24"/>
          <w:szCs w:val="24"/>
        </w:rPr>
        <w:t>lovenskej republiky</w:t>
      </w:r>
      <w:r w:rsidR="005A4B3D">
        <w:rPr>
          <w:rFonts w:ascii="Times" w:hAnsi="Times" w:cs="Times"/>
          <w:sz w:val="24"/>
          <w:szCs w:val="24"/>
        </w:rPr>
        <w:t xml:space="preserve"> zásadne trvá na nasledovnej pripomienke:</w:t>
      </w:r>
    </w:p>
    <w:p w:rsidR="005A4B3D" w:rsidRDefault="005A4B3D" w:rsidP="005A4B3D">
      <w:pPr>
        <w:pStyle w:val="Odsekzoznamu"/>
        <w:ind w:left="0"/>
        <w:jc w:val="both"/>
        <w:rPr>
          <w:iCs/>
          <w:sz w:val="24"/>
          <w:szCs w:val="24"/>
        </w:rPr>
      </w:pPr>
    </w:p>
    <w:p w:rsidR="003C35E5" w:rsidRDefault="003C35E5" w:rsidP="00443FF3">
      <w:pPr>
        <w:jc w:val="both"/>
        <w:rPr>
          <w:iCs/>
          <w:sz w:val="24"/>
          <w:szCs w:val="24"/>
        </w:rPr>
      </w:pPr>
      <w:r w:rsidRPr="003C35E5">
        <w:rPr>
          <w:iCs/>
          <w:sz w:val="24"/>
          <w:szCs w:val="24"/>
        </w:rPr>
        <w:t xml:space="preserve">V doložke vybraných vplyvov (ďalej len „doložka vplyvov“) je označený negatívny vplyv na rozpočet verejnej správy a rozpočtová zabezpečenosť nie je označená. V Analýze vplyvov na rozpočet verejnej správy, na zamestnanosť vo verejnej správe a financovanie návrhu (ďalej len „analýza vplyvov“) sú kvantifikované požadované zvýšené osobné výdavky z dôvodu rozšírenia pracovnej náplne 26 zamestnancov na analytických a právnických pozíciách na rok 2026 vo výške 339 331 eur, na rok 2027 vo výške 350 529 eur a na rok 2028 vo výške 361 045 eur s tým, že „Financovanie bude predmetom rokovaní o </w:t>
      </w:r>
      <w:r>
        <w:rPr>
          <w:iCs/>
          <w:sz w:val="24"/>
          <w:szCs w:val="24"/>
        </w:rPr>
        <w:t xml:space="preserve">návrhu rozpočtu verejnej správy na roky 2026 až 2028.“. </w:t>
      </w:r>
    </w:p>
    <w:p w:rsidR="00620D42" w:rsidRDefault="003C35E5" w:rsidP="00443FF3">
      <w:pPr>
        <w:jc w:val="both"/>
        <w:rPr>
          <w:iCs/>
          <w:sz w:val="24"/>
          <w:szCs w:val="24"/>
        </w:rPr>
      </w:pPr>
      <w:r w:rsidRPr="003C35E5">
        <w:rPr>
          <w:iCs/>
          <w:sz w:val="24"/>
          <w:szCs w:val="24"/>
        </w:rPr>
        <w:br/>
        <w:t>S materiálom zakladajúcim rozpočtovo nekrytý vplyv nesúhlasíme. Žiadame, aby všetky negatívne vplyvy návrhu zákona, týkajúce sa osobných výdavkov v organizácii Rada pre mediálne služby, boli rozpočtovo zabezpečené v rámci schválených limitov organizácie na príslušný rozpočtový rok. V nadväznosti na to žiadame v doložke vplyvov uviesť negatívny vplyv na rozpočet ako rozpočtovo zabezpečený. Uvedené je potrebné zohľadniť aj v analýze vplyvov tak, že z nej nebude vyplývať rozpočtovo nekrytý vplyv.</w:t>
      </w:r>
    </w:p>
    <w:p w:rsidR="003C35E5" w:rsidRDefault="003C35E5" w:rsidP="005A4B3D">
      <w:pPr>
        <w:jc w:val="both"/>
        <w:rPr>
          <w:i/>
          <w:iCs/>
          <w:sz w:val="24"/>
          <w:szCs w:val="24"/>
        </w:rPr>
      </w:pPr>
    </w:p>
    <w:p w:rsidR="005A4B3D" w:rsidRDefault="005A4B3D" w:rsidP="005A4B3D">
      <w:pPr>
        <w:jc w:val="both"/>
        <w:rPr>
          <w:i/>
          <w:iCs/>
          <w:sz w:val="24"/>
          <w:szCs w:val="24"/>
        </w:rPr>
      </w:pPr>
      <w:r w:rsidRPr="006C203C">
        <w:rPr>
          <w:i/>
          <w:iCs/>
          <w:sz w:val="24"/>
          <w:szCs w:val="24"/>
        </w:rPr>
        <w:t>Stanovisko Ministerstva kultúry</w:t>
      </w:r>
      <w:r w:rsidRPr="006C203C">
        <w:rPr>
          <w:sz w:val="24"/>
          <w:szCs w:val="24"/>
        </w:rPr>
        <w:t xml:space="preserve"> </w:t>
      </w:r>
      <w:r w:rsidRPr="006C203C">
        <w:rPr>
          <w:i/>
          <w:sz w:val="24"/>
          <w:szCs w:val="24"/>
        </w:rPr>
        <w:t>Slovenskej republiky</w:t>
      </w:r>
      <w:r w:rsidRPr="006C203C">
        <w:rPr>
          <w:i/>
          <w:iCs/>
          <w:sz w:val="24"/>
          <w:szCs w:val="24"/>
        </w:rPr>
        <w:t>:</w:t>
      </w:r>
    </w:p>
    <w:p w:rsidR="00756A22" w:rsidRDefault="00756A22" w:rsidP="005A4B3D">
      <w:pPr>
        <w:jc w:val="both"/>
        <w:rPr>
          <w:i/>
          <w:iCs/>
          <w:sz w:val="24"/>
          <w:szCs w:val="24"/>
        </w:rPr>
      </w:pPr>
    </w:p>
    <w:p w:rsidR="00756A22" w:rsidRPr="00756A22" w:rsidRDefault="00756A22" w:rsidP="00756A22">
      <w:pPr>
        <w:jc w:val="both"/>
        <w:rPr>
          <w:iCs/>
          <w:sz w:val="24"/>
          <w:szCs w:val="24"/>
        </w:rPr>
      </w:pPr>
      <w:r w:rsidRPr="00756A22">
        <w:rPr>
          <w:iCs/>
          <w:sz w:val="24"/>
          <w:szCs w:val="24"/>
        </w:rPr>
        <w:t>Z čl. 7 ods. 3 Nariadenia Európskeho parlamentu a Rady (EÚ) 2024/1083 (Európsky akt o slobode médií</w:t>
      </w:r>
      <w:r w:rsidRPr="00756A22">
        <w:rPr>
          <w:iCs/>
          <w:sz w:val="24"/>
          <w:szCs w:val="24"/>
          <w:vertAlign w:val="superscript"/>
        </w:rPr>
        <w:footnoteReference w:customMarkFollows="1" w:id="1"/>
        <w:t>[1]</w:t>
      </w:r>
      <w:r w:rsidRPr="00756A22">
        <w:rPr>
          <w:iCs/>
          <w:sz w:val="24"/>
          <w:szCs w:val="24"/>
        </w:rPr>
        <w:t xml:space="preserve"> (ďalej aj „EMFA“) vyplýva pre členské štáty povinnosť zabezpečiť, aby národné regulačné orgány alebo subjekty mali na vykonávanie svojich úloh podľa tohto nariadenia primerané finančné, ľudské a technické zdroje.</w:t>
      </w:r>
    </w:p>
    <w:p w:rsidR="00756A22" w:rsidRPr="00756A22" w:rsidRDefault="00756A22" w:rsidP="00756A22">
      <w:pPr>
        <w:jc w:val="both"/>
        <w:rPr>
          <w:iCs/>
          <w:sz w:val="24"/>
          <w:szCs w:val="24"/>
        </w:rPr>
      </w:pPr>
    </w:p>
    <w:p w:rsidR="00756A22" w:rsidRPr="00756A22" w:rsidRDefault="00756A22" w:rsidP="00756A22">
      <w:pPr>
        <w:jc w:val="both"/>
        <w:rPr>
          <w:iCs/>
          <w:sz w:val="24"/>
          <w:szCs w:val="24"/>
        </w:rPr>
      </w:pPr>
      <w:r w:rsidRPr="00756A22">
        <w:rPr>
          <w:iCs/>
          <w:sz w:val="24"/>
          <w:szCs w:val="24"/>
        </w:rPr>
        <w:t xml:space="preserve">Implementáciou EMFA vznikajú Rade pre mediálne služby (RMS) nové kompetencie a povinnosti. Ide najmä o dohľad nad transparentnosťou financovania štátnej reklamy a dohľad nad poskytovateľmi systémov merania sledovanosti. V nadväznosti na navrhované rozšírenie kompetencií regulátora súvisiacich s implementáciou EMFA sa regulátorovi ukladajú nové povinnosti spojené s jeho analytickou a monitorovacou činnosťou, konkrétne ide o povinnosť vykonávať analýzu samoregulačných mechanizmov, analýzu a monitorovanie dodržiavania záruk nezávislého fungovania verejnoprávneho vysielateľa a monitorovanie prideľovania finančných prostriedkov na štátnu reklamu. </w:t>
      </w:r>
    </w:p>
    <w:p w:rsidR="00756A22" w:rsidRPr="00756A22" w:rsidRDefault="00756A22" w:rsidP="00756A22">
      <w:pPr>
        <w:jc w:val="both"/>
        <w:rPr>
          <w:iCs/>
          <w:sz w:val="24"/>
          <w:szCs w:val="24"/>
        </w:rPr>
      </w:pPr>
    </w:p>
    <w:p w:rsidR="00756A22" w:rsidRDefault="00756A22" w:rsidP="00756A22">
      <w:pPr>
        <w:jc w:val="both"/>
        <w:rPr>
          <w:iCs/>
          <w:sz w:val="24"/>
          <w:szCs w:val="24"/>
        </w:rPr>
      </w:pPr>
      <w:r w:rsidRPr="00756A22">
        <w:rPr>
          <w:iCs/>
          <w:sz w:val="24"/>
          <w:szCs w:val="24"/>
        </w:rPr>
        <w:t>Nové kompetencie a povinnosti vyplývajúce z  EMFA si vyžiadajú rozšírenie pracovnej agendy zamestnancov RMS. Predpokladá sa, že novú agendu súvisiacu s EMFA budú vykonávať zamestnanci RMS, ktorých funkčné miesta boli schválené a rozpočtovo zabezpečené v súvislosti so zavádzaním nových povinností z európskeho aktu o digitálnych službách (DSA) v roku 2024. Vtedy sa predpokladal postupný nárast nových zamestnancov s pribúdajúcou agendou v oblasti DSA v počte 10 v roku 2024, 22 v roku 2025 a 17 v</w:t>
      </w:r>
      <w:r w:rsidR="00677EAF">
        <w:rPr>
          <w:iCs/>
          <w:sz w:val="24"/>
          <w:szCs w:val="24"/>
        </w:rPr>
        <w:t> </w:t>
      </w:r>
      <w:r w:rsidRPr="00756A22">
        <w:rPr>
          <w:iCs/>
          <w:sz w:val="24"/>
          <w:szCs w:val="24"/>
        </w:rPr>
        <w:t>roku</w:t>
      </w:r>
      <w:r w:rsidR="00677EAF">
        <w:rPr>
          <w:iCs/>
          <w:sz w:val="24"/>
          <w:szCs w:val="24"/>
        </w:rPr>
        <w:t xml:space="preserve"> </w:t>
      </w:r>
      <w:r w:rsidRPr="00756A22">
        <w:rPr>
          <w:iCs/>
          <w:sz w:val="24"/>
          <w:szCs w:val="24"/>
        </w:rPr>
        <w:t xml:space="preserve">2027. V súčasnosti teda už časť týchto zamestnancov pracuje v RMS a časť ešte len bude prijatá v priebehu rokov 2025 a 2026. </w:t>
      </w:r>
    </w:p>
    <w:p w:rsidR="00677EAF" w:rsidRPr="00756A22" w:rsidRDefault="00677EAF" w:rsidP="00756A22">
      <w:pPr>
        <w:jc w:val="both"/>
        <w:rPr>
          <w:iCs/>
          <w:sz w:val="24"/>
          <w:szCs w:val="24"/>
        </w:rPr>
      </w:pPr>
    </w:p>
    <w:p w:rsidR="00756A22" w:rsidRPr="00756A22" w:rsidRDefault="00756A22" w:rsidP="00756A22">
      <w:pPr>
        <w:jc w:val="both"/>
        <w:rPr>
          <w:iCs/>
          <w:sz w:val="24"/>
          <w:szCs w:val="24"/>
        </w:rPr>
      </w:pPr>
      <w:r w:rsidRPr="00756A22">
        <w:rPr>
          <w:iCs/>
          <w:sz w:val="24"/>
          <w:szCs w:val="24"/>
        </w:rPr>
        <w:t>Kvôli vecnej súvislosti povinností z európskych nariadení DSA a EMFA a podobnej požadovanej odbornej kvalifikácii je vhodné prideliť novú EMFA agendu týmto zamestnancom. Tým sa však zvýši ich pracovné zaťaženie. Rozšírenie pracovnej náplne sa dotkne 26 zamestnancov na analytických a právnických pozíciách. Rozšírenie pracovnej náplne sa navrhuje zohľadniť vo vyššom mzdovom ohodnotení dotknutých zamestnancov.</w:t>
      </w:r>
    </w:p>
    <w:p w:rsidR="00756A22" w:rsidRPr="00756A22" w:rsidRDefault="00756A22" w:rsidP="005A4B3D">
      <w:pPr>
        <w:jc w:val="both"/>
        <w:rPr>
          <w:iCs/>
          <w:sz w:val="24"/>
          <w:szCs w:val="24"/>
        </w:rPr>
      </w:pPr>
    </w:p>
    <w:p w:rsidR="005A4B3D" w:rsidRDefault="005A4B3D" w:rsidP="00443FF3">
      <w:pPr>
        <w:jc w:val="both"/>
        <w:rPr>
          <w:iCs/>
          <w:sz w:val="24"/>
          <w:szCs w:val="24"/>
        </w:rPr>
      </w:pPr>
    </w:p>
    <w:p w:rsidR="003C35E5" w:rsidRDefault="003C35E5" w:rsidP="003C35E5">
      <w:pPr>
        <w:pStyle w:val="Odsekzoznamu"/>
        <w:numPr>
          <w:ilvl w:val="0"/>
          <w:numId w:val="5"/>
        </w:numPr>
        <w:jc w:val="both"/>
        <w:rPr>
          <w:iCs/>
          <w:sz w:val="24"/>
          <w:szCs w:val="24"/>
        </w:rPr>
      </w:pPr>
      <w:r>
        <w:rPr>
          <w:iCs/>
          <w:sz w:val="24"/>
          <w:szCs w:val="24"/>
        </w:rPr>
        <w:t>Protimonopolným úradom Slovenskej republiky</w:t>
      </w:r>
    </w:p>
    <w:p w:rsidR="00635BD8" w:rsidRDefault="00635BD8" w:rsidP="00635BD8">
      <w:pPr>
        <w:jc w:val="both"/>
        <w:rPr>
          <w:iCs/>
          <w:sz w:val="24"/>
          <w:szCs w:val="24"/>
        </w:rPr>
      </w:pPr>
    </w:p>
    <w:p w:rsidR="00635BD8" w:rsidRPr="00635BD8" w:rsidRDefault="00635BD8" w:rsidP="00635BD8">
      <w:pPr>
        <w:jc w:val="both"/>
        <w:rPr>
          <w:iCs/>
          <w:sz w:val="24"/>
          <w:szCs w:val="24"/>
        </w:rPr>
      </w:pPr>
      <w:r>
        <w:rPr>
          <w:iCs/>
          <w:sz w:val="24"/>
          <w:szCs w:val="24"/>
        </w:rPr>
        <w:t>Protimonopolný úrad</w:t>
      </w:r>
      <w:r w:rsidRPr="00635BD8">
        <w:rPr>
          <w:iCs/>
          <w:sz w:val="24"/>
          <w:szCs w:val="24"/>
        </w:rPr>
        <w:t xml:space="preserve"> Slovenskej republiky zásadne trvá na nasledovnej pripomienke:</w:t>
      </w:r>
    </w:p>
    <w:p w:rsidR="003C35E5" w:rsidRDefault="003C35E5" w:rsidP="003C35E5">
      <w:pPr>
        <w:jc w:val="both"/>
        <w:rPr>
          <w:iCs/>
          <w:sz w:val="24"/>
          <w:szCs w:val="24"/>
        </w:rPr>
      </w:pPr>
    </w:p>
    <w:p w:rsidR="00810BF9" w:rsidRDefault="003C35E5" w:rsidP="003C35E5">
      <w:pPr>
        <w:jc w:val="both"/>
        <w:rPr>
          <w:iCs/>
          <w:sz w:val="24"/>
          <w:szCs w:val="24"/>
        </w:rPr>
      </w:pPr>
      <w:r w:rsidRPr="003C35E5">
        <w:rPr>
          <w:iCs/>
          <w:sz w:val="24"/>
          <w:szCs w:val="24"/>
        </w:rPr>
        <w:t>V rámci § 101 ods. 7 zákon odkazuje na čl. 22 ods. 2 Európskeho aktu o slobode médií (ďalej ako „EMFA“). Úrad však vníma, že pre potrebu celkovej transpozície EMFA je potrebné vnímať samotný článok 22 a preambulu nariadenia ako celok. Pre ochranu mediálneho trhu, ale zároveň aj práv podnikateľov, ktorí na ňom vystupujú je preto potrebné vymedziť nielen hmotnoprávne pravidlá (tieto sú sčasti vymedzené s odkazom na čl. 22 EMFA), ale rovnako aj celkové (vrátane procesných) pravidiel posudzovania koncentrácie na mediálnom trhu. Teda náležitostí, ktoré sú uvedené napríklad v bode 64 preambuly EMFA alebo v bode 65 poslednej vety preambuly nariadenia a zároveň čl. 22 ods. 1 nariadenia. V tomto návrh zákona takéto pravidlá neobsahuje, vrátane časových rámcov rozhodovania a pod. a  obsahuje len odkaz na vydanie všeobecne záväzného predpisu, ktorý má byť v tejto súvislosti vydaný (§ 11 ods. 6 návrhu). V tomto smere úrad  upozorňuje, že uvedené zrejme presahuje rámec možností podzákonnej  normy, keďže jej obsahom by nemalo byť stanovenie konkrétnych práv a povinnosti dotknutých subjektov. Úrad v tomto smere podporne poukazuje na obdobnú úpravu posudzovania koncentrácií podľa zákona č. 187/2021 Z.</w:t>
      </w:r>
      <w:r>
        <w:rPr>
          <w:iCs/>
          <w:sz w:val="24"/>
          <w:szCs w:val="24"/>
        </w:rPr>
        <w:t xml:space="preserve"> </w:t>
      </w:r>
      <w:r w:rsidRPr="003C35E5">
        <w:rPr>
          <w:iCs/>
          <w:sz w:val="24"/>
          <w:szCs w:val="24"/>
        </w:rPr>
        <w:t>z., ktorý sa vzťahuje na posudzovanie koncentrácií z hľadiska ochrany iného verejného záujmu – ochrana hospodárskej súťaže. Zákon obsahuje podrobné povinnosti uvádzajúce ktoré subjekty a kedy majú koncentráciu oznámiť a v akých časových lehotách o nej úrad rozhodne (až podrobnosti náležitosti oznámenia sú stanovené vykonávacím predpisom).</w:t>
      </w:r>
    </w:p>
    <w:p w:rsidR="003C35E5" w:rsidRDefault="003C35E5" w:rsidP="003C35E5">
      <w:pPr>
        <w:jc w:val="both"/>
        <w:rPr>
          <w:i/>
          <w:iCs/>
          <w:sz w:val="24"/>
          <w:szCs w:val="24"/>
        </w:rPr>
      </w:pPr>
    </w:p>
    <w:p w:rsidR="003C35E5" w:rsidRPr="00635BD8" w:rsidRDefault="003C35E5" w:rsidP="003C35E5">
      <w:pPr>
        <w:jc w:val="both"/>
        <w:rPr>
          <w:i/>
          <w:iCs/>
          <w:sz w:val="24"/>
          <w:szCs w:val="24"/>
        </w:rPr>
      </w:pPr>
      <w:r w:rsidRPr="003C35E5">
        <w:rPr>
          <w:i/>
          <w:iCs/>
          <w:sz w:val="24"/>
          <w:szCs w:val="24"/>
        </w:rPr>
        <w:t>Stanovisko Ministerstva kultúry</w:t>
      </w:r>
      <w:r w:rsidRPr="003C35E5">
        <w:rPr>
          <w:iCs/>
          <w:sz w:val="24"/>
          <w:szCs w:val="24"/>
        </w:rPr>
        <w:t xml:space="preserve"> </w:t>
      </w:r>
      <w:r w:rsidRPr="003C35E5">
        <w:rPr>
          <w:i/>
          <w:iCs/>
          <w:sz w:val="24"/>
          <w:szCs w:val="24"/>
        </w:rPr>
        <w:t>Slovenskej republiky:</w:t>
      </w:r>
    </w:p>
    <w:p w:rsidR="003C35E5" w:rsidRDefault="003C35E5" w:rsidP="003C35E5">
      <w:pPr>
        <w:jc w:val="both"/>
        <w:rPr>
          <w:iCs/>
          <w:sz w:val="24"/>
          <w:szCs w:val="24"/>
        </w:rPr>
      </w:pPr>
    </w:p>
    <w:p w:rsidR="003C35E5" w:rsidRPr="003C35E5" w:rsidRDefault="003C35E5" w:rsidP="003C35E5">
      <w:pPr>
        <w:jc w:val="both"/>
        <w:rPr>
          <w:iCs/>
          <w:sz w:val="24"/>
          <w:szCs w:val="24"/>
        </w:rPr>
      </w:pPr>
      <w:r w:rsidRPr="003C35E5">
        <w:rPr>
          <w:iCs/>
          <w:sz w:val="24"/>
          <w:szCs w:val="24"/>
        </w:rPr>
        <w:t xml:space="preserve">Základné pravidlá, ktorými sa umožní posúdenie koncentrácií na mediálnom trhu, ktoré by mohli mať významný vplyv na pluralitu médií a redakčnú nezávislosť, sú už v súčasnosti upravené v dvanástej časti </w:t>
      </w:r>
      <w:r w:rsidR="00635BD8">
        <w:rPr>
          <w:iCs/>
          <w:sz w:val="24"/>
          <w:szCs w:val="24"/>
        </w:rPr>
        <w:t>zákona č. 264/2022 Z. z. o mediálnych službách a o zmene a doplnení niektorých zákonov (zákon o mediálnych službách)</w:t>
      </w:r>
      <w:r w:rsidRPr="003C35E5">
        <w:rPr>
          <w:iCs/>
          <w:sz w:val="24"/>
          <w:szCs w:val="24"/>
        </w:rPr>
        <w:t xml:space="preserve"> (§ 100, 101 a 104), ktorá upravuje pluralitu informácií a transparentnosť majetkových a personálnych vzťahov. V zmysle zákona</w:t>
      </w:r>
      <w:r w:rsidR="00CD0969">
        <w:rPr>
          <w:iCs/>
          <w:sz w:val="24"/>
          <w:szCs w:val="24"/>
        </w:rPr>
        <w:t xml:space="preserve"> č. 265/2022 Z. z. o vydavateľoch publikácií a o registri v oblasti médií a audiovízie a o zmene a doplnení niektorých zákonov (zákon</w:t>
      </w:r>
      <w:r w:rsidRPr="003C35E5">
        <w:rPr>
          <w:iCs/>
          <w:sz w:val="24"/>
          <w:szCs w:val="24"/>
        </w:rPr>
        <w:t xml:space="preserve"> o</w:t>
      </w:r>
      <w:r w:rsidR="00CD0969">
        <w:rPr>
          <w:iCs/>
          <w:sz w:val="24"/>
          <w:szCs w:val="24"/>
        </w:rPr>
        <w:t> </w:t>
      </w:r>
      <w:r w:rsidRPr="003C35E5">
        <w:rPr>
          <w:iCs/>
          <w:sz w:val="24"/>
          <w:szCs w:val="24"/>
        </w:rPr>
        <w:t>publikáciách</w:t>
      </w:r>
      <w:r w:rsidR="00CD0969">
        <w:rPr>
          <w:iCs/>
          <w:sz w:val="24"/>
          <w:szCs w:val="24"/>
        </w:rPr>
        <w:t>)</w:t>
      </w:r>
      <w:r w:rsidRPr="003C35E5">
        <w:rPr>
          <w:iCs/>
          <w:sz w:val="24"/>
          <w:szCs w:val="24"/>
        </w:rPr>
        <w:t xml:space="preserve"> sa ustanovenia § 101, § 102, § 104, § 105 zákona o mediálnych službách vzťahujú aj na vydavateľa periodickej publikácie, prevádzkovateľa spravodajského webov</w:t>
      </w:r>
      <w:r>
        <w:rPr>
          <w:iCs/>
          <w:sz w:val="24"/>
          <w:szCs w:val="24"/>
        </w:rPr>
        <w:t xml:space="preserve">ého portálu a tlačovú agentúru. </w:t>
      </w:r>
      <w:r w:rsidRPr="003C35E5">
        <w:rPr>
          <w:iCs/>
          <w:sz w:val="24"/>
          <w:szCs w:val="24"/>
        </w:rPr>
        <w:t>Regulátor posudzuje koncentráciu na mediálnom trhu vždy vopred pred udelením príslušného oprávnenia (autorizácie, licencie) na poskytovanie príslušnej mediálnej služby, ako aj pri zmene oprávnenia. Procesné pravidlá týchto konaní sú upravené zákonom rovnako ako lehoty, v ktorých je regulátor povinný rozhodnúť. Podrobnosti o posudzovaní vplyvu na pluralitu informácií na mediálnom trhu, posudzovaní reklamného trhu a podrobnosti o vyhodnocovaní rizík narušenia plurality informácií ustanoví všeobecne záväzný právny predpis, ktorý vydá regulátor.</w:t>
      </w:r>
      <w:r>
        <w:rPr>
          <w:iCs/>
          <w:sz w:val="24"/>
          <w:szCs w:val="24"/>
        </w:rPr>
        <w:t xml:space="preserve"> </w:t>
      </w:r>
      <w:r w:rsidRPr="003C35E5">
        <w:rPr>
          <w:iCs/>
          <w:sz w:val="24"/>
          <w:szCs w:val="24"/>
        </w:rPr>
        <w:t>Pri posudzovaní vplyvu na pluralitu informácií na mediálnom trhu a pri vyhodnocovaní rizík narušenia plurality informácií je regulátor povinný zohľadniť skutoč</w:t>
      </w:r>
      <w:r>
        <w:rPr>
          <w:iCs/>
          <w:sz w:val="24"/>
          <w:szCs w:val="24"/>
        </w:rPr>
        <w:t xml:space="preserve">nosti podľa čl. 22 ods. 2 EMFA. </w:t>
      </w:r>
      <w:r w:rsidRPr="003C35E5">
        <w:rPr>
          <w:iCs/>
          <w:sz w:val="24"/>
          <w:szCs w:val="24"/>
        </w:rPr>
        <w:t xml:space="preserve">V zmysle § 105 </w:t>
      </w:r>
      <w:r w:rsidR="00B772D9">
        <w:rPr>
          <w:iCs/>
          <w:sz w:val="24"/>
          <w:szCs w:val="24"/>
        </w:rPr>
        <w:t>zákona o mediálnych službách</w:t>
      </w:r>
      <w:bookmarkStart w:id="0" w:name="_GoBack"/>
      <w:bookmarkEnd w:id="0"/>
      <w:r w:rsidRPr="003C35E5">
        <w:rPr>
          <w:iCs/>
          <w:sz w:val="24"/>
          <w:szCs w:val="24"/>
        </w:rPr>
        <w:t xml:space="preserve"> je vysielateľ alebo iná osoba povinná na požiadanie predložiť regulátorovi na posúdenie doklady potrebné na preukázanie splnenia podmienok a obmedzení podľa dvanástej časti zákona o mediálnych službách, upravujúcej pluralitu informácií a transparentnosť majetkových a personálnych </w:t>
      </w:r>
      <w:r w:rsidRPr="003C35E5">
        <w:rPr>
          <w:iCs/>
          <w:sz w:val="24"/>
          <w:szCs w:val="24"/>
        </w:rPr>
        <w:lastRenderedPageBreak/>
        <w:t>vzťahov.  Za  nesplnenie tejto povinnosti, môže  regulátor povinnému subjektu uložiť pokutu. Ak sa preukáže, že poskytovateľ obsahovej služby nespĺňa podmienky ustanovené v tejto (dvanástej) časti, regulátor mu určí primeranú lehotu na nápravu, prípadne určí aj spôsob nápravy. Ak v určenej lehote nenastane náprava, regulátor zruší príslušné oprávnenie na poskytovanie obsahovej služby alebo zabezpečí nápravu iným spôsobom.</w:t>
      </w:r>
      <w:r w:rsidRPr="003C35E5">
        <w:rPr>
          <w:iCs/>
          <w:sz w:val="24"/>
          <w:szCs w:val="24"/>
        </w:rPr>
        <w:br/>
        <w:t xml:space="preserve">Navyše, podľa čl. 22 ods. 1 EMFA, posudzovanie koncentrácií na mediálnom trhu uvedené v ods. 1 tohto článku, je odlišné od posudzovania v oblasti práva hospodárskej súťaže na úrovni Únie a vnútroštátnej úrovni vrátane posudzovania vykonávaného podľa pravidiel kontroly fúzií.  </w:t>
      </w:r>
    </w:p>
    <w:p w:rsidR="005A4B3D" w:rsidRPr="00B11907" w:rsidRDefault="005A4B3D" w:rsidP="00443FF3">
      <w:pPr>
        <w:jc w:val="both"/>
        <w:rPr>
          <w:i/>
          <w:iCs/>
          <w:sz w:val="24"/>
          <w:szCs w:val="24"/>
        </w:rPr>
      </w:pPr>
    </w:p>
    <w:sectPr w:rsidR="005A4B3D" w:rsidRPr="00B11907" w:rsidSect="00A60726">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91" w:rsidRDefault="00DC1E91">
      <w:r>
        <w:separator/>
      </w:r>
    </w:p>
  </w:endnote>
  <w:endnote w:type="continuationSeparator" w:id="0">
    <w:p w:rsidR="00DC1E91" w:rsidRDefault="00DC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DB" w:rsidRDefault="00C772DB" w:rsidP="002E255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772DB" w:rsidRDefault="00C772D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DB" w:rsidRDefault="00C772DB" w:rsidP="002E255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B41E8">
      <w:rPr>
        <w:rStyle w:val="slostrany"/>
        <w:noProof/>
      </w:rPr>
      <w:t>2</w:t>
    </w:r>
    <w:r>
      <w:rPr>
        <w:rStyle w:val="slostrany"/>
      </w:rPr>
      <w:fldChar w:fldCharType="end"/>
    </w:r>
  </w:p>
  <w:p w:rsidR="00C772DB" w:rsidRDefault="00C772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91" w:rsidRDefault="00DC1E91">
      <w:r>
        <w:separator/>
      </w:r>
    </w:p>
  </w:footnote>
  <w:footnote w:type="continuationSeparator" w:id="0">
    <w:p w:rsidR="00DC1E91" w:rsidRDefault="00DC1E91">
      <w:r>
        <w:continuationSeparator/>
      </w:r>
    </w:p>
  </w:footnote>
  <w:footnote w:id="1">
    <w:p w:rsidR="00000000" w:rsidRDefault="00756A22">
      <w:r>
        <w:rPr>
          <w:rStyle w:val="Odkaznapoznmkupodiarou"/>
        </w:rPr>
        <w:t>[1]</w:t>
      </w:r>
      <w:r>
        <w:t xml:space="preserve"> Nariadenie Európskeho parlamentu a Rady (EÚ) 2024/1083 z 11. apríla 2024, ktorým sa stanovuje spoločný rámec pre mediálne služby na vnútornom trhu a mení smernica 2010/13/EÚ (Európsky akt o slobode médií)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453"/>
    <w:multiLevelType w:val="hybridMultilevel"/>
    <w:tmpl w:val="06122BF0"/>
    <w:lvl w:ilvl="0" w:tplc="041B0001">
      <w:start w:val="1"/>
      <w:numFmt w:val="bullet"/>
      <w:lvlText w:val=""/>
      <w:lvlJc w:val="left"/>
      <w:pPr>
        <w:tabs>
          <w:tab w:val="num" w:pos="927"/>
        </w:tabs>
        <w:ind w:left="927" w:hanging="360"/>
      </w:pPr>
      <w:rPr>
        <w:rFonts w:ascii="Symbol" w:hAnsi="Symbol"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 w15:restartNumberingAfterBreak="0">
    <w:nsid w:val="16526DA9"/>
    <w:multiLevelType w:val="hybridMultilevel"/>
    <w:tmpl w:val="23D02E9A"/>
    <w:lvl w:ilvl="0" w:tplc="42C84376">
      <w:start w:val="1"/>
      <w:numFmt w:val="lowerLetter"/>
      <w:lvlText w:val="%1)"/>
      <w:lvlJc w:val="left"/>
      <w:pPr>
        <w:tabs>
          <w:tab w:val="num" w:pos="927"/>
        </w:tabs>
        <w:ind w:left="927" w:hanging="360"/>
      </w:pPr>
      <w:rPr>
        <w:rFonts w:hint="default"/>
      </w:rPr>
    </w:lvl>
    <w:lvl w:ilvl="1" w:tplc="041B0001">
      <w:start w:val="1"/>
      <w:numFmt w:val="bullet"/>
      <w:lvlText w:val=""/>
      <w:lvlJc w:val="left"/>
      <w:pPr>
        <w:tabs>
          <w:tab w:val="num" w:pos="1647"/>
        </w:tabs>
        <w:ind w:left="1647" w:hanging="360"/>
      </w:pPr>
      <w:rPr>
        <w:rFonts w:ascii="Symbol" w:hAnsi="Symbol" w:hint="default"/>
      </w:r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2" w15:restartNumberingAfterBreak="0">
    <w:nsid w:val="4B776B85"/>
    <w:multiLevelType w:val="hybridMultilevel"/>
    <w:tmpl w:val="21A8A0D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A3D15"/>
    <w:multiLevelType w:val="hybridMultilevel"/>
    <w:tmpl w:val="18164526"/>
    <w:lvl w:ilvl="0" w:tplc="041B0001">
      <w:start w:val="1"/>
      <w:numFmt w:val="bullet"/>
      <w:lvlText w:val=""/>
      <w:lvlJc w:val="left"/>
      <w:pPr>
        <w:tabs>
          <w:tab w:val="num" w:pos="927"/>
        </w:tabs>
        <w:ind w:left="927" w:hanging="360"/>
      </w:pPr>
      <w:rPr>
        <w:rFonts w:ascii="Symbol" w:hAnsi="Symbol"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4" w15:restartNumberingAfterBreak="0">
    <w:nsid w:val="695A7408"/>
    <w:multiLevelType w:val="hybridMultilevel"/>
    <w:tmpl w:val="FE2A2682"/>
    <w:lvl w:ilvl="0" w:tplc="B19AF12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D3"/>
    <w:rsid w:val="00001CC7"/>
    <w:rsid w:val="00042E1F"/>
    <w:rsid w:val="000F3E18"/>
    <w:rsid w:val="001362FF"/>
    <w:rsid w:val="001A5496"/>
    <w:rsid w:val="001B7D89"/>
    <w:rsid w:val="001C224D"/>
    <w:rsid w:val="001E7236"/>
    <w:rsid w:val="002003B5"/>
    <w:rsid w:val="00266FE4"/>
    <w:rsid w:val="00277401"/>
    <w:rsid w:val="00277518"/>
    <w:rsid w:val="002D7FD4"/>
    <w:rsid w:val="002E255F"/>
    <w:rsid w:val="002F59D8"/>
    <w:rsid w:val="00337787"/>
    <w:rsid w:val="0034357B"/>
    <w:rsid w:val="00381016"/>
    <w:rsid w:val="003C2128"/>
    <w:rsid w:val="003C35E5"/>
    <w:rsid w:val="003C7566"/>
    <w:rsid w:val="003D63B1"/>
    <w:rsid w:val="003E4A3C"/>
    <w:rsid w:val="003E529A"/>
    <w:rsid w:val="00405407"/>
    <w:rsid w:val="00443FF3"/>
    <w:rsid w:val="00460F82"/>
    <w:rsid w:val="00473213"/>
    <w:rsid w:val="00491E9A"/>
    <w:rsid w:val="004E3F95"/>
    <w:rsid w:val="005308D9"/>
    <w:rsid w:val="00534DB3"/>
    <w:rsid w:val="00553208"/>
    <w:rsid w:val="0056054B"/>
    <w:rsid w:val="005A0E30"/>
    <w:rsid w:val="005A4B3D"/>
    <w:rsid w:val="005B41E8"/>
    <w:rsid w:val="005C56D3"/>
    <w:rsid w:val="00612705"/>
    <w:rsid w:val="00620D42"/>
    <w:rsid w:val="00623CD7"/>
    <w:rsid w:val="00635BD8"/>
    <w:rsid w:val="00641113"/>
    <w:rsid w:val="006507BE"/>
    <w:rsid w:val="006648FF"/>
    <w:rsid w:val="00673BFC"/>
    <w:rsid w:val="00673EE9"/>
    <w:rsid w:val="00677EAF"/>
    <w:rsid w:val="006A018C"/>
    <w:rsid w:val="006C203C"/>
    <w:rsid w:val="006D11D6"/>
    <w:rsid w:val="006D14CE"/>
    <w:rsid w:val="007137C1"/>
    <w:rsid w:val="00754482"/>
    <w:rsid w:val="00756A22"/>
    <w:rsid w:val="00774181"/>
    <w:rsid w:val="007C7DA0"/>
    <w:rsid w:val="00810BF9"/>
    <w:rsid w:val="008171D9"/>
    <w:rsid w:val="00817695"/>
    <w:rsid w:val="0084394F"/>
    <w:rsid w:val="00854E41"/>
    <w:rsid w:val="008A65D1"/>
    <w:rsid w:val="008B1681"/>
    <w:rsid w:val="008F3863"/>
    <w:rsid w:val="008F61E0"/>
    <w:rsid w:val="008F7156"/>
    <w:rsid w:val="009652A6"/>
    <w:rsid w:val="00967689"/>
    <w:rsid w:val="00A23E19"/>
    <w:rsid w:val="00A331FA"/>
    <w:rsid w:val="00A60726"/>
    <w:rsid w:val="00A70D30"/>
    <w:rsid w:val="00AE230A"/>
    <w:rsid w:val="00AF088F"/>
    <w:rsid w:val="00B11907"/>
    <w:rsid w:val="00B12F7E"/>
    <w:rsid w:val="00B4317C"/>
    <w:rsid w:val="00B61276"/>
    <w:rsid w:val="00B772D9"/>
    <w:rsid w:val="00B963EA"/>
    <w:rsid w:val="00BC151C"/>
    <w:rsid w:val="00BE4A2B"/>
    <w:rsid w:val="00C772DB"/>
    <w:rsid w:val="00C8113C"/>
    <w:rsid w:val="00CB7FAF"/>
    <w:rsid w:val="00CD0969"/>
    <w:rsid w:val="00CE2E13"/>
    <w:rsid w:val="00CE2FC4"/>
    <w:rsid w:val="00CF5B75"/>
    <w:rsid w:val="00D01740"/>
    <w:rsid w:val="00D2326E"/>
    <w:rsid w:val="00D4208D"/>
    <w:rsid w:val="00D55104"/>
    <w:rsid w:val="00D650CB"/>
    <w:rsid w:val="00D657AE"/>
    <w:rsid w:val="00DC129D"/>
    <w:rsid w:val="00DC1E91"/>
    <w:rsid w:val="00DC7F9D"/>
    <w:rsid w:val="00E15050"/>
    <w:rsid w:val="00E33957"/>
    <w:rsid w:val="00E34D78"/>
    <w:rsid w:val="00E353FD"/>
    <w:rsid w:val="00E53503"/>
    <w:rsid w:val="00E65FE7"/>
    <w:rsid w:val="00E970CD"/>
    <w:rsid w:val="00EC4CBB"/>
    <w:rsid w:val="00ED71B7"/>
    <w:rsid w:val="00EE0A43"/>
    <w:rsid w:val="00F45CFA"/>
    <w:rsid w:val="00F516F0"/>
    <w:rsid w:val="00F746C1"/>
    <w:rsid w:val="00F83D4B"/>
    <w:rsid w:val="00FB2932"/>
    <w:rsid w:val="00FC2076"/>
    <w:rsid w:val="00FD0204"/>
    <w:rsid w:val="00FE2CA4"/>
    <w:rsid w:val="00FE35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A748"/>
  <w15:docId w15:val="{BA54F63C-D7E9-4D2F-A077-7BA02DB2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2E13"/>
    <w:pPr>
      <w:autoSpaceDE w:val="0"/>
      <w:autoSpaceDN w:val="0"/>
    </w:pPr>
  </w:style>
  <w:style w:type="paragraph" w:styleId="Nadpis1">
    <w:name w:val="heading 1"/>
    <w:basedOn w:val="Normlny"/>
    <w:next w:val="Normlny"/>
    <w:qFormat/>
    <w:rsid w:val="005C56D3"/>
    <w:pPr>
      <w:keepNext/>
      <w:jc w:val="both"/>
      <w:outlineLvl w:val="0"/>
    </w:pPr>
    <w:rPr>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652A6"/>
    <w:pPr>
      <w:tabs>
        <w:tab w:val="center" w:pos="4536"/>
        <w:tab w:val="right" w:pos="9072"/>
      </w:tabs>
    </w:pPr>
  </w:style>
  <w:style w:type="character" w:styleId="slostrany">
    <w:name w:val="page number"/>
    <w:basedOn w:val="Predvolenpsmoodseku"/>
    <w:rsid w:val="009652A6"/>
  </w:style>
  <w:style w:type="paragraph" w:styleId="Zkladntext">
    <w:name w:val="Body Text"/>
    <w:basedOn w:val="Normlny"/>
    <w:rsid w:val="00473213"/>
    <w:pPr>
      <w:autoSpaceDE/>
      <w:autoSpaceDN/>
      <w:jc w:val="both"/>
    </w:pPr>
    <w:rPr>
      <w:sz w:val="24"/>
      <w:szCs w:val="24"/>
    </w:rPr>
  </w:style>
  <w:style w:type="paragraph" w:styleId="Textbubliny">
    <w:name w:val="Balloon Text"/>
    <w:basedOn w:val="Normlny"/>
    <w:semiHidden/>
    <w:rsid w:val="00E15050"/>
    <w:rPr>
      <w:rFonts w:ascii="Tahoma" w:hAnsi="Tahoma" w:cs="Tahoma"/>
      <w:sz w:val="16"/>
      <w:szCs w:val="16"/>
    </w:rPr>
  </w:style>
  <w:style w:type="character" w:customStyle="1" w:styleId="ppp-input-value">
    <w:name w:val="ppp-input-value"/>
    <w:basedOn w:val="Predvolenpsmoodseku"/>
    <w:rsid w:val="00C8113C"/>
  </w:style>
  <w:style w:type="paragraph" w:styleId="Odsekzoznamu">
    <w:name w:val="List Paragraph"/>
    <w:basedOn w:val="Normlny"/>
    <w:uiPriority w:val="34"/>
    <w:qFormat/>
    <w:rsid w:val="005A4B3D"/>
    <w:pPr>
      <w:ind w:left="720"/>
      <w:contextualSpacing/>
    </w:pPr>
  </w:style>
  <w:style w:type="character" w:styleId="Odkaznakomentr">
    <w:name w:val="annotation reference"/>
    <w:basedOn w:val="Predvolenpsmoodseku"/>
    <w:rsid w:val="00967689"/>
    <w:rPr>
      <w:sz w:val="16"/>
      <w:szCs w:val="16"/>
    </w:rPr>
  </w:style>
  <w:style w:type="paragraph" w:styleId="Textkomentra">
    <w:name w:val="annotation text"/>
    <w:basedOn w:val="Normlny"/>
    <w:link w:val="TextkomentraChar"/>
    <w:rsid w:val="00967689"/>
  </w:style>
  <w:style w:type="character" w:customStyle="1" w:styleId="TextkomentraChar">
    <w:name w:val="Text komentára Char"/>
    <w:basedOn w:val="Predvolenpsmoodseku"/>
    <w:link w:val="Textkomentra"/>
    <w:rsid w:val="00967689"/>
  </w:style>
  <w:style w:type="paragraph" w:styleId="Predmetkomentra">
    <w:name w:val="annotation subject"/>
    <w:basedOn w:val="Textkomentra"/>
    <w:next w:val="Textkomentra"/>
    <w:link w:val="PredmetkomentraChar"/>
    <w:rsid w:val="00967689"/>
    <w:rPr>
      <w:b/>
      <w:bCs/>
    </w:rPr>
  </w:style>
  <w:style w:type="character" w:customStyle="1" w:styleId="PredmetkomentraChar">
    <w:name w:val="Predmet komentára Char"/>
    <w:basedOn w:val="TextkomentraChar"/>
    <w:link w:val="Predmetkomentra"/>
    <w:rsid w:val="00967689"/>
    <w:rPr>
      <w:b/>
      <w:bCs/>
    </w:rPr>
  </w:style>
  <w:style w:type="paragraph" w:styleId="Textpoznmkypodiarou">
    <w:name w:val="footnote text"/>
    <w:basedOn w:val="Normlny"/>
    <w:link w:val="TextpoznmkypodiarouChar"/>
    <w:uiPriority w:val="99"/>
    <w:semiHidden/>
    <w:unhideWhenUsed/>
    <w:rsid w:val="00756A22"/>
    <w:pPr>
      <w:autoSpaceDE/>
      <w:autoSpaceDN/>
    </w:pPr>
    <w:rPr>
      <w:rFonts w:eastAsiaTheme="minorHAnsi"/>
    </w:rPr>
  </w:style>
  <w:style w:type="character" w:customStyle="1" w:styleId="TextpoznmkypodiarouChar">
    <w:name w:val="Text poznámky pod čiarou Char"/>
    <w:basedOn w:val="Predvolenpsmoodseku"/>
    <w:link w:val="Textpoznmkypodiarou"/>
    <w:uiPriority w:val="99"/>
    <w:semiHidden/>
    <w:rsid w:val="00756A22"/>
    <w:rPr>
      <w:rFonts w:eastAsiaTheme="minorHAnsi"/>
    </w:rPr>
  </w:style>
  <w:style w:type="character" w:styleId="Odkaznapoznmkupodiarou">
    <w:name w:val="footnote reference"/>
    <w:basedOn w:val="Predvolenpsmoodseku"/>
    <w:uiPriority w:val="99"/>
    <w:semiHidden/>
    <w:unhideWhenUsed/>
    <w:rsid w:val="00756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6312">
      <w:bodyDiv w:val="1"/>
      <w:marLeft w:val="0"/>
      <w:marRight w:val="0"/>
      <w:marTop w:val="0"/>
      <w:marBottom w:val="0"/>
      <w:divBdr>
        <w:top w:val="none" w:sz="0" w:space="0" w:color="auto"/>
        <w:left w:val="none" w:sz="0" w:space="0" w:color="auto"/>
        <w:bottom w:val="none" w:sz="0" w:space="0" w:color="auto"/>
        <w:right w:val="none" w:sz="0" w:space="0" w:color="auto"/>
      </w:divBdr>
    </w:div>
    <w:div w:id="1013072672">
      <w:bodyDiv w:val="1"/>
      <w:marLeft w:val="0"/>
      <w:marRight w:val="0"/>
      <w:marTop w:val="0"/>
      <w:marBottom w:val="0"/>
      <w:divBdr>
        <w:top w:val="none" w:sz="0" w:space="0" w:color="auto"/>
        <w:left w:val="none" w:sz="0" w:space="0" w:color="auto"/>
        <w:bottom w:val="none" w:sz="0" w:space="0" w:color="auto"/>
        <w:right w:val="none" w:sz="0" w:space="0" w:color="auto"/>
      </w:divBdr>
    </w:div>
    <w:div w:id="1062172427">
      <w:bodyDiv w:val="1"/>
      <w:marLeft w:val="0"/>
      <w:marRight w:val="0"/>
      <w:marTop w:val="0"/>
      <w:marBottom w:val="0"/>
      <w:divBdr>
        <w:top w:val="none" w:sz="0" w:space="0" w:color="auto"/>
        <w:left w:val="none" w:sz="0" w:space="0" w:color="auto"/>
        <w:bottom w:val="none" w:sz="0" w:space="0" w:color="auto"/>
        <w:right w:val="none" w:sz="0" w:space="0" w:color="auto"/>
      </w:divBdr>
    </w:div>
    <w:div w:id="16515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5E19-9B4D-4D61-B760-F517ABDF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6561</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Vyhlásenie o rozpore</vt:lpstr>
    </vt:vector>
  </TitlesOfParts>
  <Company>MZP SR</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Vyhlásenie o rozpore</dc:title>
  <dc:creator>katrlik</dc:creator>
  <cp:lastModifiedBy>Anonymný používateľ</cp:lastModifiedBy>
  <cp:revision>2</cp:revision>
  <cp:lastPrinted>2009-01-16T08:08:00Z</cp:lastPrinted>
  <dcterms:created xsi:type="dcterms:W3CDTF">2025-04-07T12:57:00Z</dcterms:created>
  <dcterms:modified xsi:type="dcterms:W3CDTF">2025-04-07T12:57:00Z</dcterms:modified>
</cp:coreProperties>
</file>