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DB0B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C323BDF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E2F8BB0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7F48FFA4" w14:textId="77777777" w:rsidTr="008E569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10EC930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E1FEBE5" w14:textId="77777777" w:rsidTr="008E569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E84222D" w14:textId="77777777" w:rsidR="001B23B7" w:rsidRPr="00612E08" w:rsidRDefault="001B23B7" w:rsidP="008E569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2A882582" w14:textId="77777777" w:rsidTr="008E569D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9A977F9" w14:textId="1D5AA58F" w:rsidR="001B23B7" w:rsidRPr="00612E08" w:rsidRDefault="00413BC2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zákona, ktorým sa mení a dopĺňa zákon č. 264/2022 Z. z. o mediálnych službách a o zmene a doplnení niektorých zákonov (zákon o mediálnych službách) v znení neskorších predpisov a</w:t>
            </w:r>
            <w:r w:rsidR="00C44A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ktorým sa mení a dopĺňa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</w:t>
            </w:r>
            <w:r w:rsidR="00E95E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95E88" w:rsidRPr="00E95E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265/2022 Z. z. o vydavateľoch publikácií a o registri v oblasti médií a audiovízie a o zmene a doplnení niektorých zákonov (zákon o publikáciách)</w:t>
            </w:r>
          </w:p>
          <w:p w14:paraId="056C65C0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1DC774D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13ACE4" w14:textId="77777777" w:rsidR="001B23B7" w:rsidRPr="00612E08" w:rsidRDefault="001B23B7" w:rsidP="008E569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8AF2D98" w14:textId="77777777" w:rsidTr="008E569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9A1F5" w14:textId="77777777" w:rsidR="001B23B7" w:rsidRPr="00612E08" w:rsidRDefault="00BE2095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Slovenskej republiky</w:t>
            </w:r>
          </w:p>
          <w:p w14:paraId="55271DCD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E94110B" w14:textId="77777777" w:rsidTr="008E569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374FE2E" w14:textId="77777777" w:rsidR="001B23B7" w:rsidRPr="00612E08" w:rsidRDefault="001B23B7" w:rsidP="008E569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A47FC02" w14:textId="77777777" w:rsidR="001B23B7" w:rsidRPr="00612E08" w:rsidRDefault="000013C3" w:rsidP="008E56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B5A3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5A945847" w14:textId="77777777" w:rsidTr="008E569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15EC33C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B74D8BF" w14:textId="77777777" w:rsidR="001B23B7" w:rsidRPr="00612E08" w:rsidRDefault="00413BC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CABEC48" w14:textId="77777777" w:rsidR="001B23B7" w:rsidRPr="00612E08" w:rsidRDefault="001B23B7" w:rsidP="008E569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02BF9FE1" w14:textId="77777777" w:rsidTr="008E569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80B78A2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B1F945A" w14:textId="49E1518B" w:rsidR="001B23B7" w:rsidRPr="00612E08" w:rsidRDefault="000142E0" w:rsidP="008E56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58B0EB2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34ED423D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C652CB8" w14:textId="459EBCBA" w:rsidR="001B23B7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DAA15CF" w14:textId="77777777" w:rsidR="00321592" w:rsidRDefault="00321592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5BB034F" w14:textId="4C791F14" w:rsidR="00321592" w:rsidRPr="00612E08" w:rsidRDefault="00321592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(EÚ) 2024/1083 z 11. apríla 2024, ktorým sa stanovuje spoločný rámec pre mediálne služby na vnútornom trhu a mení smernica 2010/13/EÚ (Európsky akt o slobode médií)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(</w:t>
            </w:r>
            <w:r w:rsidRPr="003215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Ú. v. EÚ L, 2024/1083, 17.4.2024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  <w:p w14:paraId="2071483E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F405942" w14:textId="77777777" w:rsidTr="008E569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12F2F2" w14:textId="77777777" w:rsidR="001B23B7" w:rsidRPr="00612E08" w:rsidRDefault="001B23B7" w:rsidP="008E569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267" w14:textId="25CCDFB6" w:rsidR="001B23B7" w:rsidRPr="00612E08" w:rsidRDefault="009C62E6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Január </w:t>
            </w:r>
            <w:r w:rsidR="00413B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5F14E8D1" w14:textId="77777777" w:rsidTr="008E569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ACEDEA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D4B" w14:textId="449C5644" w:rsidR="001B23B7" w:rsidRPr="00612E08" w:rsidRDefault="00F37945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</w:t>
            </w:r>
            <w:r w:rsidR="00413B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73B8B522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3495D2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D0F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C646EC0" w14:textId="77777777" w:rsidTr="008E569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009CDA5" w14:textId="77777777" w:rsidR="001B23B7" w:rsidRPr="00612E08" w:rsidRDefault="001B23B7" w:rsidP="008E569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2D2" w14:textId="23E650B5" w:rsidR="001B23B7" w:rsidRPr="00612E08" w:rsidRDefault="00625DB6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413B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59C149F5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F99B22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A6F4E8D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3F1757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6A6BBE25" w14:textId="77777777" w:rsidTr="008E569D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7149" w14:textId="77777777" w:rsidR="001B23B7" w:rsidRDefault="001B23B7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677ACF4" w14:textId="77777777" w:rsidR="00413BC2" w:rsidRPr="00413BC2" w:rsidRDefault="00413BC2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832BF4B" w14:textId="77777777" w:rsidR="00BE2095" w:rsidRDefault="00413BC2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Nezávislé mediálne služby predstavujú spoľahlivý zdroj informácií nevyhnutný pri procese formovania verejnej mienky a zohrávajú tak jedinečnú úlohu na vnútornom trhu. Dynamickosť mediálneho prostredia však spôsobuje, že harmonizované pravidlá v oblasti audiovizuálnych mediálnych služieb upravené smernicou Európskeho parlamentu a Rady 2010/13/EÚ o koordinácii niektorých ustanovení upravených zákonom, iným právnym predpisom alebo správnym opatrením v členských štátoch týkajúcich sa poskytovania audiovizuálnych mediálnych služieb (smernica o audiovizuálnych mediálnych slu</w:t>
            </w:r>
            <w:r w:rsidR="00BE20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žbách) v platnom znení už nie sú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aktu</w:t>
            </w:r>
            <w:r w:rsidR="00BE20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álnych podmienkach dostačujúce.</w:t>
            </w:r>
          </w:p>
          <w:p w14:paraId="0DE171FF" w14:textId="77777777" w:rsidR="00BE2095" w:rsidRDefault="00BE2095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DEFDA2" w14:textId="77777777" w:rsidR="00BE2095" w:rsidRDefault="00BE2095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mediálnom priestore sa čoraz častejšie vyskytujú obsahy, ktoré sú okamžite dostupné na rôznych zariadeniach v cezhraničnom prostredí. Týka sa to audiovizuálnych mediálnych služieb, rozhlasu, ale napr. aj tlače, ktoré sú prostredníctvom internetu ľahko a rýchlo dostupné, čím sa zvyšuje ich cezhraničný význam, znižujú sa jazykové bariéry a dochádza k prepájaniu audiovizuálnych a neaudiovizuálnych obsahov. </w:t>
            </w:r>
            <w:r w:rsid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to, aby mediálne služby ostali konkurencieschopné, napĺňali požiadavky publika a prosperovali v rámci trhovej dynamiky, bolo nevyhnutné pristúpiť k integrovaniu vnútorného trhu s mediálnymi službami a odstrániť neželanú fragmentáciu pravidiel na národných úrovniach.</w:t>
            </w:r>
          </w:p>
          <w:p w14:paraId="31B4F9F5" w14:textId="77777777" w:rsidR="009746AD" w:rsidRDefault="009746AD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6E5F823" w14:textId="77777777" w:rsidR="00413BC2" w:rsidRPr="00413BC2" w:rsidRDefault="009746AD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Nariadením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(EÚ) 2024/1083 z 11. apríla 2024, ktorým sa stanovuje spoločný rámec pre mediálne služby na vnútornom trhu a mení smernica 2010/13/EÚ (Európsky akt o slobode médií)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ktoré nadobudlo účinnosť 7. mája 2024 a v plnom rozsahu sa začne uplatňovať 8. augusta 2025, 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stanovujú spoločné pravidlá riadneho fungovania vnútorného trhu, ktoré majú za cieľ znížiť záťaž mediálnych aktérov zameriavajúcich svoje služby vo viacerých členských štátoch, podporovať spravodlivú hospodársku súťaž, samoregulačné a </w:t>
            </w:r>
            <w:proofErr w:type="spellStart"/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koregulačné</w:t>
            </w:r>
            <w:proofErr w:type="spellEnd"/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mechanizmy, cezhraničné investície, zvýšiť právnu istotu, garantovať transparentnosť financovania medi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álneho prostredia, posilniť redakčnú nezávislosť a pluralitu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mediálnych 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služieb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 osobitným dôrazom na verejnoprávne médiá a zefektívniť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spoluprácu regulačných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orgánov a tiež ochranu zdroja.</w:t>
            </w:r>
          </w:p>
          <w:p w14:paraId="5291E97A" w14:textId="302BA431" w:rsidR="00413BC2" w:rsidRPr="00413BC2" w:rsidRDefault="00413BC2" w:rsidP="00413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Predmetné nariadenie sa dotýka predovšetkým zákona o mediálnych službách a činnosti regulátora, ktorý vykonáva štátnu reguláciu v oblasti vysielania, retransmisie, poskytovania audiovizuálnych mediálnych služieb na požiadanie a poskytovania platforiem na zdieľanie obsahu. V tejto súvislosti je nevyhnutné najmä upraviť nové kompetencie národného regulátora , zaviesť pravidlá pre transparentné a objektívne prideľovanie štátnej reklamy, upraviť povinnosti poskytovateľov systémov merania sledovanosti a zabezpečiť nevyhnutnú súčinnosť dotknutých subjektov.</w:t>
            </w:r>
          </w:p>
          <w:p w14:paraId="3C502A18" w14:textId="007197D5" w:rsidR="001B23B7" w:rsidRPr="00612E08" w:rsidRDefault="001B23B7" w:rsidP="00734F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D98D629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6A9311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14:paraId="468DCFEB" w14:textId="77777777" w:rsidTr="008E569D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9459" w14:textId="77777777" w:rsidR="001B23B7" w:rsidRPr="00612E08" w:rsidRDefault="001B23B7" w:rsidP="003F4DB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69B3EFAC" w14:textId="77777777" w:rsidR="00413BC2" w:rsidRDefault="00413BC2" w:rsidP="003F4D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FB6EDFB" w14:textId="372DCBC9" w:rsidR="009746AD" w:rsidRDefault="009C62E6" w:rsidP="003F4D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ieľom návrhu zákona je implementácia </w:t>
            </w:r>
            <w:r w:rsid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akt</w:t>
            </w:r>
            <w:r w:rsid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 o slobode médií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</w:t>
            </w:r>
            <w:r w:rsid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slovenského právneho poriadku. 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Nové kompetencie regulátora, ako aj nové práva a povinnosti dotknutých subjektov </w:t>
            </w:r>
            <w:r w:rsid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preto </w:t>
            </w:r>
            <w:r w:rsidR="00413BC2"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vychádzajú predovšetkým z predmetného aktu. </w:t>
            </w:r>
          </w:p>
          <w:p w14:paraId="0149E07C" w14:textId="77777777" w:rsidR="009746AD" w:rsidRPr="009746AD" w:rsidRDefault="009746AD" w:rsidP="00974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A35A35B" w14:textId="14C61874" w:rsidR="009746AD" w:rsidRPr="009746AD" w:rsidRDefault="009746AD" w:rsidP="00974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skutočnosť, že Európsky akt o slobode médií sa vzťahuje na poskytovateľov mediálnych služieb, pod ktorými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okrem vysielateľov a poskytovateľov audiovizuálnych mediálnych služieb na požiadanie </w:t>
            </w:r>
            <w:r w:rsidRP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rozumejú aj vydavatelia printových a online publikácií, je nevyhnutné reflektovať nové zmeny aj v zákone č. 265/2025 Z. z. vydavateľoch publikácií a o registri v oblasti médií a audiovízie a o zmene a doplnení niektorých zákonov (zákon o publikáciách). Návrhom zákona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preto </w:t>
            </w:r>
            <w:r w:rsidRP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ukladajú nové povinnosti vydavateľom periodických publikácií a prevádzkovateľom spravodajských webových portálov za účelom zabezpečenia transparentnosti financovania štátnej reklamy, a tiež povinnosť poskytovania súčinnosti </w:t>
            </w:r>
            <w:proofErr w:type="spellStart"/>
            <w:r w:rsidRP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regulátorovi</w:t>
            </w:r>
            <w:proofErr w:type="spellEnd"/>
            <w:r w:rsidR="002C59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výkone jeho kompetencií v zmysle Európskeho aktu o slobode médií</w:t>
            </w:r>
            <w:r w:rsidRPr="009746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Nevyhnutným predpokladom efektívneho uplatňovania predmetného aktu je aj možnosť regulátora ukladať za nesplnenie nových povinností sankcie.</w:t>
            </w:r>
          </w:p>
          <w:p w14:paraId="417BD456" w14:textId="77777777" w:rsidR="009746AD" w:rsidRPr="00612E08" w:rsidRDefault="00974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4CE8DB7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6E3AB2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3D1BF5A" w14:textId="77777777" w:rsidTr="008E569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7129" w14:textId="743DFD5B" w:rsidR="001B23B7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142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92D806D" w14:textId="77777777" w:rsidR="00C34E57" w:rsidRPr="000142E0" w:rsidRDefault="00C34E5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844F6E8" w14:textId="77777777" w:rsidR="003F4DB0" w:rsidRDefault="003F4DB0" w:rsidP="001B0F4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4D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Rada pre mediálne služby</w:t>
            </w:r>
          </w:p>
          <w:p w14:paraId="58C0E0EC" w14:textId="77777777" w:rsidR="003F4DB0" w:rsidRDefault="003F4DB0" w:rsidP="001B0F4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Vysielatelia a poskytovatelia audiovizuálnych mediálnych služieb na požiadanie</w:t>
            </w:r>
          </w:p>
          <w:p w14:paraId="7A8191E0" w14:textId="77777777" w:rsidR="00BE2095" w:rsidRDefault="00BE2095" w:rsidP="001B0F4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Poskytovatelia systémov merania sledovanosti</w:t>
            </w:r>
          </w:p>
          <w:p w14:paraId="57C63DE7" w14:textId="3B63A108" w:rsidR="003F4DB0" w:rsidRDefault="003F4DB0" w:rsidP="001B0F4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Zadávatelia štátnej reklamy</w:t>
            </w:r>
            <w:r w:rsidR="000142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0142E0" w:rsidRPr="000142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 orgány, obce, vyššie územné celky, ako aj tie právnické osoby a fyzické osoby, ktorým zákon zveruje právomoc rozhodovať o právach a povinnostiach fyzických osôb alebo právnických osôb v oblasti verejnej správy, právnické osoby zriadené zákonom a právnické osoby zriadené štátnym orgánom, vyšším územným celkom alebo obcou podľa osobitného zákona</w:t>
            </w:r>
          </w:p>
          <w:p w14:paraId="6B41A6C0" w14:textId="77777777" w:rsidR="003F4DB0" w:rsidRDefault="003F4DB0" w:rsidP="001B0F4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Vydavatelia periodických publikácií a prevádzkovatelia spravodajských webových portálov</w:t>
            </w:r>
          </w:p>
          <w:p w14:paraId="31CB6ADD" w14:textId="105EEA52" w:rsidR="000142E0" w:rsidRPr="00734F98" w:rsidRDefault="000142E0" w:rsidP="001B0F49">
            <w:pPr>
              <w:pStyle w:val="Odsekzoznamu"/>
              <w:numPr>
                <w:ilvl w:val="0"/>
                <w:numId w:val="2"/>
              </w:numPr>
              <w:spacing w:after="20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142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Iné osoby, o ktorých možno predpokladať, že na účely súvisiace s ich obchodnou, podnikateľskou alebo profesionálnou činnosťou by mohli mať požadované informácie alebo údaje a poskytovať </w:t>
            </w:r>
            <w:proofErr w:type="spellStart"/>
            <w:r w:rsidRPr="000142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regulátorovi</w:t>
            </w:r>
            <w:proofErr w:type="spellEnd"/>
            <w:r w:rsidRPr="000142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súčinnosť na požiadanie</w:t>
            </w:r>
          </w:p>
          <w:p w14:paraId="1F8A5B32" w14:textId="01547B83" w:rsidR="00C34E57" w:rsidRPr="00E95E88" w:rsidRDefault="00BE2095" w:rsidP="001B0F4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Verejnosť </w:t>
            </w:r>
          </w:p>
          <w:p w14:paraId="30CA1699" w14:textId="0F2BD4AB" w:rsidR="00C34E57" w:rsidRPr="00321592" w:rsidRDefault="00C34E57" w:rsidP="00C34E57">
            <w:pPr>
              <w:pStyle w:val="Odsekzoznamu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795C988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A6BC62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68DF07C5" w14:textId="77777777" w:rsidTr="001B0F49">
        <w:trPr>
          <w:trHeight w:val="71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164A" w14:textId="77777777" w:rsidR="001B23B7" w:rsidRPr="00612E08" w:rsidRDefault="001B23B7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FA0CAFB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697DE91" w14:textId="6656E302" w:rsidR="001B23B7" w:rsidRDefault="001B23B7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221F67BD" w14:textId="77777777" w:rsidR="001B0F49" w:rsidRDefault="001B0F49" w:rsidP="001B0F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AF7E77" w14:textId="5CE396DC" w:rsidR="00297853" w:rsidRDefault="00297853" w:rsidP="001B0F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7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absencie spoločného rámca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mediálne služby v oblastiach, ktorých sa navrhovaná právna úprava týka, by v jednotlivých členských štátoch dochádzalo k prijímaniu rozdielnych vnútroštátnych pravidiel a prístupov týkajúcich</w:t>
            </w:r>
            <w:r w:rsidRPr="00297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plurality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médií a redakčnej nezávislosti. Dôsledkom by bola taktiež</w:t>
            </w:r>
            <w:r w:rsidRPr="00297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nedostatočná spolupráca medzi národnými regulačnými orgánmi a netransparentné a nespravodlivé prideľovanie verejných a súkromných hospodárskych zdrojov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Všetky uvedené skutočnosti by</w:t>
            </w:r>
            <w:r w:rsidRPr="00297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účastníkom mediálneho trhu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sťažovali</w:t>
            </w:r>
            <w:r w:rsidRPr="00297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pôsobenie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vytvárali by nerovnaké podmienky v rámci EÚ</w:t>
            </w:r>
            <w:r w:rsidRPr="00297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7B424347" w14:textId="1BFF97A0" w:rsidR="003F4DB0" w:rsidRDefault="003F4DB0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1BFC7F" w14:textId="3E494720" w:rsidR="003F4DB0" w:rsidRDefault="003F4DB0" w:rsidP="008E5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nevyhnutnosť implementácie 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nariadenia Európskeho parlamentu a Rady (EÚ) 2024/1083 z 11. apríla 2024, ktorým sa stanovuje spoločný rámec pre mediálne služby na vnútornom trhu a mení smernica 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2010/13/EÚ (Európsky akt o slobode médií) do slovenského právneho poriadku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neboli posudzované alternatívne riešenia. </w:t>
            </w:r>
          </w:p>
          <w:p w14:paraId="24B257CD" w14:textId="77777777" w:rsidR="003F4DB0" w:rsidRPr="003F4DB0" w:rsidRDefault="003F4DB0" w:rsidP="008E5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065F578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3A0887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2B8B4ED9" w14:textId="77777777" w:rsidTr="008E569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6A893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2FE0125" w14:textId="77777777" w:rsidR="001B23B7" w:rsidRPr="00612E08" w:rsidRDefault="00C44A45" w:rsidP="008E56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57EC654" w14:textId="77777777" w:rsidR="001B23B7" w:rsidRPr="00612E08" w:rsidRDefault="00C44A45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B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6FE95167" w14:textId="77777777" w:rsidTr="008E569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C9581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CE031F4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8D9E990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E4CEAF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4035C122" w14:textId="77777777" w:rsidTr="008E569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6EE2E6E1" w14:textId="77777777">
              <w:trPr>
                <w:trHeight w:val="90"/>
              </w:trPr>
              <w:tc>
                <w:tcPr>
                  <w:tcW w:w="8643" w:type="dxa"/>
                </w:tcPr>
                <w:p w14:paraId="1AE218EC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558947B0" w14:textId="77777777">
              <w:trPr>
                <w:trHeight w:val="296"/>
              </w:trPr>
              <w:tc>
                <w:tcPr>
                  <w:tcW w:w="8643" w:type="dxa"/>
                </w:tcPr>
                <w:p w14:paraId="11C03B14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3BC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6A73321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276129B2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2D902532" w14:textId="77777777">
              <w:trPr>
                <w:trHeight w:val="296"/>
              </w:trPr>
              <w:tc>
                <w:tcPr>
                  <w:tcW w:w="8643" w:type="dxa"/>
                </w:tcPr>
                <w:p w14:paraId="0E90035B" w14:textId="77777777" w:rsidR="00A7788F" w:rsidRDefault="00413BC2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413BC2">
                    <w:rPr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413BC2">
                    <w:rPr>
                      <w:color w:val="auto"/>
                      <w:sz w:val="20"/>
                      <w:szCs w:val="20"/>
                    </w:rPr>
                    <w:t xml:space="preserve"> sa týka </w:t>
                  </w:r>
                  <w:r>
                    <w:rPr>
                      <w:color w:val="auto"/>
                      <w:sz w:val="20"/>
                      <w:szCs w:val="20"/>
                    </w:rPr>
                    <w:t>vplyvov na rozpočet verejnej správy.</w:t>
                  </w:r>
                </w:p>
                <w:p w14:paraId="45DD7A6C" w14:textId="77777777" w:rsidR="008E569D" w:rsidRDefault="008E569D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5CAE5C32" w14:textId="77777777" w:rsidR="00413BC2" w:rsidRDefault="00413BC2" w:rsidP="008E569D">
                  <w:pPr>
                    <w:pStyle w:val="Default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Nariadenie </w:t>
                  </w:r>
                  <w:r w:rsidRPr="00413BC2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Európskeho parlamentu a Rady (EÚ) 2024/1083 z 11. apríla 2024, ktorým sa stanovuje spoločný rámec pre mediálne služby na vnútornom trhu a mení smernica 2010/13/EÚ (Európsky akt o slobode médií)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stanovuje v článku </w:t>
                  </w:r>
                  <w:r w:rsidR="008E569D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25 ods. 2 možnosť členských štátov oslobodiť orgány verejnej správy územných celkov s menej ako 100 000 obyvateľmi a subjekty priamo alebo nepriamo kontrolované takýmito orgánmi od povinnosti zverejňovať v plnom rozsahu stanovenom týmto nariadením a umožniť im zverejňovanie údajov v obmedzenom rozsahu. </w:t>
                  </w:r>
                </w:p>
                <w:p w14:paraId="2813D7A3" w14:textId="77777777" w:rsidR="008E569D" w:rsidRDefault="008E569D" w:rsidP="008E569D">
                  <w:pPr>
                    <w:pStyle w:val="Default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</w:p>
                <w:p w14:paraId="02DD8E04" w14:textId="72954FB4" w:rsidR="008E569D" w:rsidRDefault="008E569D" w:rsidP="008E569D">
                  <w:pPr>
                    <w:pStyle w:val="Default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Predkladateľ má za to, že umožnenie predmetnej výnimky by v podmienkach Slovenskej republiky, kde má </w:t>
                  </w:r>
                  <w:r w:rsidR="00353FFB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2888 z 2890 obcí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menej ako 100 000 obyvateľov spôsobilo nedostatočné uplatňovanie Európskeho aktu o slobode médií, ktorého cieľom je zabezpečenie transparentného a objektívneho prideľovania štátnej reklamy. Získavanie a monitorovanie absentujúcich údajov by značne sťažilo možnosť dohliadať na dodržiavanie stanovených pravidiel v tejto oblasti, čo by malo za následok zvýšené personálne a administratívne náklady pre národného regulátora a tiež nedostatočnú informovanosť verejnosti. </w:t>
                  </w:r>
                </w:p>
                <w:p w14:paraId="089DECC0" w14:textId="00375B8F" w:rsidR="008E569D" w:rsidRPr="00413BC2" w:rsidRDefault="008E569D" w:rsidP="003F4DB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DEFB66A" w14:textId="77777777" w:rsidR="001B23B7" w:rsidRPr="00612E08" w:rsidRDefault="001B23B7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4298182" w14:textId="77777777" w:rsidTr="008E569D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1585" w14:textId="77777777" w:rsidR="001B23B7" w:rsidRPr="00612E08" w:rsidRDefault="001B23B7" w:rsidP="00E95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93713C0" w14:textId="77777777" w:rsidTr="008E569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5A2B2C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01A762E1" w14:textId="77777777" w:rsidTr="008E569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D5B47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42A3AB47" w14:textId="77777777" w:rsidR="001B23B7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1BEE9FA2" w14:textId="77777777" w:rsidR="008E569D" w:rsidRDefault="008E569D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C6EBF5A" w14:textId="396165CD" w:rsidR="008E569D" w:rsidRPr="008E569D" w:rsidRDefault="008E569D" w:rsidP="008E5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Podľa nariadenia </w:t>
            </w:r>
            <w:r w:rsidRPr="00413B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2024/1083 z 11. apríla 2024, ktorým sa stanovuje spoločný rámec pre mediálne služby na vnútornom trhu a mení smernica 2010/13/EÚ (Európsky akt o slobode médií)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úlohou Európskej komisie nezávisle a nepretržite monitorovať vnútorný trh s mediálnymi službami,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vrátane uplatňovania predmetného nariadenia zo strany členských štátov EÚ. Predmetné monitorovanie a zverejňovanie výsledkov sa bude vykonávať každý rok a predkladať sa bude aj Európskemu parlamentu. Európska komisia avizovala, že prvé monitorovanie by malo byť dostupné v roku 2026.</w:t>
            </w:r>
            <w:r w:rsidR="00C67C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vykonávaní hodnotení bude Komisia zohľadňovať kritériá, ktoré sú uveden</w:t>
            </w:r>
            <w:r w:rsidR="00C82D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="00C67C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čl. 27 ods. 4 Európskeho aktu o slobode médií.</w:t>
            </w:r>
          </w:p>
          <w:p w14:paraId="2FAFADB2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8B19B48" w14:textId="77777777" w:rsidTr="008E569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D81018" w14:textId="208C1E48" w:rsidR="008C07E4" w:rsidRPr="00612E08" w:rsidRDefault="008C07E4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8CC05B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60545CE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353CC5F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0D43EDD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97C82C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9001ECC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09ED939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73DC9FA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AA4FB3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4C06CD5" w14:textId="330C103C" w:rsidR="001B23B7" w:rsidRPr="00612E08" w:rsidRDefault="000A69A0" w:rsidP="008E56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1BE2F3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9DE4744" w14:textId="77777777" w:rsidR="001B23B7" w:rsidRPr="00612E08" w:rsidRDefault="00203EE3" w:rsidP="008E56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F60BE03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D666FC7" w14:textId="69774F01" w:rsidR="001B23B7" w:rsidRPr="00612E08" w:rsidRDefault="00BC27D2" w:rsidP="008E56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DAF458" w14:textId="77777777" w:rsidR="001B23B7" w:rsidRPr="00612E08" w:rsidRDefault="001B23B7" w:rsidP="008E569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98DEE4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E56850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8DFAA25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78F024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456C6B8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12366A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5BE7BD7" w14:textId="4C31DC57" w:rsidR="001B23B7" w:rsidRPr="00612E08" w:rsidRDefault="00F7653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A1C031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35716E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1591F9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3EEF927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FBC8B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A506FCB" w14:textId="38A2C612" w:rsidR="003145AE" w:rsidRPr="00612E08" w:rsidRDefault="00BC27D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DB1F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601F854" w14:textId="3E7A426F" w:rsidR="003145AE" w:rsidRPr="00612E08" w:rsidRDefault="00F7653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A0519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5669B44" w14:textId="656512F6" w:rsidR="003145AE" w:rsidRPr="00612E08" w:rsidRDefault="007C55C7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C5F6D40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F066676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D9434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6F5F8A4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50983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CAB1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6C1F71" w14:textId="1E4F3C7C" w:rsidR="003145AE" w:rsidRPr="00612E08" w:rsidRDefault="00463CCD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F119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5271AC" w14:textId="2A8A5F0A" w:rsidR="003145AE" w:rsidRPr="00612E08" w:rsidRDefault="007C55C7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A69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16B32C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95AFE3" w14:textId="77777777" w:rsidR="00A7788F" w:rsidRPr="00612E08" w:rsidRDefault="00A7788F" w:rsidP="008E56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8943F8" w14:textId="77777777" w:rsidR="00A7788F" w:rsidRPr="00612E08" w:rsidRDefault="00CD6E04" w:rsidP="008E56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17D40" w14:textId="77777777" w:rsidR="00A7788F" w:rsidRPr="00612E08" w:rsidRDefault="00A7788F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ED958" w14:textId="77777777" w:rsidR="00A7788F" w:rsidRPr="00612E08" w:rsidRDefault="00A7788F" w:rsidP="008E5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4B753" w14:textId="77777777" w:rsidR="00A7788F" w:rsidRPr="00612E08" w:rsidRDefault="00A7788F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09A107" w14:textId="583948FB" w:rsidR="00A7788F" w:rsidRPr="00612E08" w:rsidRDefault="00BC27D2" w:rsidP="008E56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5406" w14:textId="77777777" w:rsidR="00A7788F" w:rsidRPr="00612E08" w:rsidRDefault="00A7788F" w:rsidP="008E56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5726A6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88233D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BC82F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874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9C9705" w14:textId="23DCAD16" w:rsidR="007F587A" w:rsidRPr="00612E08" w:rsidRDefault="000A69A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A8B7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A3FB77" w14:textId="6F700113" w:rsidR="007F587A" w:rsidRPr="00612E08" w:rsidRDefault="000A69A0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CB6A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A0B9F7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69343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C059F77" w14:textId="780F751C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C35E8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80DAFF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24718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24C108" w14:textId="400EB089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0E1A1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4D4FEB4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AF112E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D6F527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2BB15DD" w14:textId="4EBF3601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42A47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AB3EC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93DC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C8167B7" w14:textId="43E1DBA8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74A46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4BADA0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A3C2B3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1529F1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AD30F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C026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58D6C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F5E2B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4C9414" w14:textId="4BD7D1D5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91C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D6B7712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4A609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3681683" w14:textId="3DB63AF8" w:rsidR="007F587A" w:rsidRPr="00612E08" w:rsidRDefault="0032159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4660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3AC420" w14:textId="5DB5D7EE" w:rsidR="007F587A" w:rsidRPr="00612E08" w:rsidRDefault="0032159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2F8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86663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CCEF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C06B987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C3DBF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DB227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734B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3DE40A" w14:textId="3D7C1169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216C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1053D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410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48CA2EE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0834A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AD9B95F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A95A5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B738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AE2AC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ACE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C44AF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149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F9ED8A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533A6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DF49F9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B4EB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D2729FA" w14:textId="388705FF" w:rsidR="007F587A" w:rsidRPr="00612E08" w:rsidRDefault="00BC27D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24CE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CC7E0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C8D8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A1A6171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EA3944" w14:textId="77777777" w:rsidR="000F2BE9" w:rsidRPr="00612E08" w:rsidRDefault="000F2BE9" w:rsidP="008E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A39AFA" w14:textId="77777777" w:rsidR="000F2BE9" w:rsidRPr="00612E08" w:rsidRDefault="000F2BE9" w:rsidP="008E56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7D4848" w14:textId="77777777" w:rsidR="000F2BE9" w:rsidRPr="00612E08" w:rsidRDefault="000F2BE9" w:rsidP="008E56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4AB55E" w14:textId="77777777" w:rsidR="000F2BE9" w:rsidRPr="00612E08" w:rsidRDefault="000F2BE9" w:rsidP="008E56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1CAE5D" w14:textId="77777777" w:rsidR="000F2BE9" w:rsidRPr="00612E08" w:rsidRDefault="000F2BE9" w:rsidP="008E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5A101C" w14:textId="77777777" w:rsidR="000F2BE9" w:rsidRPr="00612E08" w:rsidRDefault="000F2BE9" w:rsidP="008E56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8D258" w14:textId="77777777" w:rsidR="000F2BE9" w:rsidRPr="00612E08" w:rsidRDefault="000F2BE9" w:rsidP="008E56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55560C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192656" w14:textId="77777777" w:rsidR="000F2BE9" w:rsidRPr="00612E08" w:rsidRDefault="000F2BE9" w:rsidP="008E569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E0758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089B8D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74420DA" w14:textId="6FEFA59A" w:rsidR="000F2BE9" w:rsidRPr="00612E08" w:rsidRDefault="00BC27D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AD209C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BC9039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ADE78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5A6CD7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6DD10A" w14:textId="77777777" w:rsidR="000F2BE9" w:rsidRPr="00612E08" w:rsidRDefault="000F2BE9" w:rsidP="008E569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F928F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A4D495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7C3DF6" w14:textId="754C4C9A" w:rsidR="000F2BE9" w:rsidRPr="00612E08" w:rsidRDefault="00BC27D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61B42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48EEF7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FC8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038DF942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B25DFDF" w14:textId="77777777" w:rsidR="00A340BB" w:rsidRPr="00612E08" w:rsidRDefault="00A340BB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0A2EF9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8F2C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479557" w14:textId="08FF12F1" w:rsidR="00A340BB" w:rsidRPr="00612E08" w:rsidRDefault="00BC27D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8EF8B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4A5F2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CCE4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8A015D1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1B9DAC5D" w14:textId="77777777" w:rsidTr="008E569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71DFA6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EEA1CA3" w14:textId="77777777" w:rsidTr="008E569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AEA2316" w14:textId="0AE75803" w:rsidR="001B23B7" w:rsidRDefault="001B23B7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0011AB20" w14:textId="77777777" w:rsidR="00810E4A" w:rsidRPr="00810E4A" w:rsidRDefault="00810E4A" w:rsidP="00810E4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Hlk84496634"/>
          </w:p>
          <w:p w14:paraId="73E4F520" w14:textId="61FE9E74" w:rsidR="00810E4A" w:rsidRPr="00810E4A" w:rsidRDefault="00810E4A" w:rsidP="00810E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0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Predložený materiál zavádza sankcie, ktorých vplyv nie je možné kvantifikovať z dôvodu, že mieru porušovania ustanovení nie je možné </w:t>
            </w:r>
            <w:proofErr w:type="spellStart"/>
            <w:r w:rsidRPr="00810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predikovať</w:t>
            </w:r>
            <w:proofErr w:type="spellEnd"/>
            <w:r w:rsidRPr="00810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bookmarkStart w:id="1" w:name="_GoBack"/>
            <w:bookmarkEnd w:id="1"/>
          </w:p>
          <w:bookmarkEnd w:id="0"/>
          <w:p w14:paraId="68281BCB" w14:textId="77777777" w:rsidR="00810E4A" w:rsidRPr="00612E08" w:rsidRDefault="00810E4A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ABFA7E7" w14:textId="77777777" w:rsidR="004C6831" w:rsidRPr="00612E08" w:rsidRDefault="004C6831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05992A41" w14:textId="77777777" w:rsidR="004C6831" w:rsidRPr="00612E08" w:rsidRDefault="004C6831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FF6B137" w14:textId="77777777" w:rsidR="004C6831" w:rsidRPr="00612E08" w:rsidRDefault="004C6831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15F96E43" w14:textId="77777777" w:rsidR="0098472E" w:rsidRPr="00612E08" w:rsidRDefault="0098472E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9E90CA" w14:textId="77777777" w:rsidR="001B23B7" w:rsidRDefault="007C5312" w:rsidP="008C07E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2B75BD40" w14:textId="19FDFB4E" w:rsidR="001B0F49" w:rsidRPr="008C07E4" w:rsidRDefault="001B0F49" w:rsidP="008C07E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0691437" w14:textId="77777777" w:rsidTr="008E569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5971A1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190A2A77" w14:textId="77777777" w:rsidTr="008E569D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5CF2" w14:textId="77777777" w:rsidR="001B23B7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5AF7706" w14:textId="77777777" w:rsidR="008E569D" w:rsidRDefault="008E569D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10E7BA3" w14:textId="24321C19" w:rsidR="00CD0073" w:rsidRPr="00CD0073" w:rsidRDefault="00CD0073" w:rsidP="00CD0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00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Ivana Maláková,  tel. +421 2 2048 2233,  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  <w:r w:rsidRPr="00CD00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B928B5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ivana.malakova@culture.gov.sk</w:t>
              </w:r>
            </w:hyperlink>
          </w:p>
          <w:p w14:paraId="24E5A57B" w14:textId="77777777" w:rsidR="008E569D" w:rsidRPr="00612E08" w:rsidRDefault="008E569D" w:rsidP="00B928B5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F04810F" w14:textId="77777777" w:rsidTr="008E569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0BD559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4ACE13D1" w14:textId="77777777" w:rsidTr="008E569D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1276" w14:textId="77777777" w:rsidR="001B23B7" w:rsidRPr="00612E08" w:rsidRDefault="001B23B7" w:rsidP="008E56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491600" w14:textId="77777777" w:rsidR="001B23B7" w:rsidRDefault="001B23B7" w:rsidP="008E56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4DDF5CF" w14:textId="05455517" w:rsidR="008E569D" w:rsidRDefault="00BC27D2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Rada pre mediálne služby: Zoznamy regulovaných subjektov</w:t>
            </w:r>
          </w:p>
          <w:p w14:paraId="396D76EC" w14:textId="1FD20CF0" w:rsidR="000A69A0" w:rsidRDefault="000A69A0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MK</w:t>
            </w:r>
            <w:r w:rsidR="003215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SR: Evidencia periodických publikácií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321592" w:rsidRPr="00525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525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Evidencia</w:t>
            </w:r>
            <w:r w:rsidR="00321592" w:rsidRPr="005255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30.11.2024)</w:t>
            </w:r>
          </w:p>
          <w:p w14:paraId="74784188" w14:textId="7A4D42E3" w:rsidR="00BC27D2" w:rsidRPr="008E569D" w:rsidRDefault="00BC27D2" w:rsidP="008E5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MF SR: Makroekonomická prognóza</w:t>
            </w:r>
            <w:r w:rsidR="00A937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(september 2024)</w:t>
            </w:r>
          </w:p>
          <w:p w14:paraId="622BF11F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ACA0CFE" w14:textId="77777777" w:rsidTr="008E569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DB25CC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845DA07" w14:textId="77777777" w:rsidR="001B23B7" w:rsidRPr="00612E08" w:rsidRDefault="001B23B7" w:rsidP="008E569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35A0E91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14CEE" w14:textId="77777777" w:rsidR="001B23B7" w:rsidRPr="00314D4D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314D4D" w14:paraId="7C40C5F3" w14:textId="77777777" w:rsidTr="008E569D">
              <w:trPr>
                <w:trHeight w:val="396"/>
              </w:trPr>
              <w:tc>
                <w:tcPr>
                  <w:tcW w:w="2552" w:type="dxa"/>
                </w:tcPr>
                <w:p w14:paraId="63D12C70" w14:textId="77777777" w:rsidR="001B23B7" w:rsidRPr="00314D4D" w:rsidRDefault="00C44A45" w:rsidP="008E56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14D4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14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14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AA2A6B1" w14:textId="77777777" w:rsidR="001B23B7" w:rsidRPr="00314D4D" w:rsidRDefault="00C44A45" w:rsidP="008E56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14D4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14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14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CE1C49D" w14:textId="6987C281" w:rsidR="001B23B7" w:rsidRPr="00314D4D" w:rsidRDefault="00C44A45" w:rsidP="008E569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031A" w:rsidRPr="00314D4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314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14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BF6F27D" w14:textId="1632152D" w:rsidR="001B23B7" w:rsidRPr="00314D4D" w:rsidRDefault="001B23B7" w:rsidP="008E56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4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71F6FCA" w14:textId="77777777" w:rsidR="00B928B5" w:rsidRPr="00314D4D" w:rsidRDefault="00B928B5" w:rsidP="00B928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06D703" w14:textId="77777777" w:rsidR="001539A5" w:rsidRPr="00314D4D" w:rsidRDefault="001539A5" w:rsidP="001539A5">
            <w:pPr>
              <w:pStyle w:val="Nadpis4"/>
              <w:numPr>
                <w:ilvl w:val="3"/>
                <w:numId w:val="5"/>
              </w:numPr>
              <w:outlineLvl w:val="3"/>
            </w:pPr>
            <w:r w:rsidRPr="00314D4D">
              <w:rPr>
                <w:rFonts w:ascii="Arial" w:hAnsi="Arial" w:cs="Arial"/>
                <w:spacing w:val="20"/>
                <w:sz w:val="32"/>
              </w:rPr>
              <w:t>stanovisko komisie</w:t>
            </w:r>
            <w:r w:rsidRPr="00314D4D">
              <w:rPr>
                <w:rFonts w:ascii="Arial" w:hAnsi="Arial" w:cs="Arial"/>
                <w:sz w:val="22"/>
              </w:rPr>
              <w:t xml:space="preserve"> </w:t>
            </w:r>
          </w:p>
          <w:p w14:paraId="147348D6" w14:textId="77777777" w:rsidR="001539A5" w:rsidRPr="00314D4D" w:rsidRDefault="001539A5" w:rsidP="001539A5">
            <w:pPr>
              <w:ind w:right="-2"/>
              <w:jc w:val="center"/>
              <w:rPr>
                <w:rFonts w:ascii="Arial" w:hAnsi="Arial" w:cs="Arial"/>
                <w:b/>
                <w:smallCaps/>
              </w:rPr>
            </w:pPr>
          </w:p>
          <w:p w14:paraId="25BDFCCE" w14:textId="77777777" w:rsidR="001539A5" w:rsidRPr="00314D4D" w:rsidRDefault="001539A5" w:rsidP="001539A5">
            <w:pPr>
              <w:ind w:right="-2"/>
              <w:jc w:val="center"/>
            </w:pPr>
            <w:r w:rsidRPr="00314D4D">
              <w:rPr>
                <w:rFonts w:ascii="Arial" w:hAnsi="Arial" w:cs="Arial"/>
                <w:b/>
                <w:smallCaps/>
              </w:rPr>
              <w:t>(predbežné pripomienkové konanie)</w:t>
            </w:r>
          </w:p>
          <w:p w14:paraId="0498341F" w14:textId="77777777" w:rsidR="001539A5" w:rsidRPr="00314D4D" w:rsidRDefault="001539A5" w:rsidP="001539A5">
            <w:pPr>
              <w:ind w:right="-2"/>
              <w:jc w:val="center"/>
              <w:rPr>
                <w:rFonts w:ascii="Arial" w:hAnsi="Arial" w:cs="Arial"/>
                <w:b/>
                <w:smallCaps/>
              </w:rPr>
            </w:pPr>
          </w:p>
          <w:p w14:paraId="5E142F19" w14:textId="77777777" w:rsidR="001539A5" w:rsidRPr="00314D4D" w:rsidRDefault="001539A5" w:rsidP="001539A5">
            <w:pPr>
              <w:ind w:right="-2"/>
              <w:jc w:val="center"/>
              <w:rPr>
                <w:rFonts w:ascii="Arial" w:hAnsi="Arial" w:cs="Arial"/>
                <w:b/>
                <w:smallCaps/>
              </w:rPr>
            </w:pPr>
            <w:r w:rsidRPr="00314D4D">
              <w:rPr>
                <w:rFonts w:ascii="Arial" w:hAnsi="Arial" w:cs="Arial"/>
                <w:b/>
                <w:smallCaps/>
              </w:rPr>
              <w:t>k materiálu</w:t>
            </w:r>
          </w:p>
          <w:p w14:paraId="475FC7DF" w14:textId="77777777" w:rsidR="001539A5" w:rsidRPr="00314D4D" w:rsidRDefault="001539A5" w:rsidP="001539A5">
            <w:pPr>
              <w:ind w:right="-2"/>
              <w:jc w:val="center"/>
            </w:pPr>
          </w:p>
          <w:p w14:paraId="40837E2B" w14:textId="77777777" w:rsidR="001539A5" w:rsidRPr="00314D4D" w:rsidRDefault="001539A5" w:rsidP="001539A5">
            <w:pPr>
              <w:pBdr>
                <w:bottom w:val="single" w:sz="4" w:space="1" w:color="auto"/>
              </w:pBdr>
              <w:jc w:val="center"/>
              <w:rPr>
                <w:rStyle w:val="Jemnodkaz"/>
                <w:rFonts w:ascii="Arial" w:hAnsi="Arial" w:cs="Arial"/>
                <w:b/>
              </w:rPr>
            </w:pPr>
            <w:r w:rsidRPr="00314D4D">
              <w:rPr>
                <w:rStyle w:val="Jemnodkaz"/>
                <w:rFonts w:ascii="Arial" w:hAnsi="Arial" w:cs="Arial"/>
                <w:b/>
              </w:rPr>
              <w:t>Návrh zákona, ktorým sa mení a dopĺňa zákon č. 264/2022 Z. z. o mediálnych službách a o zmene a doplnení niektorých zákonov (zákon o mediálnych službách) v znení neskorších predpisov a o zmene a doplnení zákona č. 265/2022 Z. z. o vydavateľoch publikácií a o registri v oblasti médií a audiovízie a o zmene a doplnení niektorých zákonov (zákon o publikáciách)</w:t>
            </w:r>
          </w:p>
          <w:p w14:paraId="0F8C0E64" w14:textId="77777777" w:rsidR="001539A5" w:rsidRPr="00314D4D" w:rsidRDefault="001539A5" w:rsidP="001539A5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14:paraId="0B10D2D8" w14:textId="0237089D" w:rsidR="001539A5" w:rsidRPr="00314D4D" w:rsidRDefault="001539A5" w:rsidP="001539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Úvod: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Ministerstvo kultúry Slovenskej republiky dňa 23. januára 2025 predložilo na PPK materiál: „Návrh zákona, ktorým sa mení a dopĺňa zákon č. 264/2022 Z. z. o mediálnych službách a o zmene a doplnení niektorých zákonov (zákon o mediálnych službách) v znení neskorších predpisov a o zmene a doplnení zákona č. 265/2022 Z. z. o vydavateľoch publikácií a o registri v oblasti médií a audiovízie a o zmene a doplnení niektorých zákonov (zákon o publikáciách)“. Materiál predpokladá negatívne vplyvy na rozpočet verejnej správy, negatívne vplyvy na rozpočty obcí a vyšších územných celkov a pozitívno-negatívne vplyvy na podnikateľské prostredie, vrátane pozitívno-negatívnych vplyvov na malé a stredné podniky.</w:t>
            </w:r>
          </w:p>
          <w:p w14:paraId="14521C12" w14:textId="77777777" w:rsidR="001539A5" w:rsidRPr="00314D4D" w:rsidRDefault="001539A5" w:rsidP="001539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107478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</w:t>
            </w:r>
            <w:r w:rsidRPr="00314D4D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314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ipomienky a návrhy zm</w:t>
            </w:r>
            <w:r w:rsidRPr="00314D4D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314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n: 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Komisia uplatňuje k materiálu nasledovné pripomienky a odporúčania:</w:t>
            </w:r>
          </w:p>
          <w:p w14:paraId="2E510280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D9B958" w14:textId="77777777" w:rsidR="00B928B5" w:rsidRPr="00314D4D" w:rsidRDefault="00B928B5" w:rsidP="00B928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 doložke vybraných vplyvov </w:t>
            </w:r>
          </w:p>
          <w:p w14:paraId="5FA864CB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Komisia odporúča predkladateľovi  materiálu  doplniť do časti 5. Alternatívne riešenia  o nulový variant, a teda popísať stav, čo by priniesla absencia spoločného rámca pre mediálne služby na vnútornom trhu. Ďalej Komisia odporúčam v časti  8. Preskúmanie účelnosti  doplniť chýbajúce kritériá, podľa ktorých sa posúdi splnenie stanoveného cieľa. Komisia tiež odporúča aj v časti 11. Kontakt na spracovateľa  doplniť  chýbajúce meno spracovateľa.</w:t>
            </w:r>
          </w:p>
          <w:p w14:paraId="5A2FBB74" w14:textId="06235605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Odôvodnenie: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 Doložke vybraných vplyvov je pre účely  kontroly stanoveného cieľa,  či efektívnej komunikácie v pripomienkovom procese v zmysle Jednotnej metodiky na posudzovanie vybraných vplyvov potrebné a vhodné uviesť spomenuté časti. </w:t>
            </w:r>
          </w:p>
          <w:p w14:paraId="14A7A6E2" w14:textId="103A1E51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A9C2D3" w14:textId="45B581FB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Vyhodnotenie</w:t>
            </w:r>
            <w:r w:rsidR="001B0F49"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: P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ripomienky uplatnené k doložke vybraných vplyvov boli akceptované a zapracované do doložky</w:t>
            </w:r>
            <w:r w:rsidR="001B0F49"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vybraných vplyvov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43726B5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D4D83B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 vplyvom na podnikateľské prostredie </w:t>
            </w:r>
          </w:p>
          <w:p w14:paraId="3A780741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predkladateľa materiálu v  časti 3.1 Analýzy vplyvov na podnikateľské prostredie o doplnenie popisu a kvantifikácie pokút, uvedených v §145.</w:t>
            </w:r>
          </w:p>
          <w:p w14:paraId="29BB2ED2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Odôvodnenie: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Sankcie a pokuty majú byť v zmysle Jednotnej metodiky na posudzovanie vybraných vplyvov popísané a vyčíslené v časti 3.1. Analýzy vplyvov na podnikateľské prostredie.</w:t>
            </w:r>
          </w:p>
          <w:p w14:paraId="0CFFEF7B" w14:textId="032DFCC0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1DA4A2" w14:textId="1E259FA1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Vyhodnotenie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Pripomienka bola </w:t>
            </w:r>
            <w:r w:rsidR="001B0F49"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čiastočne 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akceptovaná. Analýza vplyvov na podnikateľské prostredie bola </w:t>
            </w:r>
            <w:r w:rsidR="004F5F15"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doplnená o popis sankcií. Výšku pokút nie je objektívne možné vyčísliť, keďže pokuty sa viažu na nové povinnosti, pri ktorých  </w:t>
            </w:r>
            <w:r w:rsidR="004F5F15" w:rsidRPr="00314D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 je možné </w:t>
            </w:r>
            <w:proofErr w:type="spellStart"/>
            <w:r w:rsidR="004F5F15" w:rsidRPr="00314D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predikovať</w:t>
            </w:r>
            <w:proofErr w:type="spellEnd"/>
            <w:r w:rsidR="004F5F15" w:rsidRPr="00314D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mieru ich porušenia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1FE80E1" w14:textId="69BC9123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92F635" w14:textId="4426FFF9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predkladateľa o dopracovanie časti 3.1.3 Analýzy vplyvov na podnikateľské prostredie. Absentujú tu doplňujúce informácie osobitne ku každej reguláci</w:t>
            </w:r>
            <w:r w:rsidR="00C82D59"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kalkulačky nákladov, ktoré sú potrebné pre overenie správnosti výpočtu vplyvov. Komisia preto žiada o konkrétnejšie popísanie vplyvov na podnikateľské prostredie, vrátane MSP v časti 3.1.3 predmetnej analýzy.</w:t>
            </w:r>
          </w:p>
          <w:p w14:paraId="7D9F588A" w14:textId="59B7981B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C443EE" w14:textId="77777777" w:rsidR="00B928B5" w:rsidRPr="00314D4D" w:rsidRDefault="00B928B5" w:rsidP="00B928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D4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Vyhodnotenie</w:t>
            </w:r>
            <w:r w:rsidRPr="00314D4D">
              <w:rPr>
                <w:rFonts w:ascii="Times New Roman" w:hAnsi="Times New Roman" w:cs="Times New Roman"/>
                <w:bCs/>
                <w:sz w:val="20"/>
                <w:szCs w:val="20"/>
              </w:rPr>
              <w:t>: Pripomienka bola akceptovaná. Analýza vplyvov na podnikateľské prostredie bola upravená v zmysle pripomienky.</w:t>
            </w:r>
          </w:p>
          <w:p w14:paraId="0DFC35C2" w14:textId="028041CA" w:rsidR="00B928B5" w:rsidRPr="00314D4D" w:rsidRDefault="00B928B5" w:rsidP="00B928B5">
            <w:pPr>
              <w:pStyle w:val="norm00e1lny"/>
              <w:rPr>
                <w:bCs/>
                <w:lang w:eastAsia="ar-SA"/>
              </w:rPr>
            </w:pPr>
          </w:p>
          <w:p w14:paraId="1FA71989" w14:textId="77777777" w:rsidR="00B928B5" w:rsidRPr="00314D4D" w:rsidRDefault="00B928B5" w:rsidP="00B928B5">
            <w:pPr>
              <w:pStyle w:val="norm00e1lny"/>
              <w:rPr>
                <w:b/>
                <w:bCs/>
                <w:lang w:eastAsia="ar-SA"/>
              </w:rPr>
            </w:pPr>
            <w:r w:rsidRPr="00314D4D">
              <w:rPr>
                <w:b/>
                <w:bCs/>
                <w:lang w:eastAsia="ar-SA"/>
              </w:rPr>
              <w:t>K vplyvom na rozpočet verejnej správy</w:t>
            </w:r>
          </w:p>
          <w:p w14:paraId="688B703D" w14:textId="1094FBB4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Podľa doložky vybraných vplyvov má návrh negatívne vplyvy na rozpočet verejnej správy. Rozpočtová zabezpečenosť nie je označená, čo Komisia žiada doplniť.</w:t>
            </w:r>
          </w:p>
          <w:p w14:paraId="3E88D5B9" w14:textId="77777777" w:rsidR="00045307" w:rsidRPr="00314D4D" w:rsidRDefault="00045307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78BCF39B" w14:textId="15D3C43B" w:rsidR="00F867C4" w:rsidRPr="00314D4D" w:rsidRDefault="00F867C4" w:rsidP="00B928B5">
            <w:pPr>
              <w:pStyle w:val="norm00e1lny"/>
              <w:jc w:val="both"/>
              <w:rPr>
                <w:bCs/>
                <w:u w:val="single"/>
                <w:lang w:eastAsia="ar-SA"/>
              </w:rPr>
            </w:pPr>
            <w:r w:rsidRPr="00314D4D">
              <w:rPr>
                <w:bCs/>
                <w:u w:val="single"/>
                <w:lang w:eastAsia="ar-SA"/>
              </w:rPr>
              <w:t xml:space="preserve">Vyhodnotenie: </w:t>
            </w:r>
            <w:r w:rsidRPr="00314D4D">
              <w:rPr>
                <w:bCs/>
                <w:lang w:eastAsia="ar-SA"/>
              </w:rPr>
              <w:t>Návrh predpokladá rozpočtovo nezabezpečené vplyvy na roky 2026 – 2028,</w:t>
            </w:r>
            <w:r w:rsidR="00045307" w:rsidRPr="00314D4D">
              <w:rPr>
                <w:bCs/>
                <w:lang w:eastAsia="ar-SA"/>
              </w:rPr>
              <w:t xml:space="preserve"> ktoré budú riešené v rámci rokovaní o návrhu rozpočtu verejnej správy na roky 2026 až 2028. Zvýšené v</w:t>
            </w:r>
            <w:r w:rsidR="00AC7D44" w:rsidRPr="00314D4D">
              <w:rPr>
                <w:bCs/>
                <w:lang w:eastAsia="ar-SA"/>
              </w:rPr>
              <w:t>ýdavky nie je možné zabezpečiť</w:t>
            </w:r>
            <w:r w:rsidR="00045307" w:rsidRPr="00314D4D">
              <w:rPr>
                <w:bCs/>
                <w:lang w:eastAsia="ar-SA"/>
              </w:rPr>
              <w:t xml:space="preserve"> v rámci  limitov Rady pre mediálne služby schválené v rozpočte na roky 2025 až 2027</w:t>
            </w:r>
            <w:r w:rsidR="00AC7D44" w:rsidRPr="00314D4D">
              <w:rPr>
                <w:bCs/>
                <w:lang w:eastAsia="ar-SA"/>
              </w:rPr>
              <w:t xml:space="preserve"> a bez vplyvu na limit verejných výdavkov</w:t>
            </w:r>
            <w:r w:rsidR="00045307" w:rsidRPr="00314D4D">
              <w:rPr>
                <w:bCs/>
                <w:lang w:eastAsia="ar-SA"/>
              </w:rPr>
              <w:t>.</w:t>
            </w:r>
            <w:r w:rsidRPr="00314D4D">
              <w:rPr>
                <w:bCs/>
                <w:lang w:eastAsia="ar-SA"/>
              </w:rPr>
              <w:t xml:space="preserve"> </w:t>
            </w:r>
          </w:p>
          <w:p w14:paraId="485DBB56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4EE8B0A7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V analýze vplyvov na rozpočet verejnej správy sú kvantifikované výdavky (Rada pre mediálne služby) v roku 2025 v sume 120 885 eur, v roku 2026 v sume 587 513 eur, v roku 2027 v sume 858 562 eur a v roku 2028 v sume 865 681 eur. Súčasne je kvantifikovaná požiadavka na nárast zamestnancov, a to o 3 nových zamestnancov v roku 2025, o ďalších 8 v roku 2026 a o ďalších 5 od roku 2027. Nárast zdôvodňuje predkladateľ v časti 2.2.4. Výpočty vplyvov na verejné financie zabezpečovaním nových úloh vyplývajúcich z Európskeho aktu o slobode médií.</w:t>
            </w:r>
          </w:p>
          <w:p w14:paraId="4FCDCB69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250165B2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V časti 2.1.1. Financovanie návrhu predkladateľ uvádza, že „Financovanie v roku 2025 sa bude riešiť na základe žiadosti Rady pre mediálne služby o rozpočtové opatrenie, ktoré bude zohľadňovať aktuálnu potrebu postupného nástupu nových zamestnancov. Vplyv v ďalších rokoch bude riešený v rámci rokovaní o návrhu rozpočtu verejnej správy na roky 2026 až 2028 a bude zohľadňovať potrebu nástupu zamestnancov.“.</w:t>
            </w:r>
          </w:p>
          <w:p w14:paraId="41A71C61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42F8905A" w14:textId="2C33FAA9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V analýze nie sú vyplnené tabuľky č. 1/B a č. 4/B, čo Komisia žiada doplniť.</w:t>
            </w:r>
          </w:p>
          <w:p w14:paraId="6123F51E" w14:textId="77777777" w:rsidR="00045307" w:rsidRPr="00314D4D" w:rsidRDefault="00045307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54C6A1BD" w14:textId="7C86510A" w:rsidR="00B928B5" w:rsidRPr="00314D4D" w:rsidRDefault="00045307" w:rsidP="00B928B5">
            <w:pPr>
              <w:pStyle w:val="norm00e1lny"/>
              <w:jc w:val="both"/>
              <w:rPr>
                <w:bCs/>
              </w:rPr>
            </w:pPr>
            <w:r w:rsidRPr="00314D4D">
              <w:rPr>
                <w:bCs/>
                <w:u w:val="single"/>
              </w:rPr>
              <w:t>Vyhodnotenie</w:t>
            </w:r>
            <w:r w:rsidRPr="00314D4D">
              <w:rPr>
                <w:bCs/>
              </w:rPr>
              <w:t>: Pripomienka bola akceptovaná, tabuľky č. 1/B a 4/B boli vyplnené.</w:t>
            </w:r>
          </w:p>
          <w:p w14:paraId="7ADDAC57" w14:textId="77777777" w:rsidR="00045307" w:rsidRPr="00314D4D" w:rsidRDefault="00045307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3EF130EF" w14:textId="77777777" w:rsidR="009A0719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V poznámke pod tabuľkou č. 4/A predkladateľ uvádza, že „V triede 610 a 620 sú započítané výdavky na nových zamestnancov, znížené o úspory vyplývajúce zo zmeny odmien štatutárnych orgánov (pozri časť 2.2.4.).“. V časti 2.2.4. nie je žiadna kvantifikácia ani popis úspor, čo Komisia žiada doplniť.</w:t>
            </w:r>
          </w:p>
          <w:p w14:paraId="789E51AD" w14:textId="088D7264" w:rsidR="009A0719" w:rsidRPr="00314D4D" w:rsidRDefault="009A0719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356A2232" w14:textId="2736CF79" w:rsidR="009A0719" w:rsidRPr="00314D4D" w:rsidRDefault="009A0719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u w:val="single"/>
              </w:rPr>
              <w:t>Vyhodnotenie</w:t>
            </w:r>
            <w:r w:rsidRPr="00314D4D">
              <w:rPr>
                <w:bCs/>
              </w:rPr>
              <w:t xml:space="preserve">: Pripomienka bola akceptovaná. </w:t>
            </w:r>
            <w:r w:rsidR="00F609E7" w:rsidRPr="00314D4D">
              <w:rPr>
                <w:bCs/>
              </w:rPr>
              <w:t>Poznámka pod tabuľkou č. 4/A bola z dôvodu jej neaktuálnosti vypustená.</w:t>
            </w:r>
          </w:p>
          <w:p w14:paraId="6337AFB7" w14:textId="6BA01DA6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 xml:space="preserve">  </w:t>
            </w:r>
          </w:p>
          <w:p w14:paraId="46B82E3A" w14:textId="001AEDD1" w:rsidR="009A0719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Návrhom sa zavádzajú pokuty za porušenie povinností, čo nie je zohľadnené v doložke, ani analýze vplyvov, čo Komisia žiada doplniť.</w:t>
            </w:r>
          </w:p>
          <w:p w14:paraId="753D98B9" w14:textId="1D822324" w:rsidR="009A0719" w:rsidRPr="00314D4D" w:rsidRDefault="009A0719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248AE031" w14:textId="0B44842B" w:rsidR="009A0719" w:rsidRPr="00314D4D" w:rsidRDefault="009A0719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u w:val="single"/>
              </w:rPr>
              <w:t>Vyhodnotenie</w:t>
            </w:r>
            <w:r w:rsidRPr="00314D4D">
              <w:rPr>
                <w:bCs/>
              </w:rPr>
              <w:t xml:space="preserve">: Pripomienka bola akceptovaná. Doložka vybraných vplyvov </w:t>
            </w:r>
            <w:r w:rsidR="0053585E" w:rsidRPr="00314D4D">
              <w:rPr>
                <w:bCs/>
              </w:rPr>
              <w:t>a analýza vplyvov boli upravené</w:t>
            </w:r>
            <w:r w:rsidRPr="00314D4D">
              <w:rPr>
                <w:bCs/>
              </w:rPr>
              <w:t>.</w:t>
            </w:r>
          </w:p>
          <w:p w14:paraId="08ED8BEF" w14:textId="0B824D9F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1C1E03D4" w14:textId="3D50366C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 xml:space="preserve">Komisia zásadne žiada, aby všetky negatívne vplyvy návrhu zákona v organizácii Rada pre mediálne služby (vrátane vplyvov za oblasť zamestnanosti) boli rozpočtovo zabezpečené v rámci limitov dotknutých subjektov schválených v rozpočte na roky 2025 až 2027 a bez vplyvu na limit verejných výdavkov. Komisia upozorňuje, že limit verejných výdavkov na rok 2025 je schválený uznesením NR SR č. 699 zo dňa 3. decembra 2024 a nie je možné ho prekročiť. </w:t>
            </w:r>
          </w:p>
          <w:p w14:paraId="4944AE0B" w14:textId="668A1AF1" w:rsidR="0053585E" w:rsidRPr="00314D4D" w:rsidRDefault="0053585E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3139FA12" w14:textId="745B8CAA" w:rsidR="00AC7D44" w:rsidRPr="00314D4D" w:rsidRDefault="0053585E" w:rsidP="00AC7D44">
            <w:pPr>
              <w:pStyle w:val="norm00e1lny"/>
              <w:jc w:val="both"/>
              <w:rPr>
                <w:bCs/>
                <w:u w:val="single"/>
                <w:lang w:eastAsia="ar-SA"/>
              </w:rPr>
            </w:pPr>
            <w:r w:rsidRPr="00314D4D">
              <w:rPr>
                <w:bCs/>
                <w:u w:val="single"/>
              </w:rPr>
              <w:t>Vyhodnotenie</w:t>
            </w:r>
            <w:r w:rsidRPr="00314D4D">
              <w:rPr>
                <w:bCs/>
              </w:rPr>
              <w:t xml:space="preserve">: Pripomienka bola čiastočne akceptovaná. </w:t>
            </w:r>
            <w:r w:rsidR="00062BBD" w:rsidRPr="00314D4D">
              <w:rPr>
                <w:bCs/>
                <w:lang w:eastAsia="ar-SA"/>
              </w:rPr>
              <w:t>Návrh</w:t>
            </w:r>
            <w:r w:rsidRPr="00314D4D">
              <w:rPr>
                <w:bCs/>
                <w:lang w:eastAsia="ar-SA"/>
              </w:rPr>
              <w:t xml:space="preserve"> zákona </w:t>
            </w:r>
            <w:r w:rsidR="00AC7D44" w:rsidRPr="00314D4D">
              <w:rPr>
                <w:bCs/>
                <w:lang w:eastAsia="ar-SA"/>
              </w:rPr>
              <w:t xml:space="preserve">nebude </w:t>
            </w:r>
            <w:r w:rsidRPr="00314D4D">
              <w:rPr>
                <w:bCs/>
                <w:lang w:eastAsia="ar-SA"/>
              </w:rPr>
              <w:t>v organizácii Rada pre mediálne služby</w:t>
            </w:r>
            <w:r w:rsidR="00AC7D44" w:rsidRPr="00314D4D">
              <w:rPr>
                <w:bCs/>
                <w:lang w:eastAsia="ar-SA"/>
              </w:rPr>
              <w:t xml:space="preserve"> zakladať negatívne vplyvy na rozpočet verejnej správy v roku 2025.  Návrh predpokladá rozpočtovo nezabezpečené vplyvy na roky 2026 – 2028, ktoré budú riešené v rámci rokovaní o návrhu rozpočtu verejnej správy na roky 2026 až 2028. Tieto zvýšené výdavky nie je možné zabezpečiť v rámci  limitov Rady pre mediálne služby schválených v rozpočte na roky 2025 až 2027 a bez vplyvu na limit verejných výdavkov</w:t>
            </w:r>
            <w:r w:rsidR="00540101" w:rsidRPr="00314D4D">
              <w:rPr>
                <w:bCs/>
                <w:lang w:eastAsia="ar-SA"/>
              </w:rPr>
              <w:t xml:space="preserve"> v nasledujúcich rokoch</w:t>
            </w:r>
            <w:r w:rsidR="00AC7D44" w:rsidRPr="00314D4D">
              <w:rPr>
                <w:bCs/>
                <w:lang w:eastAsia="ar-SA"/>
              </w:rPr>
              <w:t xml:space="preserve">. </w:t>
            </w:r>
          </w:p>
          <w:p w14:paraId="7ABFCCAE" w14:textId="2227D0CA" w:rsidR="0053585E" w:rsidRPr="00314D4D" w:rsidRDefault="0053585E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0D34E292" w14:textId="47651713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Zároveň Komisia upozorňuje, že predkladaný materiál je v rozpore s uznesením vlády SR č. 606 z 15. októbra 2024 bod C.11., a to: „Nepredkladať návrhy legislatívnych predpisov a iných materiálov,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Národnou radou SR na rok 2025“.</w:t>
            </w:r>
          </w:p>
          <w:p w14:paraId="0C331756" w14:textId="377FD688" w:rsidR="00AF73E4" w:rsidRPr="00314D4D" w:rsidRDefault="00AF73E4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3E55E41E" w14:textId="3BE538C8" w:rsidR="00AF73E4" w:rsidRPr="00314D4D" w:rsidRDefault="00AF73E4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u w:val="single"/>
              </w:rPr>
              <w:t>Vyhodnotenie</w:t>
            </w:r>
            <w:r w:rsidRPr="00314D4D">
              <w:rPr>
                <w:bCs/>
              </w:rPr>
              <w:t xml:space="preserve">: Pripomienka bola akceptovaná. </w:t>
            </w:r>
            <w:r w:rsidR="00062BBD" w:rsidRPr="00314D4D">
              <w:rPr>
                <w:bCs/>
                <w:lang w:eastAsia="ar-SA"/>
              </w:rPr>
              <w:t>Analýza</w:t>
            </w:r>
            <w:r w:rsidR="00540101" w:rsidRPr="00314D4D">
              <w:rPr>
                <w:bCs/>
                <w:lang w:eastAsia="ar-SA"/>
              </w:rPr>
              <w:t xml:space="preserve"> </w:t>
            </w:r>
            <w:r w:rsidR="00AD7E0B" w:rsidRPr="00314D4D">
              <w:rPr>
                <w:bCs/>
                <w:lang w:eastAsia="ar-SA"/>
              </w:rPr>
              <w:t>vplyvov na rozpočet verejnej správy bola upravená tak, aby bola v súlade s uznesením vlády SR č. 606 z 15. októbra 2024. Návrh zákona nebude v</w:t>
            </w:r>
            <w:r w:rsidRPr="00314D4D">
              <w:rPr>
                <w:bCs/>
                <w:lang w:eastAsia="ar-SA"/>
              </w:rPr>
              <w:t xml:space="preserve"> organizácii Rada pre mediálne služby zakladať negatívne vplyvy na rozpočet verejnej správy v roku 2025 a upúšťa od zámeru vytvárania nových pracovných miest.</w:t>
            </w:r>
          </w:p>
          <w:p w14:paraId="40E4A586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</w:p>
          <w:p w14:paraId="1EAEDF25" w14:textId="77777777" w:rsidR="00B928B5" w:rsidRPr="00314D4D" w:rsidRDefault="00B928B5" w:rsidP="00B928B5">
            <w:pPr>
              <w:pStyle w:val="norm00e1lny"/>
              <w:jc w:val="both"/>
              <w:rPr>
                <w:bCs/>
                <w:lang w:eastAsia="ar-SA"/>
              </w:rPr>
            </w:pPr>
            <w:r w:rsidRPr="00314D4D">
              <w:rPr>
                <w:bCs/>
                <w:lang w:eastAsia="ar-SA"/>
              </w:rPr>
              <w:t>V nadväznosti na uvedené pripomienky Komisia žiada doložku vybraných vplyvov a analýzu vplyvov na rozpočet verejnej správy prepracovať.</w:t>
            </w:r>
          </w:p>
          <w:p w14:paraId="2BC17EF3" w14:textId="24D6278C" w:rsidR="001B23B7" w:rsidRPr="00314D4D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9300C71" w14:textId="77777777" w:rsidR="001B23B7" w:rsidRPr="00314D4D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0FC9479" w14:textId="77777777" w:rsidTr="008E569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0ED770A" w14:textId="77777777" w:rsidR="001B23B7" w:rsidRPr="00612E08" w:rsidRDefault="001B23B7" w:rsidP="008E569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E8DABC1" w14:textId="77777777" w:rsidTr="008E569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4D8B7A2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7784507" w14:textId="77777777" w:rsidTr="008E569D">
              <w:trPr>
                <w:trHeight w:val="396"/>
              </w:trPr>
              <w:tc>
                <w:tcPr>
                  <w:tcW w:w="2552" w:type="dxa"/>
                </w:tcPr>
                <w:p w14:paraId="590974E0" w14:textId="77777777" w:rsidR="001B23B7" w:rsidRPr="00612E08" w:rsidRDefault="00C44A45" w:rsidP="008E56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AD5A9F6" w14:textId="77777777" w:rsidR="001B23B7" w:rsidRPr="00612E08" w:rsidRDefault="00C44A45" w:rsidP="008E56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1E6347B" w14:textId="77777777" w:rsidR="001B23B7" w:rsidRPr="00612E08" w:rsidRDefault="00C44A45" w:rsidP="008E569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BFCD810" w14:textId="77777777" w:rsidR="001B23B7" w:rsidRPr="00612E08" w:rsidRDefault="001B23B7" w:rsidP="008E56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DF9B256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F3B3C86" w14:textId="77777777" w:rsidR="001B23B7" w:rsidRPr="00612E08" w:rsidRDefault="001B23B7" w:rsidP="008E56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C030B77" w14:textId="77777777" w:rsidR="008E569D" w:rsidRPr="00612E08" w:rsidRDefault="008E569D"/>
    <w:sectPr w:rsidR="008E569D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2E8C" w14:textId="77777777" w:rsidR="0035723A" w:rsidRDefault="0035723A" w:rsidP="001B23B7">
      <w:pPr>
        <w:spacing w:after="0" w:line="240" w:lineRule="auto"/>
      </w:pPr>
      <w:r>
        <w:separator/>
      </w:r>
    </w:p>
  </w:endnote>
  <w:endnote w:type="continuationSeparator" w:id="0">
    <w:p w14:paraId="2638291A" w14:textId="77777777" w:rsidR="0035723A" w:rsidRDefault="0035723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1C5A0A" w14:textId="079B5E00" w:rsidR="008E569D" w:rsidRPr="006045CB" w:rsidRDefault="008E569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4A4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B6FA18" w14:textId="77777777" w:rsidR="008E569D" w:rsidRDefault="008E56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D8A5" w14:textId="77777777" w:rsidR="0035723A" w:rsidRDefault="0035723A" w:rsidP="001B23B7">
      <w:pPr>
        <w:spacing w:after="0" w:line="240" w:lineRule="auto"/>
      </w:pPr>
      <w:r>
        <w:separator/>
      </w:r>
    </w:p>
  </w:footnote>
  <w:footnote w:type="continuationSeparator" w:id="0">
    <w:p w14:paraId="6BCB25A2" w14:textId="77777777" w:rsidR="0035723A" w:rsidRDefault="0035723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78C6" w14:textId="77777777" w:rsidR="008E569D" w:rsidRPr="006045CB" w:rsidRDefault="008E569D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0F65244A" w14:textId="77777777" w:rsidR="008E569D" w:rsidRDefault="008E56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BE4987"/>
    <w:multiLevelType w:val="hybridMultilevel"/>
    <w:tmpl w:val="7318F074"/>
    <w:lvl w:ilvl="0" w:tplc="75E2D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4A"/>
    <w:multiLevelType w:val="hybridMultilevel"/>
    <w:tmpl w:val="22A46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42E0"/>
    <w:rsid w:val="00043706"/>
    <w:rsid w:val="00045307"/>
    <w:rsid w:val="00062BBD"/>
    <w:rsid w:val="00097069"/>
    <w:rsid w:val="000A69A0"/>
    <w:rsid w:val="000D348F"/>
    <w:rsid w:val="000F2BE9"/>
    <w:rsid w:val="00113AE4"/>
    <w:rsid w:val="00152DCF"/>
    <w:rsid w:val="001539A5"/>
    <w:rsid w:val="00156064"/>
    <w:rsid w:val="00187182"/>
    <w:rsid w:val="001A1FCF"/>
    <w:rsid w:val="001A7821"/>
    <w:rsid w:val="001B0F49"/>
    <w:rsid w:val="001B23B7"/>
    <w:rsid w:val="001E3562"/>
    <w:rsid w:val="00203BC4"/>
    <w:rsid w:val="00203EE3"/>
    <w:rsid w:val="002243BB"/>
    <w:rsid w:val="0023360B"/>
    <w:rsid w:val="00243652"/>
    <w:rsid w:val="00246B0B"/>
    <w:rsid w:val="00297853"/>
    <w:rsid w:val="002C594A"/>
    <w:rsid w:val="002F6ADB"/>
    <w:rsid w:val="003145AE"/>
    <w:rsid w:val="00314D4D"/>
    <w:rsid w:val="00321592"/>
    <w:rsid w:val="00323D3C"/>
    <w:rsid w:val="00353FFB"/>
    <w:rsid w:val="003553ED"/>
    <w:rsid w:val="0035723A"/>
    <w:rsid w:val="00376ACD"/>
    <w:rsid w:val="003A057B"/>
    <w:rsid w:val="003A381E"/>
    <w:rsid w:val="003F4DB0"/>
    <w:rsid w:val="00411898"/>
    <w:rsid w:val="00413BC2"/>
    <w:rsid w:val="0043031A"/>
    <w:rsid w:val="00431C84"/>
    <w:rsid w:val="00463CCD"/>
    <w:rsid w:val="0049476D"/>
    <w:rsid w:val="004A4383"/>
    <w:rsid w:val="004C6831"/>
    <w:rsid w:val="004F5F15"/>
    <w:rsid w:val="0052555C"/>
    <w:rsid w:val="0053585E"/>
    <w:rsid w:val="00540101"/>
    <w:rsid w:val="00591EC6"/>
    <w:rsid w:val="00591ED3"/>
    <w:rsid w:val="00612E08"/>
    <w:rsid w:val="00620839"/>
    <w:rsid w:val="00625DB6"/>
    <w:rsid w:val="006504AF"/>
    <w:rsid w:val="006F678E"/>
    <w:rsid w:val="006F6B62"/>
    <w:rsid w:val="00720322"/>
    <w:rsid w:val="007322B5"/>
    <w:rsid w:val="00734F98"/>
    <w:rsid w:val="0075197E"/>
    <w:rsid w:val="00761208"/>
    <w:rsid w:val="007756BE"/>
    <w:rsid w:val="007B40C1"/>
    <w:rsid w:val="007C5312"/>
    <w:rsid w:val="007C55C7"/>
    <w:rsid w:val="007D6F2C"/>
    <w:rsid w:val="007F587A"/>
    <w:rsid w:val="0080042A"/>
    <w:rsid w:val="00810E4A"/>
    <w:rsid w:val="0083243A"/>
    <w:rsid w:val="00865E81"/>
    <w:rsid w:val="008801B5"/>
    <w:rsid w:val="00881E07"/>
    <w:rsid w:val="008B222D"/>
    <w:rsid w:val="008C07E4"/>
    <w:rsid w:val="008C79B7"/>
    <w:rsid w:val="008E569D"/>
    <w:rsid w:val="009431E3"/>
    <w:rsid w:val="009475F5"/>
    <w:rsid w:val="009717F5"/>
    <w:rsid w:val="009746AD"/>
    <w:rsid w:val="0098472E"/>
    <w:rsid w:val="009A0719"/>
    <w:rsid w:val="009A5ECC"/>
    <w:rsid w:val="009C424C"/>
    <w:rsid w:val="009C62E6"/>
    <w:rsid w:val="009E09F7"/>
    <w:rsid w:val="009F191E"/>
    <w:rsid w:val="009F4832"/>
    <w:rsid w:val="00A1423B"/>
    <w:rsid w:val="00A270B2"/>
    <w:rsid w:val="00A340BB"/>
    <w:rsid w:val="00A60413"/>
    <w:rsid w:val="00A7788F"/>
    <w:rsid w:val="00A93730"/>
    <w:rsid w:val="00AC30D6"/>
    <w:rsid w:val="00AC7D44"/>
    <w:rsid w:val="00AD5933"/>
    <w:rsid w:val="00AD7E0B"/>
    <w:rsid w:val="00AF73E4"/>
    <w:rsid w:val="00B00B6E"/>
    <w:rsid w:val="00B01216"/>
    <w:rsid w:val="00B03BBE"/>
    <w:rsid w:val="00B547F5"/>
    <w:rsid w:val="00B84F87"/>
    <w:rsid w:val="00B928B5"/>
    <w:rsid w:val="00B97037"/>
    <w:rsid w:val="00BA2BF4"/>
    <w:rsid w:val="00BC27D2"/>
    <w:rsid w:val="00BE2095"/>
    <w:rsid w:val="00C34E57"/>
    <w:rsid w:val="00C4220C"/>
    <w:rsid w:val="00C44A45"/>
    <w:rsid w:val="00C67C3C"/>
    <w:rsid w:val="00C82D59"/>
    <w:rsid w:val="00C86714"/>
    <w:rsid w:val="00C94E4E"/>
    <w:rsid w:val="00CB08AE"/>
    <w:rsid w:val="00CB3889"/>
    <w:rsid w:val="00CD0073"/>
    <w:rsid w:val="00CD6E04"/>
    <w:rsid w:val="00CE6AAE"/>
    <w:rsid w:val="00CF1A25"/>
    <w:rsid w:val="00D2313B"/>
    <w:rsid w:val="00D50F1E"/>
    <w:rsid w:val="00D71406"/>
    <w:rsid w:val="00DF357C"/>
    <w:rsid w:val="00E440B4"/>
    <w:rsid w:val="00E95E88"/>
    <w:rsid w:val="00ED165A"/>
    <w:rsid w:val="00ED1AC0"/>
    <w:rsid w:val="00F37945"/>
    <w:rsid w:val="00F50A84"/>
    <w:rsid w:val="00F609E7"/>
    <w:rsid w:val="00F76531"/>
    <w:rsid w:val="00F867C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2DE0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paragraph" w:styleId="Nadpis4">
    <w:name w:val="heading 4"/>
    <w:basedOn w:val="Normlny"/>
    <w:next w:val="Zkladntext"/>
    <w:link w:val="Nadpis4Char"/>
    <w:qFormat/>
    <w:rsid w:val="00B928B5"/>
    <w:pPr>
      <w:keepNext/>
      <w:numPr>
        <w:ilvl w:val="3"/>
        <w:numId w:val="4"/>
      </w:numPr>
      <w:suppressAutoHyphens/>
      <w:spacing w:after="0" w:line="100" w:lineRule="atLeast"/>
      <w:ind w:right="-2"/>
      <w:jc w:val="center"/>
      <w:outlineLvl w:val="3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E569D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F4DB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714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14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14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14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1406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B928B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styleId="Jemnodkaz">
    <w:name w:val="Subtle Reference"/>
    <w:basedOn w:val="Predvolenpsmoodseku"/>
    <w:uiPriority w:val="31"/>
    <w:qFormat/>
    <w:rsid w:val="00B928B5"/>
    <w:rPr>
      <w:smallCaps/>
      <w:color w:val="5A5A5A" w:themeColor="text1" w:themeTint="A5"/>
    </w:rPr>
  </w:style>
  <w:style w:type="character" w:customStyle="1" w:styleId="norm00e1lnychar1">
    <w:name w:val="norm_00e1lny__char1"/>
    <w:rsid w:val="00B928B5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B928B5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B928B5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00e1kladn00fd0020text">
    <w:name w:val="z_00e1kladn_00fd_0020text"/>
    <w:basedOn w:val="Normlny"/>
    <w:rsid w:val="00B928B5"/>
    <w:pPr>
      <w:spacing w:after="12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928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vana.malakova@culture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936D675-F3D2-4A61-981D-114A4D43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Anonymný používateľ</cp:lastModifiedBy>
  <cp:revision>26</cp:revision>
  <dcterms:created xsi:type="dcterms:W3CDTF">2024-12-18T12:22:00Z</dcterms:created>
  <dcterms:modified xsi:type="dcterms:W3CDTF">2025-04-02T07:58:00Z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