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1FDC" w14:textId="77777777" w:rsidR="005B48FD" w:rsidRPr="00152D86" w:rsidRDefault="005B48FD" w:rsidP="005B48FD">
      <w:pPr>
        <w:jc w:val="center"/>
        <w:rPr>
          <w:rFonts w:ascii="Times New Roman" w:eastAsia="Calibri" w:hAnsi="Times New Roman" w:cs="Times New Roman"/>
          <w:b/>
          <w:sz w:val="24"/>
          <w:szCs w:val="24"/>
        </w:rPr>
      </w:pPr>
      <w:r w:rsidRPr="00152D86">
        <w:rPr>
          <w:rFonts w:ascii="Times New Roman" w:eastAsia="Calibri" w:hAnsi="Times New Roman" w:cs="Times New Roman"/>
          <w:b/>
          <w:sz w:val="24"/>
          <w:szCs w:val="24"/>
        </w:rPr>
        <w:t>Analýza vplyvov na podnikateľské prostredie</w:t>
      </w:r>
    </w:p>
    <w:p w14:paraId="156C003C" w14:textId="77777777" w:rsidR="005B48FD" w:rsidRPr="00152D86" w:rsidRDefault="005B48FD" w:rsidP="005B48FD">
      <w:pPr>
        <w:spacing w:after="0" w:line="240" w:lineRule="auto"/>
        <w:jc w:val="both"/>
        <w:rPr>
          <w:rFonts w:ascii="Times New Roman" w:hAnsi="Times New Roman" w:cs="Times New Roman"/>
          <w:sz w:val="24"/>
          <w:szCs w:val="24"/>
        </w:rPr>
      </w:pPr>
      <w:r w:rsidRPr="00152D86">
        <w:rPr>
          <w:rFonts w:ascii="Times New Roman" w:eastAsia="Calibri" w:hAnsi="Times New Roman" w:cs="Times New Roman"/>
          <w:b/>
          <w:sz w:val="24"/>
          <w:szCs w:val="24"/>
        </w:rPr>
        <w:t xml:space="preserve">Názov materiálu: </w:t>
      </w:r>
      <w:r w:rsidRPr="00152D86">
        <w:rPr>
          <w:rFonts w:ascii="Times New Roman" w:hAnsi="Times New Roman" w:cs="Times New Roman"/>
          <w:sz w:val="24"/>
          <w:szCs w:val="24"/>
        </w:rPr>
        <w:t xml:space="preserve">Návrh zákona, ktorým sa mení a dopĺňa zákon č. 108/2024 Z. z. o ochrane spotrebiteľa a o zmene a doplnení niektorých zákonov a ktorým sa menia a dopĺňajú niektoré zákony </w:t>
      </w:r>
    </w:p>
    <w:p w14:paraId="6B51B1F2" w14:textId="77777777" w:rsidR="005B48FD" w:rsidRPr="00152D86" w:rsidRDefault="005B48FD" w:rsidP="005B48FD">
      <w:pPr>
        <w:spacing w:after="0" w:line="240" w:lineRule="auto"/>
        <w:jc w:val="both"/>
        <w:rPr>
          <w:rFonts w:ascii="Times New Roman" w:hAnsi="Times New Roman" w:cs="Times New Roman"/>
          <w:sz w:val="24"/>
          <w:szCs w:val="24"/>
        </w:rPr>
      </w:pPr>
    </w:p>
    <w:p w14:paraId="38247AF0"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 xml:space="preserve">Predkladateľ: </w:t>
      </w:r>
      <w:r w:rsidRPr="00152D86">
        <w:rPr>
          <w:rFonts w:ascii="Times New Roman" w:eastAsia="Calibri" w:hAnsi="Times New Roman" w:cs="Times New Roman"/>
          <w:sz w:val="24"/>
          <w:szCs w:val="24"/>
          <w:lang w:eastAsia="sk-SK"/>
        </w:rPr>
        <w:t>Ministerstvo hospodárstva Slovenskej republiky</w:t>
      </w:r>
    </w:p>
    <w:p w14:paraId="6A8D23EC"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3.1 Náklady regulácie</w:t>
      </w:r>
    </w:p>
    <w:p w14:paraId="43A813AA" w14:textId="77777777" w:rsidR="005B48FD" w:rsidRPr="00152D86" w:rsidRDefault="005B48FD" w:rsidP="005B48FD">
      <w:pPr>
        <w:tabs>
          <w:tab w:val="left" w:pos="8025"/>
        </w:tabs>
        <w:rPr>
          <w:rFonts w:ascii="Times New Roman" w:eastAsia="Calibri" w:hAnsi="Times New Roman" w:cs="Times New Roman"/>
          <w:bCs/>
          <w:i/>
          <w:iCs/>
          <w:sz w:val="24"/>
          <w:szCs w:val="24"/>
        </w:rPr>
      </w:pPr>
      <w:r w:rsidRPr="00152D86">
        <w:rPr>
          <w:rFonts w:ascii="Times New Roman" w:eastAsia="Calibri" w:hAnsi="Times New Roman" w:cs="Times New Roman"/>
          <w:b/>
          <w:i/>
          <w:iCs/>
          <w:sz w:val="24"/>
          <w:szCs w:val="24"/>
        </w:rPr>
        <w:t xml:space="preserve">3.1.1 Súhrnná tabuľka nákladov regulácie </w:t>
      </w:r>
      <w:r w:rsidRPr="00152D86">
        <w:rPr>
          <w:rFonts w:ascii="Times New Roman" w:eastAsia="Calibri" w:hAnsi="Times New Roman" w:cs="Times New Roman"/>
          <w:b/>
          <w:i/>
          <w:iCs/>
          <w:sz w:val="24"/>
          <w:szCs w:val="24"/>
        </w:rPr>
        <w:tab/>
      </w:r>
    </w:p>
    <w:p w14:paraId="22072F0F" w14:textId="77777777" w:rsidR="005B48FD" w:rsidRPr="00152D86" w:rsidRDefault="005B48FD" w:rsidP="005B48FD">
      <w:pPr>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náklady </w:t>
      </w:r>
      <w:proofErr w:type="spellStart"/>
      <w:r w:rsidRPr="00152D86">
        <w:rPr>
          <w:rFonts w:ascii="Times New Roman" w:eastAsia="Calibri" w:hAnsi="Times New Roman" w:cs="Times New Roman"/>
          <w:i/>
          <w:sz w:val="24"/>
          <w:szCs w:val="24"/>
        </w:rPr>
        <w:t>goldplatingu</w:t>
      </w:r>
      <w:proofErr w:type="spellEnd"/>
      <w:r w:rsidRPr="00152D86">
        <w:rPr>
          <w:rFonts w:ascii="Times New Roman" w:eastAsia="Calibri" w:hAnsi="Times New Roman" w:cs="Times New Roman"/>
          <w:i/>
          <w:sz w:val="24"/>
          <w:szCs w:val="24"/>
          <w:vertAlign w:val="superscript"/>
        </w:rPr>
        <w:footnoteReference w:id="1"/>
      </w:r>
      <w:r w:rsidRPr="00152D86">
        <w:rPr>
          <w:rFonts w:ascii="Times New Roman" w:eastAsia="Calibri" w:hAnsi="Times New Roman" w:cs="Times New Roman"/>
          <w:i/>
          <w:sz w:val="24"/>
          <w:szCs w:val="24"/>
        </w:rPr>
        <w:t xml:space="preserve"> na podnikateľské prostredie. </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5B48FD" w:rsidRPr="00152D86" w14:paraId="05AF2CCD" w14:textId="77777777" w:rsidTr="00D737D8">
        <w:trPr>
          <w:trHeight w:val="270"/>
        </w:trPr>
        <w:tc>
          <w:tcPr>
            <w:tcW w:w="146" w:type="dxa"/>
            <w:tcBorders>
              <w:top w:val="nil"/>
              <w:left w:val="nil"/>
              <w:bottom w:val="nil"/>
              <w:right w:val="nil"/>
            </w:tcBorders>
            <w:shd w:val="clear" w:color="auto" w:fill="auto"/>
            <w:noWrap/>
            <w:vAlign w:val="bottom"/>
            <w:hideMark/>
          </w:tcPr>
          <w:p w14:paraId="08A5252C"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428FD0D7"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noWrap/>
            <w:vAlign w:val="bottom"/>
            <w:hideMark/>
          </w:tcPr>
          <w:p w14:paraId="224BA95D"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160" w:type="dxa"/>
            <w:tcBorders>
              <w:top w:val="nil"/>
              <w:left w:val="nil"/>
              <w:bottom w:val="nil"/>
              <w:right w:val="nil"/>
            </w:tcBorders>
            <w:shd w:val="clear" w:color="auto" w:fill="auto"/>
            <w:noWrap/>
            <w:vAlign w:val="bottom"/>
            <w:hideMark/>
          </w:tcPr>
          <w:p w14:paraId="4BAD25C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16" w:type="dxa"/>
            <w:gridSpan w:val="2"/>
            <w:tcBorders>
              <w:top w:val="nil"/>
              <w:left w:val="nil"/>
              <w:bottom w:val="nil"/>
              <w:right w:val="nil"/>
            </w:tcBorders>
            <w:shd w:val="clear" w:color="auto" w:fill="auto"/>
            <w:noWrap/>
            <w:vAlign w:val="bottom"/>
            <w:hideMark/>
          </w:tcPr>
          <w:p w14:paraId="4C8F510F"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160" w:type="dxa"/>
            <w:tcBorders>
              <w:top w:val="nil"/>
              <w:left w:val="nil"/>
              <w:bottom w:val="nil"/>
              <w:right w:val="nil"/>
            </w:tcBorders>
            <w:shd w:val="clear" w:color="auto" w:fill="auto"/>
            <w:noWrap/>
            <w:vAlign w:val="bottom"/>
            <w:hideMark/>
          </w:tcPr>
          <w:p w14:paraId="31257967"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p>
        </w:tc>
      </w:tr>
      <w:tr w:rsidR="005B48FD" w:rsidRPr="00152D86" w14:paraId="001A2AE9" w14:textId="77777777" w:rsidTr="00D737D8">
        <w:trPr>
          <w:gridAfter w:val="2"/>
          <w:wAfter w:w="583" w:type="dxa"/>
          <w:trHeight w:val="451"/>
        </w:trPr>
        <w:tc>
          <w:tcPr>
            <w:tcW w:w="146" w:type="dxa"/>
            <w:tcBorders>
              <w:top w:val="nil"/>
              <w:left w:val="nil"/>
              <w:bottom w:val="nil"/>
              <w:right w:val="nil"/>
            </w:tcBorders>
            <w:shd w:val="clear" w:color="auto" w:fill="auto"/>
            <w:noWrap/>
            <w:vAlign w:val="bottom"/>
            <w:hideMark/>
          </w:tcPr>
          <w:p w14:paraId="2C5679C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8AC82C" w14:textId="77777777" w:rsidR="005B48FD" w:rsidRPr="00152D86" w:rsidRDefault="005B48FD" w:rsidP="00D737D8">
            <w:pPr>
              <w:spacing w:after="0" w:line="240" w:lineRule="auto"/>
              <w:jc w:val="center"/>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32E03A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4EAB9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Zníženie nákladov v € na PP</w:t>
            </w:r>
          </w:p>
        </w:tc>
      </w:tr>
      <w:tr w:rsidR="005B48FD" w:rsidRPr="00152D86" w14:paraId="00B399D6" w14:textId="77777777" w:rsidTr="00D737D8">
        <w:trPr>
          <w:gridAfter w:val="2"/>
          <w:wAfter w:w="583" w:type="dxa"/>
          <w:trHeight w:val="600"/>
        </w:trPr>
        <w:tc>
          <w:tcPr>
            <w:tcW w:w="146" w:type="dxa"/>
            <w:tcBorders>
              <w:top w:val="nil"/>
              <w:left w:val="nil"/>
              <w:bottom w:val="nil"/>
              <w:right w:val="nil"/>
            </w:tcBorders>
            <w:shd w:val="clear" w:color="auto" w:fill="auto"/>
            <w:noWrap/>
            <w:vAlign w:val="bottom"/>
            <w:hideMark/>
          </w:tcPr>
          <w:p w14:paraId="06ECD8B5"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74243BD"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A. Dane, odvody, clá a poplatky, ktorých cieľom je znižovať negatívne </w:t>
            </w:r>
            <w:proofErr w:type="spellStart"/>
            <w:r w:rsidRPr="00152D86">
              <w:rPr>
                <w:rFonts w:ascii="Times New Roman" w:eastAsia="Times New Roman" w:hAnsi="Times New Roman" w:cs="Times New Roman"/>
                <w:b/>
                <w:bCs/>
                <w:i/>
                <w:iCs/>
                <w:color w:val="000000"/>
                <w:sz w:val="24"/>
                <w:szCs w:val="24"/>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42D836A"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71175B49"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816014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6F3C8B29"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05F18F40" w14:textId="77777777" w:rsidTr="00D737D8">
        <w:trPr>
          <w:gridAfter w:val="2"/>
          <w:wAfter w:w="583" w:type="dxa"/>
          <w:trHeight w:val="420"/>
        </w:trPr>
        <w:tc>
          <w:tcPr>
            <w:tcW w:w="146" w:type="dxa"/>
            <w:tcBorders>
              <w:top w:val="nil"/>
              <w:left w:val="nil"/>
              <w:bottom w:val="nil"/>
              <w:right w:val="nil"/>
            </w:tcBorders>
            <w:shd w:val="clear" w:color="auto" w:fill="auto"/>
            <w:noWrap/>
            <w:vAlign w:val="bottom"/>
            <w:hideMark/>
          </w:tcPr>
          <w:p w14:paraId="052156A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B04EE39"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733EB9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5DE1C33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390AFA22"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752ACC6E"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52B98D34" w14:textId="77777777" w:rsidTr="00D737D8">
        <w:trPr>
          <w:gridAfter w:val="2"/>
          <w:wAfter w:w="583" w:type="dxa"/>
          <w:trHeight w:val="612"/>
        </w:trPr>
        <w:tc>
          <w:tcPr>
            <w:tcW w:w="146" w:type="dxa"/>
            <w:tcBorders>
              <w:top w:val="nil"/>
              <w:left w:val="nil"/>
              <w:bottom w:val="nil"/>
              <w:right w:val="nil"/>
            </w:tcBorders>
            <w:shd w:val="clear" w:color="auto" w:fill="auto"/>
            <w:noWrap/>
            <w:vAlign w:val="bottom"/>
            <w:hideMark/>
          </w:tcPr>
          <w:p w14:paraId="1F114452"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476CEDC"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CEABC4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2446522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38CA71E4"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49801BDB"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27 264</w:t>
            </w:r>
          </w:p>
        </w:tc>
      </w:tr>
      <w:tr w:rsidR="005B48FD" w:rsidRPr="00152D86" w14:paraId="7FB942F9" w14:textId="77777777" w:rsidTr="00D737D8">
        <w:trPr>
          <w:gridAfter w:val="2"/>
          <w:wAfter w:w="583" w:type="dxa"/>
          <w:trHeight w:val="480"/>
        </w:trPr>
        <w:tc>
          <w:tcPr>
            <w:tcW w:w="146" w:type="dxa"/>
            <w:tcBorders>
              <w:top w:val="nil"/>
              <w:left w:val="nil"/>
              <w:bottom w:val="nil"/>
              <w:right w:val="nil"/>
            </w:tcBorders>
            <w:shd w:val="clear" w:color="auto" w:fill="auto"/>
            <w:noWrap/>
            <w:vAlign w:val="bottom"/>
            <w:hideMark/>
          </w:tcPr>
          <w:p w14:paraId="336AEC44"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7F6C785"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150F27D"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167 229</w:t>
            </w:r>
            <w:r w:rsidRPr="00152D86">
              <w:rPr>
                <w:rFonts w:ascii="Times New Roman" w:eastAsia="Times New Roman" w:hAnsi="Times New Roman" w:cs="Times New Roman"/>
                <w:b/>
                <w:bCs/>
                <w:color w:val="000000"/>
                <w:sz w:val="24"/>
                <w:szCs w:val="24"/>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9736F9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3C8CC6F4"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71E64D24" w14:textId="77777777" w:rsidTr="00D737D8">
        <w:trPr>
          <w:gridAfter w:val="2"/>
          <w:wAfter w:w="583" w:type="dxa"/>
          <w:trHeight w:val="480"/>
        </w:trPr>
        <w:tc>
          <w:tcPr>
            <w:tcW w:w="146" w:type="dxa"/>
            <w:tcBorders>
              <w:top w:val="nil"/>
              <w:left w:val="nil"/>
              <w:bottom w:val="nil"/>
              <w:right w:val="nil"/>
            </w:tcBorders>
            <w:shd w:val="clear" w:color="auto" w:fill="auto"/>
            <w:noWrap/>
            <w:vAlign w:val="bottom"/>
          </w:tcPr>
          <w:p w14:paraId="014B3D7A"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3E821DE7"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0C203AF"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180 286</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4E140A91"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1D69D65E" w14:textId="77777777" w:rsidTr="00D737D8">
        <w:trPr>
          <w:gridAfter w:val="2"/>
          <w:wAfter w:w="583" w:type="dxa"/>
          <w:trHeight w:val="600"/>
        </w:trPr>
        <w:tc>
          <w:tcPr>
            <w:tcW w:w="146" w:type="dxa"/>
            <w:tcBorders>
              <w:top w:val="nil"/>
              <w:left w:val="nil"/>
              <w:bottom w:val="nil"/>
              <w:right w:val="nil"/>
            </w:tcBorders>
            <w:shd w:val="clear" w:color="auto" w:fill="auto"/>
            <w:noWrap/>
            <w:vAlign w:val="bottom"/>
            <w:hideMark/>
          </w:tcPr>
          <w:p w14:paraId="2B2A5092"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161B97F"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D160969"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0173FDE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347 514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9E04B0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0CAB29A8"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27 264</w:t>
            </w:r>
          </w:p>
        </w:tc>
      </w:tr>
      <w:tr w:rsidR="005B48FD" w:rsidRPr="00152D86" w14:paraId="6C93A1B2" w14:textId="77777777" w:rsidTr="00D737D8">
        <w:trPr>
          <w:trHeight w:val="270"/>
        </w:trPr>
        <w:tc>
          <w:tcPr>
            <w:tcW w:w="146" w:type="dxa"/>
            <w:tcBorders>
              <w:top w:val="nil"/>
              <w:left w:val="nil"/>
              <w:bottom w:val="nil"/>
              <w:right w:val="nil"/>
            </w:tcBorders>
            <w:shd w:val="clear" w:color="auto" w:fill="auto"/>
            <w:noWrap/>
            <w:vAlign w:val="bottom"/>
            <w:hideMark/>
          </w:tcPr>
          <w:p w14:paraId="0051A0CE"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5692AB5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vAlign w:val="center"/>
            <w:hideMark/>
          </w:tcPr>
          <w:p w14:paraId="53C424C3"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26C3343E"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29B7FB7A"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12373FB4"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r>
      <w:tr w:rsidR="005B48FD" w:rsidRPr="00152D86" w14:paraId="23DBCB27" w14:textId="77777777" w:rsidTr="00D737D8">
        <w:trPr>
          <w:gridAfter w:val="2"/>
          <w:wAfter w:w="583" w:type="dxa"/>
          <w:trHeight w:val="412"/>
        </w:trPr>
        <w:tc>
          <w:tcPr>
            <w:tcW w:w="146" w:type="dxa"/>
            <w:tcBorders>
              <w:top w:val="nil"/>
              <w:left w:val="nil"/>
              <w:bottom w:val="nil"/>
              <w:right w:val="nil"/>
            </w:tcBorders>
            <w:shd w:val="clear" w:color="auto" w:fill="auto"/>
            <w:noWrap/>
            <w:vAlign w:val="bottom"/>
            <w:hideMark/>
          </w:tcPr>
          <w:p w14:paraId="76AF2A8A"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FFDA28"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i/>
                <w:iCs/>
                <w:color w:val="000000"/>
                <w:sz w:val="24"/>
                <w:szCs w:val="24"/>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A610B4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07FA2EA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Zníženie nákladov v € na PP</w:t>
            </w:r>
          </w:p>
        </w:tc>
      </w:tr>
      <w:tr w:rsidR="005B48FD" w:rsidRPr="00152D86" w14:paraId="563437BE" w14:textId="77777777" w:rsidTr="00D737D8">
        <w:trPr>
          <w:gridAfter w:val="2"/>
          <w:wAfter w:w="583" w:type="dxa"/>
          <w:trHeight w:val="840"/>
        </w:trPr>
        <w:tc>
          <w:tcPr>
            <w:tcW w:w="146" w:type="dxa"/>
            <w:tcBorders>
              <w:top w:val="nil"/>
              <w:left w:val="nil"/>
              <w:bottom w:val="nil"/>
              <w:right w:val="nil"/>
            </w:tcBorders>
            <w:shd w:val="clear" w:color="auto" w:fill="auto"/>
            <w:noWrap/>
            <w:vAlign w:val="bottom"/>
            <w:hideMark/>
          </w:tcPr>
          <w:p w14:paraId="420D69E4"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7A417B0"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F. Úplná harmonizácia práva EÚ</w:t>
            </w:r>
            <w:r w:rsidRPr="00152D86">
              <w:rPr>
                <w:rFonts w:ascii="Times New Roman" w:eastAsia="Times New Roman" w:hAnsi="Times New Roman" w:cs="Times New Roman"/>
                <w:b/>
                <w:bCs/>
                <w:i/>
                <w:iCs/>
                <w:color w:val="000000"/>
                <w:sz w:val="24"/>
                <w:szCs w:val="24"/>
                <w:lang w:eastAsia="sk-SK"/>
              </w:rPr>
              <w:br/>
            </w:r>
            <w:r w:rsidRPr="00152D86">
              <w:rPr>
                <w:rFonts w:ascii="Times New Roman" w:eastAsia="Times New Roman" w:hAnsi="Times New Roman" w:cs="Times New Roman"/>
                <w:i/>
                <w:iCs/>
                <w:color w:val="000000"/>
                <w:sz w:val="24"/>
                <w:szCs w:val="24"/>
                <w:lang w:eastAsia="sk-SK"/>
              </w:rPr>
              <w:t xml:space="preserve">(okrem daní, odvodov, ciel a poplatkov, ktorých cieľom je znižovať negatívne </w:t>
            </w:r>
            <w:proofErr w:type="spellStart"/>
            <w:r w:rsidRPr="00152D86">
              <w:rPr>
                <w:rFonts w:ascii="Times New Roman" w:eastAsia="Times New Roman" w:hAnsi="Times New Roman" w:cs="Times New Roman"/>
                <w:i/>
                <w:iCs/>
                <w:color w:val="000000"/>
                <w:sz w:val="24"/>
                <w:szCs w:val="24"/>
                <w:lang w:eastAsia="sk-SK"/>
              </w:rPr>
              <w:t>externality</w:t>
            </w:r>
            <w:proofErr w:type="spellEnd"/>
            <w:r w:rsidRPr="00152D86">
              <w:rPr>
                <w:rFonts w:ascii="Times New Roman" w:eastAsia="Times New Roman" w:hAnsi="Times New Roman" w:cs="Times New Roman"/>
                <w:i/>
                <w:iCs/>
                <w:color w:val="000000"/>
                <w:sz w:val="24"/>
                <w:szCs w:val="24"/>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2D75D6"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240E3D61"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347 514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1557346"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27 264</w:t>
            </w:r>
          </w:p>
        </w:tc>
      </w:tr>
      <w:tr w:rsidR="005B48FD" w:rsidRPr="00152D86" w14:paraId="318D8313" w14:textId="77777777" w:rsidTr="00D737D8">
        <w:trPr>
          <w:gridAfter w:val="2"/>
          <w:wAfter w:w="583" w:type="dxa"/>
          <w:trHeight w:val="486"/>
        </w:trPr>
        <w:tc>
          <w:tcPr>
            <w:tcW w:w="146" w:type="dxa"/>
            <w:tcBorders>
              <w:top w:val="nil"/>
              <w:left w:val="nil"/>
              <w:bottom w:val="nil"/>
              <w:right w:val="nil"/>
            </w:tcBorders>
            <w:shd w:val="clear" w:color="auto" w:fill="auto"/>
            <w:noWrap/>
            <w:vAlign w:val="bottom"/>
            <w:hideMark/>
          </w:tcPr>
          <w:p w14:paraId="2C4B62C5"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18E4E0"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G. </w:t>
            </w:r>
            <w:proofErr w:type="spellStart"/>
            <w:r w:rsidRPr="00152D86">
              <w:rPr>
                <w:rFonts w:ascii="Times New Roman" w:eastAsia="Times New Roman" w:hAnsi="Times New Roman" w:cs="Times New Roman"/>
                <w:b/>
                <w:bCs/>
                <w:i/>
                <w:iCs/>
                <w:color w:val="000000"/>
                <w:sz w:val="24"/>
                <w:szCs w:val="24"/>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D113FE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9CCD17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r>
      <w:tr w:rsidR="005B48FD" w:rsidRPr="00152D86" w14:paraId="2F6A0AD0" w14:textId="77777777" w:rsidTr="00D737D8">
        <w:trPr>
          <w:trHeight w:val="360"/>
        </w:trPr>
        <w:tc>
          <w:tcPr>
            <w:tcW w:w="146" w:type="dxa"/>
            <w:tcBorders>
              <w:top w:val="nil"/>
              <w:left w:val="nil"/>
              <w:bottom w:val="nil"/>
              <w:right w:val="nil"/>
            </w:tcBorders>
            <w:shd w:val="clear" w:color="auto" w:fill="auto"/>
            <w:noWrap/>
            <w:vAlign w:val="bottom"/>
            <w:hideMark/>
          </w:tcPr>
          <w:p w14:paraId="1CEA418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61DF9DEB"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vAlign w:val="center"/>
            <w:hideMark/>
          </w:tcPr>
          <w:p w14:paraId="5ABA3914"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352CA602"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0CE96A3B"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719D0231"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r>
      <w:tr w:rsidR="005B48FD" w:rsidRPr="00152D86" w14:paraId="05BFFC28" w14:textId="77777777" w:rsidTr="00D737D8">
        <w:trPr>
          <w:gridAfter w:val="2"/>
          <w:wAfter w:w="583" w:type="dxa"/>
          <w:trHeight w:val="390"/>
        </w:trPr>
        <w:tc>
          <w:tcPr>
            <w:tcW w:w="146" w:type="dxa"/>
            <w:tcBorders>
              <w:top w:val="nil"/>
              <w:left w:val="nil"/>
              <w:bottom w:val="nil"/>
              <w:right w:val="nil"/>
            </w:tcBorders>
            <w:shd w:val="clear" w:color="auto" w:fill="auto"/>
            <w:noWrap/>
            <w:vAlign w:val="bottom"/>
            <w:hideMark/>
          </w:tcPr>
          <w:p w14:paraId="122D8E87"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C19706"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i/>
                <w:iCs/>
                <w:color w:val="000000"/>
                <w:sz w:val="24"/>
                <w:szCs w:val="24"/>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35CBB40C"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r w:rsidRPr="00152D86">
              <w:rPr>
                <w:rFonts w:ascii="Times New Roman" w:eastAsia="Times New Roman" w:hAnsi="Times New Roman" w:cs="Times New Roman"/>
                <w:color w:val="000000"/>
                <w:sz w:val="24"/>
                <w:szCs w:val="24"/>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2C6F55E"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r w:rsidRPr="00152D86">
              <w:rPr>
                <w:rFonts w:ascii="Times New Roman" w:eastAsia="Times New Roman" w:hAnsi="Times New Roman" w:cs="Times New Roman"/>
                <w:color w:val="000000"/>
                <w:sz w:val="24"/>
                <w:szCs w:val="24"/>
                <w:lang w:eastAsia="sk-SK"/>
              </w:rPr>
              <w:t>OUT</w:t>
            </w:r>
          </w:p>
        </w:tc>
      </w:tr>
      <w:tr w:rsidR="005B48FD" w:rsidRPr="00152D86" w14:paraId="5185AC28" w14:textId="77777777" w:rsidTr="00D737D8">
        <w:trPr>
          <w:gridAfter w:val="2"/>
          <w:wAfter w:w="583" w:type="dxa"/>
          <w:trHeight w:val="390"/>
        </w:trPr>
        <w:tc>
          <w:tcPr>
            <w:tcW w:w="146" w:type="dxa"/>
            <w:tcBorders>
              <w:top w:val="nil"/>
              <w:left w:val="nil"/>
              <w:bottom w:val="nil"/>
              <w:right w:val="nil"/>
            </w:tcBorders>
            <w:shd w:val="clear" w:color="auto" w:fill="auto"/>
            <w:noWrap/>
            <w:vAlign w:val="bottom"/>
            <w:hideMark/>
          </w:tcPr>
          <w:p w14:paraId="3139385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B322E39"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b/>
                <w:i/>
                <w:iCs/>
                <w:color w:val="000000"/>
                <w:sz w:val="24"/>
                <w:szCs w:val="24"/>
                <w:lang w:eastAsia="sk-SK"/>
              </w:rPr>
              <w:t>H.</w:t>
            </w:r>
            <w:r w:rsidRPr="00152D86">
              <w:rPr>
                <w:rFonts w:ascii="Times New Roman" w:eastAsia="Times New Roman" w:hAnsi="Times New Roman" w:cs="Times New Roman"/>
                <w:i/>
                <w:iCs/>
                <w:color w:val="000000"/>
                <w:sz w:val="24"/>
                <w:szCs w:val="24"/>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4F2446C1"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DBB324E"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r>
    </w:tbl>
    <w:p w14:paraId="102A61DC" w14:textId="77777777" w:rsidR="005B48FD" w:rsidRPr="00152D86" w:rsidRDefault="005B48FD" w:rsidP="005B48FD">
      <w:pPr>
        <w:rPr>
          <w:rFonts w:ascii="Times New Roman" w:eastAsia="Calibri" w:hAnsi="Times New Roman" w:cs="Times New Roman"/>
          <w:b/>
          <w:sz w:val="24"/>
          <w:szCs w:val="24"/>
        </w:rPr>
        <w:sectPr w:rsidR="005B48FD" w:rsidRPr="00152D86" w:rsidSect="00941683">
          <w:pgSz w:w="11906" w:h="16838"/>
          <w:pgMar w:top="993" w:right="1417" w:bottom="1417" w:left="1417" w:header="708" w:footer="708" w:gutter="0"/>
          <w:pgNumType w:start="1"/>
          <w:cols w:space="708"/>
          <w:docGrid w:linePitch="360"/>
        </w:sectPr>
      </w:pPr>
    </w:p>
    <w:p w14:paraId="44F8FAE8" w14:textId="77777777" w:rsidR="005B48FD" w:rsidRPr="00152D86" w:rsidRDefault="005B48FD" w:rsidP="005B48FD">
      <w:pPr>
        <w:rPr>
          <w:rFonts w:ascii="Times New Roman" w:eastAsia="Calibri" w:hAnsi="Times New Roman" w:cs="Times New Roman"/>
          <w:b/>
          <w:i/>
          <w:iCs/>
          <w:sz w:val="24"/>
          <w:szCs w:val="24"/>
        </w:rPr>
      </w:pPr>
      <w:r w:rsidRPr="00152D86">
        <w:rPr>
          <w:rFonts w:ascii="Times New Roman" w:eastAsia="Calibri" w:hAnsi="Times New Roman" w:cs="Times New Roman"/>
          <w:b/>
          <w:i/>
          <w:iCs/>
          <w:sz w:val="24"/>
          <w:szCs w:val="24"/>
        </w:rPr>
        <w:t>3.1.2 Výpočty vplyvov jednotlivých regulácií na zmeny v nákladoch podnikateľov</w:t>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p>
    <w:p w14:paraId="1EBE62C9" w14:textId="77777777" w:rsidR="005B48FD" w:rsidRPr="00152D86" w:rsidRDefault="005B48FD" w:rsidP="005B48FD">
      <w:pPr>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Tabuľka č. 2: Výpočet vplyvov jednotlivých regulácií (nahraďte rovnakou tabuľkou po vyplnení Kalkulačky nákladov):</w:t>
      </w:r>
    </w:p>
    <w:p w14:paraId="08E07DF5" w14:textId="77777777" w:rsidR="005B48FD" w:rsidRPr="00152D86" w:rsidRDefault="005B48FD" w:rsidP="005B48FD">
      <w:pPr>
        <w:jc w:val="both"/>
        <w:rPr>
          <w:rFonts w:ascii="Times New Roman" w:eastAsia="Calibri" w:hAnsi="Times New Roman" w:cs="Times New Roman"/>
          <w:i/>
          <w:sz w:val="24"/>
          <w:szCs w:val="24"/>
        </w:rPr>
      </w:pPr>
    </w:p>
    <w:tbl>
      <w:tblPr>
        <w:tblW w:w="14175" w:type="dxa"/>
        <w:jc w:val="center"/>
        <w:tblCellMar>
          <w:left w:w="70" w:type="dxa"/>
          <w:right w:w="70" w:type="dxa"/>
        </w:tblCellMar>
        <w:tblLook w:val="04A0" w:firstRow="1" w:lastRow="0" w:firstColumn="1" w:lastColumn="0" w:noHBand="0" w:noVBand="1"/>
      </w:tblPr>
      <w:tblGrid>
        <w:gridCol w:w="494"/>
        <w:gridCol w:w="1892"/>
        <w:gridCol w:w="959"/>
        <w:gridCol w:w="1201"/>
        <w:gridCol w:w="1665"/>
        <w:gridCol w:w="1002"/>
        <w:gridCol w:w="1118"/>
        <w:gridCol w:w="988"/>
        <w:gridCol w:w="830"/>
        <w:gridCol w:w="1009"/>
        <w:gridCol w:w="939"/>
        <w:gridCol w:w="889"/>
        <w:gridCol w:w="1189"/>
      </w:tblGrid>
      <w:tr w:rsidR="005B48FD" w:rsidRPr="00152D86" w14:paraId="07338F0B" w14:textId="77777777" w:rsidTr="00D737D8">
        <w:trPr>
          <w:cantSplit/>
          <w:trHeight w:val="276"/>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4CD7A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bookmarkStart w:id="0" w:name="RANGE!A23:M35"/>
            <w:proofErr w:type="spellStart"/>
            <w:r w:rsidRPr="00152D86">
              <w:rPr>
                <w:rFonts w:ascii="Times New Roman" w:eastAsia="Times New Roman" w:hAnsi="Times New Roman" w:cs="Times New Roman"/>
                <w:b/>
                <w:bCs/>
                <w:color w:val="000000"/>
                <w:sz w:val="20"/>
                <w:szCs w:val="24"/>
                <w:lang w:eastAsia="sk-SK"/>
              </w:rPr>
              <w:t>P.č</w:t>
            </w:r>
            <w:proofErr w:type="spellEnd"/>
            <w:r w:rsidRPr="00152D86">
              <w:rPr>
                <w:rFonts w:ascii="Times New Roman" w:eastAsia="Times New Roman" w:hAnsi="Times New Roman" w:cs="Times New Roman"/>
                <w:b/>
                <w:bCs/>
                <w:color w:val="000000"/>
                <w:sz w:val="20"/>
                <w:szCs w:val="24"/>
                <w:lang w:eastAsia="sk-SK"/>
              </w:rPr>
              <w:t>.</w:t>
            </w:r>
            <w:bookmarkEnd w:id="0"/>
          </w:p>
        </w:tc>
        <w:tc>
          <w:tcPr>
            <w:tcW w:w="47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FAE01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Zrozumiteľný a stručný opis regulácie </w:t>
            </w:r>
            <w:r w:rsidRPr="00152D86">
              <w:rPr>
                <w:rFonts w:ascii="Times New Roman" w:eastAsia="Times New Roman" w:hAnsi="Times New Roman" w:cs="Times New Roman"/>
                <w:b/>
                <w:bCs/>
                <w:color w:val="000000"/>
                <w:sz w:val="20"/>
                <w:szCs w:val="24"/>
                <w:lang w:eastAsia="sk-SK"/>
              </w:rPr>
              <w:br/>
              <w:t xml:space="preserve">(dôvod zvýšenia/zníženia nákladov na PP a dôvod ponechania nákladov na PP, ktoré </w:t>
            </w:r>
            <w:proofErr w:type="spellStart"/>
            <w:r w:rsidRPr="00152D86">
              <w:rPr>
                <w:rFonts w:ascii="Times New Roman" w:eastAsia="Times New Roman" w:hAnsi="Times New Roman" w:cs="Times New Roman"/>
                <w:b/>
                <w:bCs/>
                <w:color w:val="000000"/>
                <w:sz w:val="20"/>
                <w:szCs w:val="24"/>
                <w:lang w:eastAsia="sk-SK"/>
              </w:rPr>
              <w:t>su</w:t>
            </w:r>
            <w:proofErr w:type="spellEnd"/>
            <w:r w:rsidRPr="00152D86">
              <w:rPr>
                <w:rFonts w:ascii="Times New Roman" w:eastAsia="Times New Roman" w:hAnsi="Times New Roman" w:cs="Times New Roman"/>
                <w:b/>
                <w:bCs/>
                <w:color w:val="000000"/>
                <w:sz w:val="20"/>
                <w:szCs w:val="24"/>
                <w:lang w:eastAsia="sk-SK"/>
              </w:rPr>
              <w:t xml:space="preserve"> </w:t>
            </w:r>
            <w:proofErr w:type="spellStart"/>
            <w:r w:rsidRPr="00152D86">
              <w:rPr>
                <w:rFonts w:ascii="Times New Roman" w:eastAsia="Times New Roman" w:hAnsi="Times New Roman" w:cs="Times New Roman"/>
                <w:b/>
                <w:bCs/>
                <w:color w:val="000000"/>
                <w:sz w:val="20"/>
                <w:szCs w:val="24"/>
                <w:lang w:eastAsia="sk-SK"/>
              </w:rPr>
              <w:t>goldplatingom</w:t>
            </w:r>
            <w:proofErr w:type="spellEnd"/>
            <w:r w:rsidRPr="00152D86">
              <w:rPr>
                <w:rFonts w:ascii="Times New Roman" w:eastAsia="Times New Roman" w:hAnsi="Times New Roman" w:cs="Times New Roman"/>
                <w:b/>
                <w:bCs/>
                <w:color w:val="000000"/>
                <w:sz w:val="20"/>
                <w:szCs w:val="24"/>
                <w:lang w:eastAsia="sk-SK"/>
              </w:rPr>
              <w:t>)</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874915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Číslo normy</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(zákona, vyhlášky a pod.)</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AF8005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Lokalizácia</w:t>
            </w:r>
            <w:r w:rsidRPr="00152D86">
              <w:rPr>
                <w:rFonts w:ascii="Times New Roman" w:eastAsia="Times New Roman" w:hAnsi="Times New Roman" w:cs="Times New Roman"/>
                <w:b/>
                <w:bCs/>
                <w:color w:val="000000"/>
                <w:sz w:val="20"/>
                <w:szCs w:val="24"/>
                <w:lang w:eastAsia="sk-SK"/>
              </w:rPr>
              <w:br/>
              <w:t>(§, ods., čl.,...)</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328FC8"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Pôvod regulácie: </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 xml:space="preserve">SK/EÚ úplná </w:t>
            </w:r>
            <w:proofErr w:type="spellStart"/>
            <w:r w:rsidRPr="00152D86">
              <w:rPr>
                <w:rFonts w:ascii="Times New Roman" w:eastAsia="Times New Roman" w:hAnsi="Times New Roman" w:cs="Times New Roman"/>
                <w:color w:val="000000"/>
                <w:sz w:val="20"/>
                <w:szCs w:val="24"/>
                <w:lang w:eastAsia="sk-SK"/>
              </w:rPr>
              <w:t>harm</w:t>
            </w:r>
            <w:proofErr w:type="spellEnd"/>
            <w:r w:rsidRPr="00152D86">
              <w:rPr>
                <w:rFonts w:ascii="Times New Roman" w:eastAsia="Times New Roman" w:hAnsi="Times New Roman" w:cs="Times New Roman"/>
                <w:color w:val="000000"/>
                <w:sz w:val="20"/>
                <w:szCs w:val="24"/>
                <w:lang w:eastAsia="sk-SK"/>
              </w:rPr>
              <w:t>./</w:t>
            </w:r>
            <w:r w:rsidRPr="00152D86">
              <w:rPr>
                <w:rFonts w:ascii="Times New Roman" w:eastAsia="Times New Roman" w:hAnsi="Times New Roman" w:cs="Times New Roman"/>
                <w:color w:val="000000"/>
                <w:sz w:val="20"/>
                <w:szCs w:val="24"/>
                <w:lang w:eastAsia="sk-SK"/>
              </w:rPr>
              <w:br/>
            </w:r>
            <w:proofErr w:type="spellStart"/>
            <w:r w:rsidRPr="00152D86">
              <w:rPr>
                <w:rFonts w:ascii="Times New Roman" w:eastAsia="Times New Roman" w:hAnsi="Times New Roman" w:cs="Times New Roman"/>
                <w:color w:val="000000"/>
                <w:sz w:val="20"/>
                <w:szCs w:val="24"/>
                <w:lang w:eastAsia="sk-SK"/>
              </w:rPr>
              <w:t>goldplating</w:t>
            </w:r>
            <w:proofErr w:type="spellEnd"/>
          </w:p>
        </w:tc>
        <w:tc>
          <w:tcPr>
            <w:tcW w:w="10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C2B4B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Účinnosť regulácie</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9B87C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Kategória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subjektov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B4B93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Počet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xml:space="preserve">. subjektov spolu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32E16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Vplyv na 1 podnik. v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FE0582"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Vplyv na kategóriu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subjektov v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624F1"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Druh vplyvu</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 xml:space="preserve">In (zvyšuje náklady) / </w:t>
            </w:r>
            <w:r w:rsidRPr="00152D86">
              <w:rPr>
                <w:rFonts w:ascii="Times New Roman" w:eastAsia="Times New Roman" w:hAnsi="Times New Roman" w:cs="Times New Roman"/>
                <w:color w:val="000000"/>
                <w:sz w:val="20"/>
                <w:szCs w:val="24"/>
                <w:lang w:eastAsia="sk-SK"/>
              </w:rPr>
              <w:br/>
            </w:r>
            <w:proofErr w:type="spellStart"/>
            <w:r w:rsidRPr="00152D86">
              <w:rPr>
                <w:rFonts w:ascii="Times New Roman" w:eastAsia="Times New Roman" w:hAnsi="Times New Roman" w:cs="Times New Roman"/>
                <w:color w:val="000000"/>
                <w:sz w:val="20"/>
                <w:szCs w:val="24"/>
                <w:lang w:eastAsia="sk-SK"/>
              </w:rPr>
              <w:t>Out</w:t>
            </w:r>
            <w:proofErr w:type="spellEnd"/>
            <w:r w:rsidRPr="00152D86">
              <w:rPr>
                <w:rFonts w:ascii="Times New Roman" w:eastAsia="Times New Roman" w:hAnsi="Times New Roman" w:cs="Times New Roman"/>
                <w:color w:val="000000"/>
                <w:sz w:val="20"/>
                <w:szCs w:val="24"/>
                <w:lang w:eastAsia="sk-SK"/>
              </w:rPr>
              <w:t xml:space="preserve"> (znižuje náklady) / Nemení sa</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640DC9"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1in2out </w:t>
            </w:r>
            <w:r w:rsidRPr="00152D86">
              <w:rPr>
                <w:rFonts w:ascii="Times New Roman" w:eastAsia="Times New Roman" w:hAnsi="Times New Roman" w:cs="Times New Roman"/>
                <w:b/>
                <w:bCs/>
                <w:color w:val="000000"/>
                <w:sz w:val="20"/>
                <w:szCs w:val="24"/>
                <w:lang w:eastAsia="sk-SK"/>
              </w:rPr>
              <w:br/>
              <w:t>celkom</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71C8D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proofErr w:type="spellStart"/>
            <w:r w:rsidRPr="00152D86">
              <w:rPr>
                <w:rFonts w:ascii="Times New Roman" w:eastAsia="Times New Roman" w:hAnsi="Times New Roman" w:cs="Times New Roman"/>
                <w:b/>
                <w:bCs/>
                <w:color w:val="000000"/>
                <w:sz w:val="20"/>
                <w:szCs w:val="24"/>
                <w:lang w:eastAsia="sk-SK"/>
              </w:rPr>
              <w:t>Goldplating</w:t>
            </w:r>
            <w:proofErr w:type="spellEnd"/>
            <w:r w:rsidRPr="00152D86">
              <w:rPr>
                <w:rFonts w:ascii="Times New Roman" w:eastAsia="Times New Roman" w:hAnsi="Times New Roman" w:cs="Times New Roman"/>
                <w:b/>
                <w:bCs/>
                <w:color w:val="000000"/>
                <w:sz w:val="20"/>
                <w:szCs w:val="24"/>
                <w:lang w:eastAsia="sk-SK"/>
              </w:rPr>
              <w:t xml:space="preserve"> celkom</w:t>
            </w:r>
          </w:p>
        </w:tc>
      </w:tr>
      <w:tr w:rsidR="005B48FD" w:rsidRPr="00152D86" w14:paraId="6294412C"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035AD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C176CC"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7F757E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6F368F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0ED33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C934F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013DF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B432C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0DFA8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4FEF6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9FC8E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EC718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CC603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45AD17F9"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95265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ED1DB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399D93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02EBD6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2477D2"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5B2F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7F9B5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779B9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97FBA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9DA6F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1BD45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ACAE8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B0EE2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6D0485FF"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7D821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F3EBD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9AB883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496BD5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EB88E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EEEF6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2860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BC84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451FE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E6325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2627B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CF92B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3B750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1008404F"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95715C"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2ABBA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B6DB85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B4647D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3FA3B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790A7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9410D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55C64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A3FC3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0F97D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4095B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BCE81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21C82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3824894D"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97DCC2"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CD1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90F181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31C08C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891B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01FD7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657CF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772B1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BD608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2D246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9C1C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EBEAF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A3349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5EC8560A" w14:textId="77777777" w:rsidTr="00D737D8">
        <w:trPr>
          <w:cantSplit/>
          <w:trHeight w:val="33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B414A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w:t>
            </w:r>
          </w:p>
        </w:tc>
        <w:tc>
          <w:tcPr>
            <w:tcW w:w="4760" w:type="dxa"/>
            <w:tcBorders>
              <w:top w:val="nil"/>
              <w:left w:val="nil"/>
              <w:bottom w:val="single" w:sz="4" w:space="0" w:color="auto"/>
              <w:right w:val="single" w:sz="4" w:space="0" w:color="auto"/>
            </w:tcBorders>
            <w:shd w:val="clear" w:color="auto" w:fill="auto"/>
            <w:vAlign w:val="center"/>
            <w:hideMark/>
          </w:tcPr>
          <w:p w14:paraId="5389480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existencii a dĺžke trvania zákonnej zodpovednosti obchodníka prostredníctvom harmonizovaného oznámenia</w:t>
            </w:r>
          </w:p>
        </w:tc>
        <w:tc>
          <w:tcPr>
            <w:tcW w:w="1960" w:type="dxa"/>
            <w:tcBorders>
              <w:top w:val="nil"/>
              <w:left w:val="nil"/>
              <w:bottom w:val="single" w:sz="4" w:space="0" w:color="auto"/>
              <w:right w:val="single" w:sz="4" w:space="0" w:color="auto"/>
            </w:tcBorders>
            <w:shd w:val="clear" w:color="auto" w:fill="auto"/>
            <w:vAlign w:val="center"/>
            <w:hideMark/>
          </w:tcPr>
          <w:p w14:paraId="549CE3A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21D720F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f)</w:t>
            </w:r>
          </w:p>
        </w:tc>
        <w:tc>
          <w:tcPr>
            <w:tcW w:w="6340" w:type="dxa"/>
            <w:tcBorders>
              <w:top w:val="nil"/>
              <w:left w:val="nil"/>
              <w:bottom w:val="single" w:sz="4" w:space="0" w:color="auto"/>
              <w:right w:val="single" w:sz="4" w:space="0" w:color="auto"/>
            </w:tcBorders>
            <w:shd w:val="clear" w:color="auto" w:fill="auto"/>
            <w:vAlign w:val="center"/>
            <w:hideMark/>
          </w:tcPr>
          <w:p w14:paraId="55196C2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4B567FF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5076F26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7E3D450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130 825</w:t>
            </w:r>
          </w:p>
        </w:tc>
        <w:tc>
          <w:tcPr>
            <w:tcW w:w="1240" w:type="dxa"/>
            <w:tcBorders>
              <w:top w:val="nil"/>
              <w:left w:val="nil"/>
              <w:bottom w:val="single" w:sz="4" w:space="0" w:color="auto"/>
              <w:right w:val="single" w:sz="4" w:space="0" w:color="auto"/>
            </w:tcBorders>
            <w:shd w:val="clear" w:color="000000" w:fill="FFFFFF"/>
            <w:vAlign w:val="center"/>
            <w:hideMark/>
          </w:tcPr>
          <w:p w14:paraId="0F8F37C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1380" w:type="dxa"/>
            <w:tcBorders>
              <w:top w:val="nil"/>
              <w:left w:val="nil"/>
              <w:bottom w:val="single" w:sz="4" w:space="0" w:color="auto"/>
              <w:right w:val="single" w:sz="4" w:space="0" w:color="auto"/>
            </w:tcBorders>
            <w:shd w:val="clear" w:color="auto" w:fill="auto"/>
            <w:vAlign w:val="center"/>
            <w:hideMark/>
          </w:tcPr>
          <w:p w14:paraId="045B935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197 651</w:t>
            </w:r>
          </w:p>
        </w:tc>
        <w:tc>
          <w:tcPr>
            <w:tcW w:w="1980" w:type="dxa"/>
            <w:tcBorders>
              <w:top w:val="nil"/>
              <w:left w:val="nil"/>
              <w:bottom w:val="single" w:sz="4" w:space="0" w:color="auto"/>
              <w:right w:val="single" w:sz="4" w:space="0" w:color="auto"/>
            </w:tcBorders>
            <w:shd w:val="clear" w:color="auto" w:fill="auto"/>
            <w:vAlign w:val="center"/>
            <w:hideMark/>
          </w:tcPr>
          <w:p w14:paraId="4830B72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0FEFAD70"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78DD59B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12039FF8"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99A84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4760" w:type="dxa"/>
            <w:tcBorders>
              <w:top w:val="nil"/>
              <w:left w:val="nil"/>
              <w:bottom w:val="single" w:sz="4" w:space="0" w:color="auto"/>
              <w:right w:val="single" w:sz="4" w:space="0" w:color="auto"/>
            </w:tcBorders>
            <w:shd w:val="clear" w:color="auto" w:fill="auto"/>
            <w:vAlign w:val="center"/>
            <w:hideMark/>
          </w:tcPr>
          <w:p w14:paraId="0FD8B1A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existencii a dĺžke trvania spotrebiteľskej záruky prostredníctvom harmonizovaného označenia</w:t>
            </w:r>
          </w:p>
        </w:tc>
        <w:tc>
          <w:tcPr>
            <w:tcW w:w="1960" w:type="dxa"/>
            <w:tcBorders>
              <w:top w:val="nil"/>
              <w:left w:val="nil"/>
              <w:bottom w:val="single" w:sz="4" w:space="0" w:color="auto"/>
              <w:right w:val="single" w:sz="4" w:space="0" w:color="auto"/>
            </w:tcBorders>
            <w:shd w:val="clear" w:color="auto" w:fill="auto"/>
            <w:vAlign w:val="center"/>
            <w:hideMark/>
          </w:tcPr>
          <w:p w14:paraId="0724776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1D04E66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g)</w:t>
            </w:r>
          </w:p>
        </w:tc>
        <w:tc>
          <w:tcPr>
            <w:tcW w:w="6340" w:type="dxa"/>
            <w:tcBorders>
              <w:top w:val="nil"/>
              <w:left w:val="nil"/>
              <w:bottom w:val="single" w:sz="4" w:space="0" w:color="auto"/>
              <w:right w:val="single" w:sz="4" w:space="0" w:color="auto"/>
            </w:tcBorders>
            <w:shd w:val="clear" w:color="auto" w:fill="auto"/>
            <w:vAlign w:val="center"/>
            <w:hideMark/>
          </w:tcPr>
          <w:p w14:paraId="60071A2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0B82971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2BEA45A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57F401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9 106</w:t>
            </w:r>
          </w:p>
        </w:tc>
        <w:tc>
          <w:tcPr>
            <w:tcW w:w="1240" w:type="dxa"/>
            <w:tcBorders>
              <w:top w:val="nil"/>
              <w:left w:val="nil"/>
              <w:bottom w:val="single" w:sz="4" w:space="0" w:color="auto"/>
              <w:right w:val="single" w:sz="4" w:space="0" w:color="auto"/>
            </w:tcBorders>
            <w:shd w:val="clear" w:color="auto" w:fill="auto"/>
            <w:vAlign w:val="center"/>
            <w:hideMark/>
          </w:tcPr>
          <w:p w14:paraId="0DCB323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1380" w:type="dxa"/>
            <w:tcBorders>
              <w:top w:val="nil"/>
              <w:left w:val="nil"/>
              <w:bottom w:val="single" w:sz="4" w:space="0" w:color="auto"/>
              <w:right w:val="single" w:sz="4" w:space="0" w:color="auto"/>
            </w:tcBorders>
            <w:shd w:val="clear" w:color="auto" w:fill="auto"/>
            <w:vAlign w:val="center"/>
            <w:hideMark/>
          </w:tcPr>
          <w:p w14:paraId="47530D4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13 757</w:t>
            </w:r>
          </w:p>
        </w:tc>
        <w:tc>
          <w:tcPr>
            <w:tcW w:w="1980" w:type="dxa"/>
            <w:tcBorders>
              <w:top w:val="nil"/>
              <w:left w:val="nil"/>
              <w:bottom w:val="single" w:sz="4" w:space="0" w:color="auto"/>
              <w:right w:val="single" w:sz="4" w:space="0" w:color="auto"/>
            </w:tcBorders>
            <w:shd w:val="clear" w:color="auto" w:fill="auto"/>
            <w:vAlign w:val="center"/>
            <w:hideMark/>
          </w:tcPr>
          <w:p w14:paraId="583027D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4A7549E8"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10A12B3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225821BC"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1CAF6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w:t>
            </w:r>
          </w:p>
        </w:tc>
        <w:tc>
          <w:tcPr>
            <w:tcW w:w="4760" w:type="dxa"/>
            <w:tcBorders>
              <w:top w:val="nil"/>
              <w:left w:val="nil"/>
              <w:bottom w:val="single" w:sz="4" w:space="0" w:color="auto"/>
              <w:right w:val="single" w:sz="4" w:space="0" w:color="auto"/>
            </w:tcBorders>
            <w:shd w:val="clear" w:color="auto" w:fill="auto"/>
            <w:vAlign w:val="center"/>
            <w:hideMark/>
          </w:tcPr>
          <w:p w14:paraId="5781F91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bodovom hodnotení opraviteľnosti</w:t>
            </w:r>
          </w:p>
        </w:tc>
        <w:tc>
          <w:tcPr>
            <w:tcW w:w="1960" w:type="dxa"/>
            <w:tcBorders>
              <w:top w:val="nil"/>
              <w:left w:val="nil"/>
              <w:bottom w:val="single" w:sz="4" w:space="0" w:color="auto"/>
              <w:right w:val="single" w:sz="4" w:space="0" w:color="auto"/>
            </w:tcBorders>
            <w:shd w:val="clear" w:color="auto" w:fill="auto"/>
            <w:vAlign w:val="center"/>
            <w:hideMark/>
          </w:tcPr>
          <w:p w14:paraId="303E4FD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618A769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k)</w:t>
            </w:r>
          </w:p>
        </w:tc>
        <w:tc>
          <w:tcPr>
            <w:tcW w:w="6340" w:type="dxa"/>
            <w:tcBorders>
              <w:top w:val="nil"/>
              <w:left w:val="nil"/>
              <w:bottom w:val="single" w:sz="4" w:space="0" w:color="auto"/>
              <w:right w:val="single" w:sz="4" w:space="0" w:color="auto"/>
            </w:tcBorders>
            <w:shd w:val="clear" w:color="auto" w:fill="auto"/>
            <w:vAlign w:val="center"/>
            <w:hideMark/>
          </w:tcPr>
          <w:p w14:paraId="17F4B6F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221B93A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16FBF51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AF6262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12 106</w:t>
            </w:r>
          </w:p>
        </w:tc>
        <w:tc>
          <w:tcPr>
            <w:tcW w:w="1240" w:type="dxa"/>
            <w:tcBorders>
              <w:top w:val="nil"/>
              <w:left w:val="nil"/>
              <w:bottom w:val="single" w:sz="4" w:space="0" w:color="auto"/>
              <w:right w:val="single" w:sz="4" w:space="0" w:color="auto"/>
            </w:tcBorders>
            <w:shd w:val="clear" w:color="auto" w:fill="auto"/>
            <w:vAlign w:val="center"/>
            <w:hideMark/>
          </w:tcPr>
          <w:p w14:paraId="3022AC3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w:t>
            </w:r>
          </w:p>
        </w:tc>
        <w:tc>
          <w:tcPr>
            <w:tcW w:w="1380" w:type="dxa"/>
            <w:tcBorders>
              <w:top w:val="nil"/>
              <w:left w:val="nil"/>
              <w:bottom w:val="single" w:sz="4" w:space="0" w:color="auto"/>
              <w:right w:val="single" w:sz="4" w:space="0" w:color="auto"/>
            </w:tcBorders>
            <w:shd w:val="clear" w:color="auto" w:fill="auto"/>
            <w:vAlign w:val="center"/>
            <w:hideMark/>
          </w:tcPr>
          <w:p w14:paraId="3D35921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48 773</w:t>
            </w:r>
          </w:p>
        </w:tc>
        <w:tc>
          <w:tcPr>
            <w:tcW w:w="1980" w:type="dxa"/>
            <w:tcBorders>
              <w:top w:val="nil"/>
              <w:left w:val="nil"/>
              <w:bottom w:val="single" w:sz="4" w:space="0" w:color="auto"/>
              <w:right w:val="single" w:sz="4" w:space="0" w:color="auto"/>
            </w:tcBorders>
            <w:shd w:val="clear" w:color="auto" w:fill="auto"/>
            <w:vAlign w:val="center"/>
            <w:hideMark/>
          </w:tcPr>
          <w:p w14:paraId="4B3293E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6E622345"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45EFFA0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39870936" w14:textId="77777777" w:rsidTr="00D737D8">
        <w:trPr>
          <w:cantSplit/>
          <w:trHeight w:val="78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12E37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w:t>
            </w:r>
          </w:p>
        </w:tc>
        <w:tc>
          <w:tcPr>
            <w:tcW w:w="4760" w:type="dxa"/>
            <w:tcBorders>
              <w:top w:val="nil"/>
              <w:left w:val="nil"/>
              <w:bottom w:val="single" w:sz="4" w:space="0" w:color="auto"/>
              <w:right w:val="single" w:sz="4" w:space="0" w:color="auto"/>
            </w:tcBorders>
            <w:shd w:val="clear" w:color="auto" w:fill="auto"/>
            <w:vAlign w:val="center"/>
            <w:hideMark/>
          </w:tcPr>
          <w:p w14:paraId="31AC3E1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dostupnosti, predpokladaných nákladoch a postupe objednania náhradných dielov</w:t>
            </w:r>
          </w:p>
        </w:tc>
        <w:tc>
          <w:tcPr>
            <w:tcW w:w="1960" w:type="dxa"/>
            <w:tcBorders>
              <w:top w:val="nil"/>
              <w:left w:val="nil"/>
              <w:bottom w:val="single" w:sz="4" w:space="0" w:color="auto"/>
              <w:right w:val="single" w:sz="4" w:space="0" w:color="auto"/>
            </w:tcBorders>
            <w:shd w:val="clear" w:color="auto" w:fill="auto"/>
            <w:vAlign w:val="center"/>
            <w:hideMark/>
          </w:tcPr>
          <w:p w14:paraId="37D6E29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49C01D8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l)</w:t>
            </w:r>
          </w:p>
        </w:tc>
        <w:tc>
          <w:tcPr>
            <w:tcW w:w="6340" w:type="dxa"/>
            <w:tcBorders>
              <w:top w:val="nil"/>
              <w:left w:val="nil"/>
              <w:bottom w:val="single" w:sz="4" w:space="0" w:color="auto"/>
              <w:right w:val="single" w:sz="4" w:space="0" w:color="auto"/>
            </w:tcBorders>
            <w:shd w:val="clear" w:color="auto" w:fill="auto"/>
            <w:vAlign w:val="center"/>
            <w:hideMark/>
          </w:tcPr>
          <w:p w14:paraId="6A39162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2B1502F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6020455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11081C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12 106</w:t>
            </w:r>
          </w:p>
        </w:tc>
        <w:tc>
          <w:tcPr>
            <w:tcW w:w="1240" w:type="dxa"/>
            <w:tcBorders>
              <w:top w:val="nil"/>
              <w:left w:val="nil"/>
              <w:bottom w:val="single" w:sz="4" w:space="0" w:color="auto"/>
              <w:right w:val="single" w:sz="4" w:space="0" w:color="auto"/>
            </w:tcBorders>
            <w:shd w:val="clear" w:color="auto" w:fill="auto"/>
            <w:vAlign w:val="center"/>
            <w:hideMark/>
          </w:tcPr>
          <w:p w14:paraId="015090F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w:t>
            </w:r>
          </w:p>
        </w:tc>
        <w:tc>
          <w:tcPr>
            <w:tcW w:w="1380" w:type="dxa"/>
            <w:tcBorders>
              <w:top w:val="nil"/>
              <w:left w:val="nil"/>
              <w:bottom w:val="single" w:sz="4" w:space="0" w:color="auto"/>
              <w:right w:val="single" w:sz="4" w:space="0" w:color="auto"/>
            </w:tcBorders>
            <w:shd w:val="clear" w:color="auto" w:fill="auto"/>
            <w:vAlign w:val="center"/>
            <w:hideMark/>
          </w:tcPr>
          <w:p w14:paraId="0AD5C7A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48 773</w:t>
            </w:r>
          </w:p>
        </w:tc>
        <w:tc>
          <w:tcPr>
            <w:tcW w:w="1980" w:type="dxa"/>
            <w:tcBorders>
              <w:top w:val="nil"/>
              <w:left w:val="nil"/>
              <w:bottom w:val="single" w:sz="4" w:space="0" w:color="auto"/>
              <w:right w:val="single" w:sz="4" w:space="0" w:color="auto"/>
            </w:tcBorders>
            <w:shd w:val="clear" w:color="auto" w:fill="auto"/>
            <w:vAlign w:val="center"/>
            <w:hideMark/>
          </w:tcPr>
          <w:p w14:paraId="4659BB9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7B7E9EB4"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439B57E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5C9C8A8B"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79387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5</w:t>
            </w:r>
          </w:p>
        </w:tc>
        <w:tc>
          <w:tcPr>
            <w:tcW w:w="4760" w:type="dxa"/>
            <w:tcBorders>
              <w:top w:val="nil"/>
              <w:left w:val="nil"/>
              <w:bottom w:val="single" w:sz="4" w:space="0" w:color="auto"/>
              <w:right w:val="single" w:sz="4" w:space="0" w:color="auto"/>
            </w:tcBorders>
            <w:shd w:val="clear" w:color="auto" w:fill="auto"/>
            <w:vAlign w:val="center"/>
            <w:hideMark/>
          </w:tcPr>
          <w:p w14:paraId="217894B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 xml:space="preserve">Povinnosť poskytnúť informácie o opravárenských službách </w:t>
            </w:r>
          </w:p>
        </w:tc>
        <w:tc>
          <w:tcPr>
            <w:tcW w:w="1960" w:type="dxa"/>
            <w:tcBorders>
              <w:top w:val="nil"/>
              <w:left w:val="nil"/>
              <w:bottom w:val="single" w:sz="4" w:space="0" w:color="auto"/>
              <w:right w:val="single" w:sz="4" w:space="0" w:color="auto"/>
            </w:tcBorders>
            <w:shd w:val="clear" w:color="auto" w:fill="auto"/>
            <w:vAlign w:val="center"/>
            <w:hideMark/>
          </w:tcPr>
          <w:p w14:paraId="29ECDAC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7E92295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§13b ods.7 písm. a)</w:t>
            </w:r>
          </w:p>
        </w:tc>
        <w:tc>
          <w:tcPr>
            <w:tcW w:w="6340" w:type="dxa"/>
            <w:tcBorders>
              <w:top w:val="nil"/>
              <w:left w:val="nil"/>
              <w:bottom w:val="single" w:sz="4" w:space="0" w:color="auto"/>
              <w:right w:val="single" w:sz="4" w:space="0" w:color="auto"/>
            </w:tcBorders>
            <w:shd w:val="clear" w:color="auto" w:fill="auto"/>
            <w:vAlign w:val="center"/>
            <w:hideMark/>
          </w:tcPr>
          <w:p w14:paraId="48498E2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48E059F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31.07.26</w:t>
            </w:r>
          </w:p>
        </w:tc>
        <w:tc>
          <w:tcPr>
            <w:tcW w:w="1460" w:type="dxa"/>
            <w:tcBorders>
              <w:top w:val="nil"/>
              <w:left w:val="nil"/>
              <w:bottom w:val="single" w:sz="4" w:space="0" w:color="auto"/>
              <w:right w:val="single" w:sz="4" w:space="0" w:color="auto"/>
            </w:tcBorders>
            <w:shd w:val="clear" w:color="auto" w:fill="auto"/>
            <w:vAlign w:val="center"/>
            <w:hideMark/>
          </w:tcPr>
          <w:p w14:paraId="61E76D9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Výrobcovia</w:t>
            </w:r>
          </w:p>
        </w:tc>
        <w:tc>
          <w:tcPr>
            <w:tcW w:w="1140" w:type="dxa"/>
            <w:tcBorders>
              <w:top w:val="nil"/>
              <w:left w:val="nil"/>
              <w:bottom w:val="single" w:sz="4" w:space="0" w:color="auto"/>
              <w:right w:val="single" w:sz="4" w:space="0" w:color="auto"/>
            </w:tcBorders>
            <w:shd w:val="clear" w:color="auto" w:fill="auto"/>
            <w:vAlign w:val="center"/>
            <w:hideMark/>
          </w:tcPr>
          <w:p w14:paraId="0663D0B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1942</w:t>
            </w:r>
          </w:p>
        </w:tc>
        <w:tc>
          <w:tcPr>
            <w:tcW w:w="1240" w:type="dxa"/>
            <w:tcBorders>
              <w:top w:val="nil"/>
              <w:left w:val="nil"/>
              <w:bottom w:val="single" w:sz="4" w:space="0" w:color="auto"/>
              <w:right w:val="single" w:sz="4" w:space="0" w:color="auto"/>
            </w:tcBorders>
            <w:shd w:val="clear" w:color="auto" w:fill="auto"/>
            <w:vAlign w:val="center"/>
            <w:hideMark/>
          </w:tcPr>
          <w:p w14:paraId="3E4A98F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8</w:t>
            </w:r>
          </w:p>
        </w:tc>
        <w:tc>
          <w:tcPr>
            <w:tcW w:w="1380" w:type="dxa"/>
            <w:tcBorders>
              <w:top w:val="nil"/>
              <w:left w:val="nil"/>
              <w:bottom w:val="single" w:sz="4" w:space="0" w:color="auto"/>
              <w:right w:val="single" w:sz="4" w:space="0" w:color="auto"/>
            </w:tcBorders>
            <w:shd w:val="clear" w:color="auto" w:fill="auto"/>
            <w:vAlign w:val="center"/>
            <w:hideMark/>
          </w:tcPr>
          <w:p w14:paraId="4EDAA36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15 648</w:t>
            </w:r>
          </w:p>
        </w:tc>
        <w:tc>
          <w:tcPr>
            <w:tcW w:w="1980" w:type="dxa"/>
            <w:tcBorders>
              <w:top w:val="nil"/>
              <w:left w:val="nil"/>
              <w:bottom w:val="single" w:sz="4" w:space="0" w:color="auto"/>
              <w:right w:val="single" w:sz="4" w:space="0" w:color="auto"/>
            </w:tcBorders>
            <w:shd w:val="clear" w:color="auto" w:fill="auto"/>
            <w:vAlign w:val="center"/>
            <w:hideMark/>
          </w:tcPr>
          <w:p w14:paraId="34BA98C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7584E522"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0657427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5077BAC6"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7BD7C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6</w:t>
            </w:r>
          </w:p>
        </w:tc>
        <w:tc>
          <w:tcPr>
            <w:tcW w:w="4760" w:type="dxa"/>
            <w:tcBorders>
              <w:top w:val="nil"/>
              <w:left w:val="nil"/>
              <w:bottom w:val="single" w:sz="4" w:space="0" w:color="auto"/>
              <w:right w:val="single" w:sz="4" w:space="0" w:color="auto"/>
            </w:tcBorders>
            <w:shd w:val="clear" w:color="auto" w:fill="auto"/>
            <w:vAlign w:val="center"/>
            <w:hideMark/>
          </w:tcPr>
          <w:p w14:paraId="3610D8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informatívnych cenách za bežnú opravu tovaru prostredníctvom webového sídla</w:t>
            </w:r>
          </w:p>
        </w:tc>
        <w:tc>
          <w:tcPr>
            <w:tcW w:w="1960" w:type="dxa"/>
            <w:tcBorders>
              <w:top w:val="nil"/>
              <w:left w:val="nil"/>
              <w:bottom w:val="single" w:sz="4" w:space="0" w:color="auto"/>
              <w:right w:val="single" w:sz="4" w:space="0" w:color="auto"/>
            </w:tcBorders>
            <w:shd w:val="clear" w:color="auto" w:fill="auto"/>
            <w:vAlign w:val="center"/>
            <w:hideMark/>
          </w:tcPr>
          <w:p w14:paraId="3F3F91A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04C3613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§13b ods.7 písm. b)</w:t>
            </w:r>
          </w:p>
        </w:tc>
        <w:tc>
          <w:tcPr>
            <w:tcW w:w="6340" w:type="dxa"/>
            <w:tcBorders>
              <w:top w:val="nil"/>
              <w:left w:val="nil"/>
              <w:bottom w:val="single" w:sz="4" w:space="0" w:color="auto"/>
              <w:right w:val="single" w:sz="4" w:space="0" w:color="auto"/>
            </w:tcBorders>
            <w:shd w:val="clear" w:color="auto" w:fill="auto"/>
            <w:vAlign w:val="center"/>
            <w:hideMark/>
          </w:tcPr>
          <w:p w14:paraId="5675B25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7C472C8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31.07.26</w:t>
            </w:r>
          </w:p>
        </w:tc>
        <w:tc>
          <w:tcPr>
            <w:tcW w:w="1460" w:type="dxa"/>
            <w:tcBorders>
              <w:top w:val="nil"/>
              <w:left w:val="nil"/>
              <w:bottom w:val="single" w:sz="4" w:space="0" w:color="auto"/>
              <w:right w:val="single" w:sz="4" w:space="0" w:color="auto"/>
            </w:tcBorders>
            <w:shd w:val="clear" w:color="auto" w:fill="auto"/>
            <w:vAlign w:val="center"/>
            <w:hideMark/>
          </w:tcPr>
          <w:p w14:paraId="5185674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Výrobcovia</w:t>
            </w:r>
          </w:p>
        </w:tc>
        <w:tc>
          <w:tcPr>
            <w:tcW w:w="1140" w:type="dxa"/>
            <w:tcBorders>
              <w:top w:val="nil"/>
              <w:left w:val="nil"/>
              <w:bottom w:val="single" w:sz="4" w:space="0" w:color="auto"/>
              <w:right w:val="single" w:sz="4" w:space="0" w:color="auto"/>
            </w:tcBorders>
            <w:shd w:val="clear" w:color="auto" w:fill="auto"/>
            <w:vAlign w:val="center"/>
            <w:hideMark/>
          </w:tcPr>
          <w:p w14:paraId="05D8F0D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1942</w:t>
            </w:r>
          </w:p>
        </w:tc>
        <w:tc>
          <w:tcPr>
            <w:tcW w:w="1240" w:type="dxa"/>
            <w:tcBorders>
              <w:top w:val="nil"/>
              <w:left w:val="nil"/>
              <w:bottom w:val="single" w:sz="4" w:space="0" w:color="auto"/>
              <w:right w:val="single" w:sz="4" w:space="0" w:color="auto"/>
            </w:tcBorders>
            <w:shd w:val="clear" w:color="auto" w:fill="auto"/>
            <w:vAlign w:val="center"/>
            <w:hideMark/>
          </w:tcPr>
          <w:p w14:paraId="6E9BD88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6</w:t>
            </w:r>
          </w:p>
        </w:tc>
        <w:tc>
          <w:tcPr>
            <w:tcW w:w="1380" w:type="dxa"/>
            <w:tcBorders>
              <w:top w:val="nil"/>
              <w:left w:val="nil"/>
              <w:bottom w:val="single" w:sz="4" w:space="0" w:color="auto"/>
              <w:right w:val="single" w:sz="4" w:space="0" w:color="auto"/>
            </w:tcBorders>
            <w:shd w:val="clear" w:color="auto" w:fill="auto"/>
            <w:vAlign w:val="center"/>
            <w:hideMark/>
          </w:tcPr>
          <w:p w14:paraId="6BCE488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11764</w:t>
            </w:r>
          </w:p>
        </w:tc>
        <w:tc>
          <w:tcPr>
            <w:tcW w:w="1980" w:type="dxa"/>
            <w:tcBorders>
              <w:top w:val="nil"/>
              <w:left w:val="nil"/>
              <w:bottom w:val="single" w:sz="4" w:space="0" w:color="auto"/>
              <w:right w:val="single" w:sz="4" w:space="0" w:color="auto"/>
            </w:tcBorders>
            <w:shd w:val="clear" w:color="auto" w:fill="auto"/>
            <w:vAlign w:val="center"/>
            <w:hideMark/>
          </w:tcPr>
          <w:p w14:paraId="63C201C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24CBA7FB"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33F81CD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1BDAC7C4"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tcPr>
          <w:p w14:paraId="1C45272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7</w:t>
            </w:r>
          </w:p>
        </w:tc>
        <w:tc>
          <w:tcPr>
            <w:tcW w:w="4760" w:type="dxa"/>
            <w:tcBorders>
              <w:top w:val="nil"/>
              <w:left w:val="nil"/>
              <w:bottom w:val="single" w:sz="4" w:space="0" w:color="auto"/>
              <w:right w:val="single" w:sz="4" w:space="0" w:color="auto"/>
            </w:tcBorders>
            <w:shd w:val="clear" w:color="auto" w:fill="auto"/>
            <w:vAlign w:val="center"/>
          </w:tcPr>
          <w:p w14:paraId="23FAF7B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minimálnej dobe poskytovania aktualizácie veci s digitálnymi prvkami, digitálnym obsah a digitálnou službou</w:t>
            </w:r>
          </w:p>
        </w:tc>
        <w:tc>
          <w:tcPr>
            <w:tcW w:w="1960" w:type="dxa"/>
            <w:tcBorders>
              <w:top w:val="nil"/>
              <w:left w:val="nil"/>
              <w:bottom w:val="single" w:sz="4" w:space="0" w:color="auto"/>
              <w:right w:val="single" w:sz="4" w:space="0" w:color="auto"/>
            </w:tcBorders>
            <w:shd w:val="clear" w:color="auto" w:fill="auto"/>
            <w:vAlign w:val="center"/>
          </w:tcPr>
          <w:p w14:paraId="6DFE732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tcPr>
          <w:p w14:paraId="5593D40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p)</w:t>
            </w:r>
          </w:p>
        </w:tc>
        <w:tc>
          <w:tcPr>
            <w:tcW w:w="6340" w:type="dxa"/>
            <w:tcBorders>
              <w:top w:val="nil"/>
              <w:left w:val="nil"/>
              <w:bottom w:val="single" w:sz="4" w:space="0" w:color="auto"/>
              <w:right w:val="single" w:sz="4" w:space="0" w:color="auto"/>
            </w:tcBorders>
            <w:shd w:val="clear" w:color="auto" w:fill="auto"/>
            <w:vAlign w:val="center"/>
          </w:tcPr>
          <w:p w14:paraId="2339704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tcPr>
          <w:p w14:paraId="6D94161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tcPr>
          <w:p w14:paraId="651FB40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tcPr>
          <w:p w14:paraId="0C4AB51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4 409</w:t>
            </w:r>
          </w:p>
        </w:tc>
        <w:tc>
          <w:tcPr>
            <w:tcW w:w="1240" w:type="dxa"/>
            <w:tcBorders>
              <w:top w:val="nil"/>
              <w:left w:val="nil"/>
              <w:bottom w:val="single" w:sz="4" w:space="0" w:color="auto"/>
              <w:right w:val="single" w:sz="4" w:space="0" w:color="auto"/>
            </w:tcBorders>
            <w:shd w:val="clear" w:color="auto" w:fill="auto"/>
            <w:vAlign w:val="center"/>
          </w:tcPr>
          <w:p w14:paraId="2911AB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2,5</w:t>
            </w:r>
          </w:p>
        </w:tc>
        <w:tc>
          <w:tcPr>
            <w:tcW w:w="1380" w:type="dxa"/>
            <w:tcBorders>
              <w:top w:val="nil"/>
              <w:left w:val="nil"/>
              <w:bottom w:val="single" w:sz="4" w:space="0" w:color="auto"/>
              <w:right w:val="single" w:sz="4" w:space="0" w:color="auto"/>
            </w:tcBorders>
            <w:shd w:val="clear" w:color="auto" w:fill="auto"/>
            <w:vAlign w:val="center"/>
          </w:tcPr>
          <w:p w14:paraId="25DE522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11149</w:t>
            </w:r>
          </w:p>
        </w:tc>
        <w:tc>
          <w:tcPr>
            <w:tcW w:w="1980" w:type="dxa"/>
            <w:tcBorders>
              <w:top w:val="nil"/>
              <w:left w:val="nil"/>
              <w:bottom w:val="single" w:sz="4" w:space="0" w:color="auto"/>
              <w:right w:val="single" w:sz="4" w:space="0" w:color="auto"/>
            </w:tcBorders>
            <w:shd w:val="clear" w:color="auto" w:fill="auto"/>
            <w:vAlign w:val="center"/>
          </w:tcPr>
          <w:p w14:paraId="5D01604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tcPr>
          <w:p w14:paraId="18D67428"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color w:val="000000"/>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tcPr>
          <w:p w14:paraId="7632F48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73674E34"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2E680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8.</w:t>
            </w:r>
          </w:p>
        </w:tc>
        <w:tc>
          <w:tcPr>
            <w:tcW w:w="4760" w:type="dxa"/>
            <w:tcBorders>
              <w:top w:val="nil"/>
              <w:left w:val="nil"/>
              <w:bottom w:val="single" w:sz="4" w:space="0" w:color="auto"/>
              <w:right w:val="single" w:sz="4" w:space="0" w:color="auto"/>
            </w:tcBorders>
            <w:shd w:val="clear" w:color="auto" w:fill="auto"/>
            <w:vAlign w:val="center"/>
            <w:hideMark/>
          </w:tcPr>
          <w:p w14:paraId="16595C0A" w14:textId="77777777" w:rsidR="005B48FD" w:rsidRPr="00152D86" w:rsidRDefault="005B48FD" w:rsidP="00D737D8">
            <w:pPr>
              <w:jc w:val="center"/>
              <w:rPr>
                <w:color w:val="000000"/>
                <w:sz w:val="20"/>
                <w:szCs w:val="20"/>
              </w:rPr>
            </w:pPr>
          </w:p>
          <w:p w14:paraId="7D2CA566" w14:textId="77777777" w:rsidR="005B48FD" w:rsidRPr="00152D86" w:rsidRDefault="005B48FD" w:rsidP="00D737D8">
            <w:pPr>
              <w:jc w:val="center"/>
              <w:rPr>
                <w:rFonts w:ascii="Times New Roman" w:hAnsi="Times New Roman" w:cs="Times New Roman"/>
                <w:color w:val="000000"/>
                <w:sz w:val="20"/>
                <w:szCs w:val="20"/>
              </w:rPr>
            </w:pPr>
            <w:r w:rsidRPr="00152D86">
              <w:rPr>
                <w:rFonts w:ascii="Times New Roman" w:hAnsi="Times New Roman" w:cs="Times New Roman"/>
                <w:color w:val="000000"/>
                <w:sz w:val="20"/>
                <w:szCs w:val="20"/>
              </w:rPr>
              <w:t>Sankcie za</w:t>
            </w:r>
            <w:r>
              <w:rPr>
                <w:rFonts w:ascii="Times New Roman" w:hAnsi="Times New Roman" w:cs="Times New Roman"/>
                <w:color w:val="000000"/>
                <w:sz w:val="20"/>
                <w:szCs w:val="20"/>
              </w:rPr>
              <w:t xml:space="preserve"> porušenie povinnosti</w:t>
            </w:r>
            <w:r w:rsidRPr="00152D86">
              <w:rPr>
                <w:rFonts w:ascii="Times New Roman" w:hAnsi="Times New Roman" w:cs="Times New Roman"/>
                <w:color w:val="000000"/>
                <w:sz w:val="20"/>
                <w:szCs w:val="20"/>
              </w:rPr>
              <w:t xml:space="preserve"> uvádzať na webových stránkach elektronický odkaz na platformu ODR/RSO </w:t>
            </w:r>
          </w:p>
          <w:p w14:paraId="34D23BF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60" w:type="dxa"/>
            <w:tcBorders>
              <w:top w:val="nil"/>
              <w:left w:val="nil"/>
              <w:bottom w:val="single" w:sz="4" w:space="0" w:color="auto"/>
              <w:right w:val="single" w:sz="4" w:space="0" w:color="auto"/>
            </w:tcBorders>
            <w:shd w:val="clear" w:color="auto" w:fill="auto"/>
            <w:vAlign w:val="center"/>
            <w:hideMark/>
          </w:tcPr>
          <w:p w14:paraId="0053E4D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D7E47E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099F75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p w14:paraId="0DB274D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1239F4D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60" w:type="dxa"/>
            <w:tcBorders>
              <w:top w:val="nil"/>
              <w:left w:val="nil"/>
              <w:bottom w:val="single" w:sz="4" w:space="0" w:color="auto"/>
              <w:right w:val="single" w:sz="4" w:space="0" w:color="auto"/>
            </w:tcBorders>
            <w:shd w:val="clear" w:color="auto" w:fill="auto"/>
            <w:vAlign w:val="center"/>
            <w:hideMark/>
          </w:tcPr>
          <w:p w14:paraId="54738D1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FF7834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5749DF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43 ods. 1 písm. b)</w:t>
            </w:r>
          </w:p>
          <w:p w14:paraId="65DD4F7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763E8BA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6340" w:type="dxa"/>
            <w:tcBorders>
              <w:top w:val="nil"/>
              <w:left w:val="nil"/>
              <w:bottom w:val="single" w:sz="4" w:space="0" w:color="auto"/>
              <w:right w:val="single" w:sz="4" w:space="0" w:color="auto"/>
            </w:tcBorders>
            <w:shd w:val="clear" w:color="auto" w:fill="auto"/>
            <w:vAlign w:val="center"/>
            <w:hideMark/>
          </w:tcPr>
          <w:p w14:paraId="5880766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534C686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54DF65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p w14:paraId="0AF0F11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585D54F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060" w:type="dxa"/>
            <w:tcBorders>
              <w:top w:val="nil"/>
              <w:left w:val="nil"/>
              <w:bottom w:val="single" w:sz="4" w:space="0" w:color="auto"/>
              <w:right w:val="single" w:sz="4" w:space="0" w:color="auto"/>
            </w:tcBorders>
            <w:shd w:val="clear" w:color="auto" w:fill="auto"/>
            <w:vAlign w:val="center"/>
            <w:hideMark/>
          </w:tcPr>
          <w:p w14:paraId="0F90A91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BB3EE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0C293B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Pr>
                <w:rFonts w:ascii="Times New Roman" w:eastAsia="Times New Roman" w:hAnsi="Times New Roman" w:cs="Times New Roman"/>
                <w:color w:val="000000"/>
                <w:sz w:val="20"/>
                <w:szCs w:val="24"/>
                <w:lang w:eastAsia="sk-SK"/>
              </w:rPr>
              <w:t>dňom vyhlásenia</w:t>
            </w:r>
          </w:p>
          <w:p w14:paraId="43A8E03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40AF766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460" w:type="dxa"/>
            <w:tcBorders>
              <w:top w:val="nil"/>
              <w:left w:val="nil"/>
              <w:bottom w:val="single" w:sz="4" w:space="0" w:color="auto"/>
              <w:right w:val="single" w:sz="4" w:space="0" w:color="auto"/>
            </w:tcBorders>
            <w:shd w:val="clear" w:color="auto" w:fill="auto"/>
            <w:vAlign w:val="center"/>
            <w:hideMark/>
          </w:tcPr>
          <w:p w14:paraId="265F18F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94DFF7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04D7CF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p w14:paraId="27C03E0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1517E5F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140" w:type="dxa"/>
            <w:tcBorders>
              <w:top w:val="nil"/>
              <w:left w:val="nil"/>
              <w:bottom w:val="single" w:sz="4" w:space="0" w:color="auto"/>
              <w:right w:val="single" w:sz="4" w:space="0" w:color="auto"/>
            </w:tcBorders>
            <w:shd w:val="clear" w:color="auto" w:fill="auto"/>
            <w:vAlign w:val="center"/>
            <w:hideMark/>
          </w:tcPr>
          <w:p w14:paraId="50DDE54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BB1EFF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44FDDC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w:t>
            </w:r>
          </w:p>
          <w:p w14:paraId="26FAF4E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491255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240" w:type="dxa"/>
            <w:tcBorders>
              <w:top w:val="nil"/>
              <w:left w:val="nil"/>
              <w:bottom w:val="single" w:sz="4" w:space="0" w:color="auto"/>
              <w:right w:val="single" w:sz="4" w:space="0" w:color="auto"/>
            </w:tcBorders>
            <w:shd w:val="clear" w:color="auto" w:fill="auto"/>
            <w:vAlign w:val="center"/>
            <w:hideMark/>
          </w:tcPr>
          <w:p w14:paraId="4F517C8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568</w:t>
            </w:r>
          </w:p>
        </w:tc>
        <w:tc>
          <w:tcPr>
            <w:tcW w:w="1380" w:type="dxa"/>
            <w:tcBorders>
              <w:top w:val="nil"/>
              <w:left w:val="nil"/>
              <w:bottom w:val="single" w:sz="4" w:space="0" w:color="auto"/>
              <w:right w:val="single" w:sz="4" w:space="0" w:color="auto"/>
            </w:tcBorders>
            <w:shd w:val="clear" w:color="auto" w:fill="auto"/>
            <w:vAlign w:val="center"/>
            <w:hideMark/>
          </w:tcPr>
          <w:p w14:paraId="04221FCF" w14:textId="77777777" w:rsidR="005B48FD" w:rsidRPr="00152D86" w:rsidRDefault="005B48FD" w:rsidP="00D737D8">
            <w:pPr>
              <w:jc w:val="center"/>
              <w:rPr>
                <w:rFonts w:ascii="Times New Roman" w:hAnsi="Times New Roman" w:cs="Times New Roman"/>
                <w:color w:val="000000"/>
                <w:sz w:val="20"/>
                <w:szCs w:val="20"/>
              </w:rPr>
            </w:pPr>
          </w:p>
          <w:p w14:paraId="2C2AEB7E" w14:textId="77777777" w:rsidR="005B48FD" w:rsidRPr="00152D86" w:rsidRDefault="005B48FD" w:rsidP="00D737D8">
            <w:pPr>
              <w:jc w:val="center"/>
              <w:rPr>
                <w:rFonts w:ascii="Times New Roman" w:hAnsi="Times New Roman" w:cs="Times New Roman"/>
                <w:color w:val="000000"/>
                <w:sz w:val="20"/>
                <w:szCs w:val="20"/>
              </w:rPr>
            </w:pPr>
            <w:r w:rsidRPr="00152D86">
              <w:rPr>
                <w:rFonts w:ascii="Times New Roman" w:hAnsi="Times New Roman" w:cs="Times New Roman"/>
                <w:color w:val="000000"/>
                <w:sz w:val="20"/>
                <w:szCs w:val="20"/>
              </w:rPr>
              <w:t>27 264</w:t>
            </w:r>
          </w:p>
          <w:p w14:paraId="0599097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80" w:type="dxa"/>
            <w:tcBorders>
              <w:top w:val="nil"/>
              <w:left w:val="nil"/>
              <w:bottom w:val="single" w:sz="4" w:space="0" w:color="auto"/>
              <w:right w:val="single" w:sz="4" w:space="0" w:color="auto"/>
            </w:tcBorders>
            <w:shd w:val="clear" w:color="auto" w:fill="auto"/>
            <w:vAlign w:val="center"/>
            <w:hideMark/>
          </w:tcPr>
          <w:p w14:paraId="5B0C8852" w14:textId="77777777" w:rsidR="005B48FD" w:rsidRPr="00152D86" w:rsidRDefault="005B48FD" w:rsidP="00D737D8">
            <w:pPr>
              <w:jc w:val="center"/>
              <w:rPr>
                <w:rFonts w:ascii="Times New Roman" w:hAnsi="Times New Roman" w:cs="Times New Roman"/>
                <w:color w:val="000000"/>
                <w:sz w:val="20"/>
                <w:szCs w:val="20"/>
              </w:rPr>
            </w:pPr>
          </w:p>
          <w:p w14:paraId="0AD6A22F" w14:textId="77777777" w:rsidR="005B48FD" w:rsidRPr="00152D86" w:rsidRDefault="005B48FD" w:rsidP="00D737D8">
            <w:pPr>
              <w:jc w:val="center"/>
              <w:rPr>
                <w:rFonts w:ascii="Times New Roman" w:hAnsi="Times New Roman" w:cs="Times New Roman"/>
                <w:color w:val="000000"/>
                <w:sz w:val="20"/>
                <w:szCs w:val="20"/>
              </w:rPr>
            </w:pPr>
            <w:proofErr w:type="spellStart"/>
            <w:r w:rsidRPr="00152D86">
              <w:rPr>
                <w:rFonts w:ascii="Times New Roman" w:hAnsi="Times New Roman" w:cs="Times New Roman"/>
                <w:color w:val="000000"/>
                <w:sz w:val="20"/>
                <w:szCs w:val="20"/>
              </w:rPr>
              <w:t>Out</w:t>
            </w:r>
            <w:proofErr w:type="spellEnd"/>
            <w:r w:rsidRPr="00152D86">
              <w:rPr>
                <w:rFonts w:ascii="Times New Roman" w:hAnsi="Times New Roman" w:cs="Times New Roman"/>
                <w:color w:val="000000"/>
                <w:sz w:val="20"/>
                <w:szCs w:val="20"/>
              </w:rPr>
              <w:t xml:space="preserve"> (znižuje náklady)</w:t>
            </w:r>
          </w:p>
          <w:p w14:paraId="6718AA3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80" w:type="dxa"/>
            <w:tcBorders>
              <w:top w:val="nil"/>
              <w:left w:val="nil"/>
              <w:bottom w:val="single" w:sz="4" w:space="0" w:color="auto"/>
              <w:right w:val="single" w:sz="4" w:space="0" w:color="auto"/>
            </w:tcBorders>
            <w:shd w:val="clear" w:color="auto" w:fill="auto"/>
            <w:vAlign w:val="center"/>
            <w:hideMark/>
          </w:tcPr>
          <w:p w14:paraId="38478C6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2BE10AC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bl>
    <w:p w14:paraId="5D301FE5" w14:textId="77777777" w:rsidR="005B48FD" w:rsidRPr="00152D86" w:rsidRDefault="005B48FD" w:rsidP="005B48FD">
      <w:pPr>
        <w:jc w:val="both"/>
        <w:rPr>
          <w:rFonts w:ascii="Times New Roman" w:eastAsia="Calibri" w:hAnsi="Times New Roman" w:cs="Times New Roman"/>
          <w:b/>
          <w:bCs/>
          <w:i/>
          <w:sz w:val="24"/>
          <w:szCs w:val="24"/>
        </w:rPr>
        <w:sectPr w:rsidR="005B48FD" w:rsidRPr="00152D86" w:rsidSect="00941683">
          <w:pgSz w:w="16838" w:h="11906" w:orient="landscape"/>
          <w:pgMar w:top="1417" w:right="1417" w:bottom="1417" w:left="1417" w:header="708" w:footer="708" w:gutter="0"/>
          <w:cols w:space="708"/>
          <w:docGrid w:linePitch="360"/>
        </w:sectPr>
      </w:pPr>
    </w:p>
    <w:p w14:paraId="1A44698A" w14:textId="77777777" w:rsidR="005B48FD" w:rsidRPr="00152D86" w:rsidRDefault="005B48FD" w:rsidP="005B48FD">
      <w:pPr>
        <w:jc w:val="both"/>
        <w:rPr>
          <w:rFonts w:ascii="Times New Roman" w:eastAsia="Calibri" w:hAnsi="Times New Roman" w:cs="Times New Roman"/>
          <w:b/>
          <w:bCs/>
          <w:i/>
          <w:sz w:val="24"/>
          <w:szCs w:val="24"/>
          <w:u w:val="single"/>
        </w:rPr>
      </w:pPr>
      <w:r w:rsidRPr="00152D86">
        <w:rPr>
          <w:rFonts w:ascii="Times New Roman" w:eastAsia="Calibri" w:hAnsi="Times New Roman" w:cs="Times New Roman"/>
          <w:b/>
          <w:bCs/>
          <w:i/>
          <w:sz w:val="24"/>
          <w:szCs w:val="24"/>
          <w:u w:val="single"/>
        </w:rPr>
        <w:t xml:space="preserve">3.1.3 Doplňujúce informácie k spôsobu výpočtu vplyvov jednotlivých regulácií na zmenu nákladov </w:t>
      </w:r>
    </w:p>
    <w:p w14:paraId="4D918256" w14:textId="77777777" w:rsidR="005B48FD" w:rsidRPr="00152D86" w:rsidRDefault="005B48FD" w:rsidP="005B48FD">
      <w:pPr>
        <w:numPr>
          <w:ilvl w:val="0"/>
          <w:numId w:val="15"/>
        </w:numPr>
        <w:contextualSpacing/>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 xml:space="preserve"> </w:t>
      </w:r>
      <w:r w:rsidRPr="00152D86">
        <w:rPr>
          <w:rFonts w:ascii="Times New Roman" w:eastAsia="Calibri" w:hAnsi="Times New Roman" w:cs="Times New Roman"/>
          <w:b/>
          <w:bCs/>
          <w:iCs/>
          <w:color w:val="000000"/>
          <w:sz w:val="24"/>
          <w:szCs w:val="24"/>
        </w:rPr>
        <w:t xml:space="preserve">Povinnosť poskytnúť informácie o existencii a dĺžke trvania zákonnej zodpovednosti obchodníka prostredníctvom harmonizovaného oznámenia </w:t>
      </w:r>
    </w:p>
    <w:p w14:paraId="624207B7"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Na základe § 5 ods. 1 písm. f) s cieľom zabezpečiť, aby boli spotrebitelia dobre informovaní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mohli ľahko porozumieť svojim právam, sa zavádza nová povinnosť pre obchodníkov informovať spotrebiteľov o zákonnej zodpovednosti za vady obchodníka prostredníctvom harmonizovaného oznámenia. </w:t>
      </w:r>
    </w:p>
    <w:p w14:paraId="1A2ED598"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Poskytnutie informácií o existencii a dĺžke trvania zákonnej zodpovednosti obchodníka prostredníctvom harmonizovaného oznámenia sa vzhľadom na formu povinnosti dotkne vyššieho počtu subjektov. V tomto prípade sa povinnosť týka 130 825 obchodníkov, ktorí sú povinní pred uzavretím spotrebiteľskej zmluvy, ktorej predmetom je poskytnutie tovaru za odplatu, informovať spotrebiteľa o jeho právach. </w:t>
      </w:r>
    </w:p>
    <w:p w14:paraId="11C4E118" w14:textId="77777777" w:rsidR="005B48FD" w:rsidRPr="00152D86" w:rsidRDefault="005B48FD" w:rsidP="005B48FD">
      <w:pPr>
        <w:jc w:val="both"/>
        <w:rPr>
          <w:rFonts w:ascii="Times New Roman" w:hAnsi="Times New Roman" w:cs="Times New Roman"/>
          <w:sz w:val="24"/>
          <w:szCs w:val="24"/>
        </w:rPr>
      </w:pPr>
      <w:r w:rsidRPr="00152D86">
        <w:rPr>
          <w:rFonts w:ascii="Times New Roman" w:eastAsia="Times New Roman" w:hAnsi="Times New Roman" w:cs="Times New Roman"/>
          <w:color w:val="000000"/>
          <w:sz w:val="24"/>
          <w:szCs w:val="24"/>
        </w:rPr>
        <w:t xml:space="preserve">Pri stanovení počtu dotknutých subjektov predkladateľ vychádzal z </w:t>
      </w:r>
      <w:r w:rsidRPr="00152D86">
        <w:rPr>
          <w:rFonts w:ascii="Times New Roman" w:hAnsi="Times New Roman" w:cs="Times New Roman"/>
          <w:sz w:val="24"/>
          <w:szCs w:val="24"/>
        </w:rPr>
        <w:t xml:space="preserve">expertného odhadu na základe dát uvedených vo </w:t>
      </w:r>
      <w:r w:rsidRPr="00152D86">
        <w:rPr>
          <w:rFonts w:ascii="Times New Roman" w:eastAsia="Times New Roman" w:hAnsi="Times New Roman" w:cs="Times New Roman"/>
          <w:color w:val="000000"/>
          <w:sz w:val="24"/>
          <w:szCs w:val="24"/>
        </w:rPr>
        <w:t>vestníku štatistického úradu  (</w:t>
      </w:r>
      <w:hyperlink r:id="rId9"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0"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odhadovaného  počtu obchodníkov, ktorí zodpovedajú za vady kúpeného tovaru spotrebiteľom. </w:t>
      </w:r>
    </w:p>
    <w:p w14:paraId="48FC0406"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Pri kvantifikácii nákladov na podnikateľské prostredie bola použitá Kalkulačka nákladov</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 a expertný odhad. Výpočet pomocou kalkulačky nákladov zohľadňuje expertný odhad, ktorý zahŕňa náklady s prípravou grafického oznámenia a administratívnu činnosť spojenú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197 651 eur. Je dôležité uviesť, že návrh a obsah harmonizovaného oznámenia budú zjednotené a dodatočne spresnené vykonávacím aktom Európskej komisie. Vzhľadom na jednoduchosť vykonania povinnosti bol stanovený expertný odhad trvania povinnosti na 15 minút a frekvencia splnenia: jednorazovo.</w:t>
      </w:r>
    </w:p>
    <w:p w14:paraId="07333DC3" w14:textId="77777777" w:rsidR="005B48FD" w:rsidRPr="00152D86" w:rsidRDefault="005B48FD" w:rsidP="005B48FD">
      <w:pPr>
        <w:numPr>
          <w:ilvl w:val="0"/>
          <w:numId w:val="15"/>
        </w:numPr>
        <w:contextualSpacing/>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
          <w:bCs/>
          <w:iCs/>
          <w:color w:val="000000"/>
          <w:sz w:val="24"/>
          <w:szCs w:val="24"/>
        </w:rPr>
        <w:t>Povinnosť poskytnúť informácie o existencii a dĺžke trvania spotrebiteľskej záruky prostredníctvom harmonizovaného označenia</w:t>
      </w:r>
    </w:p>
    <w:p w14:paraId="53D524AD"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Na základe § 5 ods. 1 písm. g) s cieľom zabezpečiť, aby boli spotrebitelia dobre informovaní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mohli ľahko porozumieť svojim právam, sa zavádza nová povinnosť pre obchodníkov informovať spotrebiteľov o spotrebiteľskej záruke na životnosť tovaru poskytovanej výrobcom, a to prostredníctvom harmonizovaného označenia. </w:t>
      </w:r>
    </w:p>
    <w:p w14:paraId="32ECDB96"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Calibri" w:hAnsi="Times New Roman" w:cs="Times New Roman"/>
          <w:bCs/>
          <w:iCs/>
          <w:color w:val="000000"/>
          <w:sz w:val="24"/>
          <w:szCs w:val="24"/>
        </w:rPr>
        <w:t xml:space="preserve">Podanie informácie o spotrebiteľskej záruke </w:t>
      </w:r>
      <w:r w:rsidRPr="00152D86">
        <w:rPr>
          <w:rFonts w:ascii="Times New Roman" w:eastAsia="Times New Roman" w:hAnsi="Times New Roman" w:cs="Times New Roman"/>
          <w:color w:val="000000"/>
          <w:sz w:val="24"/>
          <w:szCs w:val="24"/>
        </w:rPr>
        <w:t xml:space="preserve">na životnosť tovaru </w:t>
      </w:r>
      <w:r w:rsidRPr="00152D86">
        <w:rPr>
          <w:rFonts w:ascii="Times New Roman" w:eastAsia="Calibri" w:hAnsi="Times New Roman" w:cs="Times New Roman"/>
          <w:bCs/>
          <w:iCs/>
          <w:color w:val="000000"/>
          <w:sz w:val="24"/>
          <w:szCs w:val="24"/>
        </w:rPr>
        <w:t xml:space="preserve">sa dotkne relatívne nízkeho počtu subjektov, a to 9 106 obchodníkov. Konečná kvantifikácia bola určená na základe expertného odhadu a vychádza z </w:t>
      </w:r>
      <w:r w:rsidRPr="00152D86">
        <w:rPr>
          <w:rFonts w:ascii="Times New Roman" w:hAnsi="Times New Roman" w:cs="Times New Roman"/>
          <w:sz w:val="24"/>
          <w:szCs w:val="24"/>
        </w:rPr>
        <w:t xml:space="preserve">dát uvedených vo </w:t>
      </w:r>
      <w:r w:rsidRPr="00152D86">
        <w:rPr>
          <w:rFonts w:ascii="Times New Roman" w:eastAsia="Times New Roman" w:hAnsi="Times New Roman" w:cs="Times New Roman"/>
          <w:color w:val="000000"/>
          <w:sz w:val="24"/>
          <w:szCs w:val="24"/>
        </w:rPr>
        <w:t>vestníku štatistického úradu  (</w:t>
      </w:r>
      <w:hyperlink r:id="rId11"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2"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w:t>
      </w:r>
      <w:r w:rsidRPr="00152D86">
        <w:rPr>
          <w:rFonts w:ascii="Times New Roman" w:eastAsia="Calibri" w:hAnsi="Times New Roman" w:cs="Times New Roman"/>
          <w:bCs/>
          <w:iCs/>
          <w:color w:val="000000"/>
          <w:sz w:val="24"/>
          <w:szCs w:val="24"/>
        </w:rPr>
        <w:t xml:space="preserve">údajov z registra účtovných závierok vyselektovaných podľa ekonomických činností, ktorých sa povinnosť týka. 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43B0E20F"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potrebné zdôrazniť, že v tomto prípade ide len o expertný odhad na základe dostupných dát. Skutočný rozsah subjektov sa môže čiastočne líšiť, a to vzhľadom na skutočnosť, že povinnosť obchodníka sa bude vo veľkej miere odvíjať od poskytnutia spotrebiteľskej záruky výrobcom. Z tohto dôvodu nie je možné určiť presný počet dotknutých subjektov.</w:t>
      </w:r>
    </w:p>
    <w:p w14:paraId="73DD27BF"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 prípravou grafického oznámenia a administratívnu činnosť spojenú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13 757 eur. Je dôležité uviesť, že dizajn a obsah harmonizovaného označenia budú zjednotené a dodatočne spresnené vykonávacím aktom Európskej komisie. Vzhľadom na jednoduchosť vykonania povinnosti bol stanovený expertný odhad trvania povinnosti na 15 minút a frekvencia splnenia: jednorazovo.</w:t>
      </w:r>
    </w:p>
    <w:p w14:paraId="064AC37A"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bodovom hodnotení opraviteľnosti</w:t>
      </w:r>
    </w:p>
    <w:p w14:paraId="7D39C0CF"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5 ods. 1 písm. k) s cieľom zaistiť, aby mohli spotrebitelia prijímať kvalifikovanejšie rozhodnutia, sa zavádza povinnosť pre obchodníkov informovať spotrebiteľov o  bodovom hodnotení opraviteľnosti. </w:t>
      </w:r>
    </w:p>
    <w:p w14:paraId="2BA6CCD2"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hAnsi="Times New Roman" w:cs="Times New Roman"/>
          <w:sz w:val="24"/>
          <w:szCs w:val="24"/>
        </w:rPr>
        <w:t xml:space="preserve">Povinnosť sa bude vzťahovať len na obchodníkov, ktorým výrobca tieto informácie poskytne. Uvedená povinnosť sa bude dotýkať obchodníkov, ktorí sa zameriavajú na predaj rôznych druhov tovarov s výnimkou napr. potravín a textílií a iných druhov, pri ktorých by uvedené informácie neboli vzhľadom na povahu prakticky </w:t>
      </w:r>
      <w:proofErr w:type="spellStart"/>
      <w:r w:rsidRPr="00152D86">
        <w:rPr>
          <w:rFonts w:ascii="Times New Roman" w:hAnsi="Times New Roman" w:cs="Times New Roman"/>
          <w:sz w:val="24"/>
          <w:szCs w:val="24"/>
        </w:rPr>
        <w:t>poskytnuteľné</w:t>
      </w:r>
      <w:proofErr w:type="spellEnd"/>
      <w:r w:rsidRPr="00152D86">
        <w:rPr>
          <w:rFonts w:ascii="Times New Roman" w:hAnsi="Times New Roman" w:cs="Times New Roman"/>
          <w:sz w:val="24"/>
          <w:szCs w:val="24"/>
        </w:rPr>
        <w:t xml:space="preserve">. Na tomto základe sa podľa vykonaného expertného odhadu môže uvedená povinnosť dotýkať 12 106 subjektov. Kvantifikácia vychádza zo záverov </w:t>
      </w:r>
      <w:r w:rsidRPr="00152D86">
        <w:rPr>
          <w:rFonts w:ascii="Times New Roman" w:eastAsia="Times New Roman" w:hAnsi="Times New Roman" w:cs="Times New Roman"/>
          <w:color w:val="000000"/>
          <w:sz w:val="24"/>
          <w:szCs w:val="24"/>
        </w:rPr>
        <w:t>vestníku štatistického úradu  (</w:t>
      </w:r>
      <w:hyperlink r:id="rId13"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4"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Kvantifikácia dotknutých subjektov bola uskutočnená expertným odhadom na základe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390C6570"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potrebné zdôrazniť, že v tomto prípade ide len o expertný odhad na základe dostupných dát. Skutočný rozsah subjektov sa môže čiastočne líšiť, a to vzhľadom na skutočnosť, že povinnosť obchodníka sa bude vo veľkej miere odvíjať od poskytnutia informácie o bodovom hodnotení opraviteľnosti výrobcom. Z tohto dôvodu nie je možné určiť presný počet dotknutých subjektov.</w:t>
      </w:r>
    </w:p>
    <w:p w14:paraId="2B9C48AA"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48 773 eur. Na základe expertného odhadu bolo stanovené trvanie povinnosti na 10 minút a frekvencia splnenia: nepravidelne.</w:t>
      </w:r>
    </w:p>
    <w:p w14:paraId="259C6678"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dostupnosti, predpokladaných nákladoch </w:t>
      </w:r>
      <w:r>
        <w:rPr>
          <w:rFonts w:ascii="Times New Roman" w:eastAsia="Calibri" w:hAnsi="Times New Roman" w:cs="Times New Roman"/>
          <w:b/>
          <w:bCs/>
          <w:iCs/>
          <w:color w:val="000000"/>
          <w:sz w:val="24"/>
          <w:szCs w:val="24"/>
        </w:rPr>
        <w:br/>
      </w:r>
      <w:r w:rsidRPr="00152D86">
        <w:rPr>
          <w:rFonts w:ascii="Times New Roman" w:eastAsia="Calibri" w:hAnsi="Times New Roman" w:cs="Times New Roman"/>
          <w:b/>
          <w:bCs/>
          <w:iCs/>
          <w:color w:val="000000"/>
          <w:sz w:val="24"/>
          <w:szCs w:val="24"/>
        </w:rPr>
        <w:t>a postupe objednania náhradných dielov</w:t>
      </w:r>
    </w:p>
    <w:p w14:paraId="7C13D2B8"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 5 ods. 1 písm. l) s cieľom zaistiť, aby mohli spotrebitelia prijímať kvalifikovanejšie rozhodnutia, sa zavádza povinnosť pre obchodníkov informovať spotrebiteľov o  dostupnosti, predpokladaných nákladoch a postupe objednania náhradných dielov.</w:t>
      </w:r>
    </w:p>
    <w:p w14:paraId="1F87E7D7"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hAnsi="Times New Roman" w:cs="Times New Roman"/>
          <w:sz w:val="24"/>
          <w:szCs w:val="24"/>
        </w:rPr>
        <w:t xml:space="preserve">Daná povinnosť sa bude vzťahovať na obchodníkov, ktorým výrobca tieto informácie poskytne, a nebude možné poskytnúť informácie o bodovom hodnotení opraviteľnosti tovaru. Uvedená povinnosť sa bude dotýkať obchodníkov, ktorí sa zameriavajú na predaj rôznych druhov tovarov s výnimkou napr. potravín a textílií a iných druhov, pri ktorých by uvedené informácie neboli vzhľadom na povahu prakticky </w:t>
      </w:r>
      <w:proofErr w:type="spellStart"/>
      <w:r w:rsidRPr="00152D86">
        <w:rPr>
          <w:rFonts w:ascii="Times New Roman" w:hAnsi="Times New Roman" w:cs="Times New Roman"/>
          <w:sz w:val="24"/>
          <w:szCs w:val="24"/>
        </w:rPr>
        <w:t>poskytnuteľné</w:t>
      </w:r>
      <w:proofErr w:type="spellEnd"/>
      <w:r w:rsidRPr="00152D86">
        <w:rPr>
          <w:rFonts w:ascii="Times New Roman" w:hAnsi="Times New Roman" w:cs="Times New Roman"/>
          <w:sz w:val="24"/>
          <w:szCs w:val="24"/>
        </w:rPr>
        <w:t xml:space="preserve">. Na tomto základe sa podľa vykonaného expertného odhadu môže uvedená povinnosť dotýkať 12 106 subjektov. Kvantifikácia vychádza zo záverov </w:t>
      </w:r>
      <w:r w:rsidRPr="00152D86">
        <w:rPr>
          <w:rFonts w:ascii="Times New Roman" w:eastAsia="Times New Roman" w:hAnsi="Times New Roman" w:cs="Times New Roman"/>
          <w:color w:val="000000"/>
          <w:sz w:val="24"/>
          <w:szCs w:val="24"/>
        </w:rPr>
        <w:t>vestníku štatistického úradu  (</w:t>
      </w:r>
      <w:hyperlink r:id="rId15"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6"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Kvantifikácia dotknutých subjektov bola uskutočnená expertným odhadom na základe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3BD5D47C"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potrebne zdôrazniť, že sa v tomto prípade jedná len o expertný odhad na základe dostupných dát. Skutočný rozsah subjektov sa môže čiastočne líšiť, a to vzhľadom na skutočnosť, že povinnosť obchodníka sa bude vo veľkej miere odvíjať od poskytnutia informácie</w:t>
      </w:r>
      <w:r w:rsidRPr="00152D86">
        <w:t xml:space="preserve"> </w:t>
      </w:r>
      <w:r w:rsidRPr="00152D86">
        <w:rPr>
          <w:rFonts w:ascii="Times New Roman" w:eastAsia="Times New Roman" w:hAnsi="Times New Roman" w:cs="Times New Roman"/>
          <w:color w:val="000000"/>
          <w:sz w:val="24"/>
          <w:szCs w:val="24"/>
        </w:rPr>
        <w:t>o dostupnosti, predpokladaných nákladoch a postupe objednania náhradných dielov výrobcom. Z tohto dôvodu nie je možné poskytnúť presný počet dotknutých subjektov.</w:t>
      </w:r>
    </w:p>
    <w:p w14:paraId="1545676D"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48 773 eur. Na základe expertného odhadu bolo stanovené trvanie povinnosti na 10 minút a frekvencia splnenia: nepravidelne.</w:t>
      </w:r>
    </w:p>
    <w:p w14:paraId="229D73ED"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opravárenských službách</w:t>
      </w:r>
    </w:p>
    <w:p w14:paraId="0D750ED6"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13b ods. 7 písm. a) sa zavádza povinnosť pre výrobcov opraviť tovar v rozsahu mimo zákonnej zodpovednosti za vady obchodníka. Uvedeným opatrením sa má podporiť oprava tovarov a podporiť udržateľná spotreba. </w:t>
      </w:r>
    </w:p>
    <w:p w14:paraId="5EC6E30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Povinnosť sa bude vzťahovať na výrobcov, ktorí sa zaoberajú výrobou opraviteľného tovaru. Rozsah tovarov na ktoré sa vzťahuje oprava a povinnosť poskytnúť informácie o opravárenských službách upravujú delegované akty prijaté podľa  nariadenia Európskeho parlamentu a Rady (EÚ) 2024/1781 z 13. júna 2024, ktorým sa zriaďuje rámec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udržateľných výrobkov, mení smernica (EÚ) 2020/1828 a nariadenie (EÚ) 2023/1542 a zrušuje smernica 2009/125/ES (Ú. v. EÚ L, 2024/1781, 28. 6. 2024) alebo vykonávacie opatrenia prijaté na základe smernice Európskeho parlamentu a Rady 2009/125/ES z 21. októbra 2009 o vytvorení rámca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energeticky významných výrobkov (Ú. v. EÚ L 285, 31. 10. 2009). Medzi tovar, ktorý vymedzujú právne akty patria práčky a práčky so sušičkou pre domácnosť, umývačky riadu pre domácnosť, chladiace spotrebiče, elektronické displeje, zariadenia na zváranie, vysávače, servery a dátové úložiská, mobilné telefóny, </w:t>
      </w:r>
      <w:proofErr w:type="spellStart"/>
      <w:r w:rsidRPr="00152D86">
        <w:rPr>
          <w:rFonts w:ascii="Times New Roman" w:hAnsi="Times New Roman" w:cs="Times New Roman"/>
          <w:sz w:val="24"/>
          <w:szCs w:val="24"/>
        </w:rPr>
        <w:t>bezšnúrové</w:t>
      </w:r>
      <w:proofErr w:type="spellEnd"/>
      <w:r w:rsidRPr="00152D86">
        <w:rPr>
          <w:rFonts w:ascii="Times New Roman" w:hAnsi="Times New Roman" w:cs="Times New Roman"/>
          <w:sz w:val="24"/>
          <w:szCs w:val="24"/>
        </w:rPr>
        <w:t xml:space="preserve"> telefóny a tablety typu </w:t>
      </w:r>
      <w:proofErr w:type="spellStart"/>
      <w:r w:rsidRPr="00152D86">
        <w:rPr>
          <w:rFonts w:ascii="Times New Roman" w:hAnsi="Times New Roman" w:cs="Times New Roman"/>
          <w:sz w:val="24"/>
          <w:szCs w:val="24"/>
        </w:rPr>
        <w:t>Slate</w:t>
      </w:r>
      <w:proofErr w:type="spellEnd"/>
      <w:r w:rsidRPr="00152D86">
        <w:rPr>
          <w:rFonts w:ascii="Times New Roman" w:hAnsi="Times New Roman" w:cs="Times New Roman"/>
          <w:sz w:val="24"/>
          <w:szCs w:val="24"/>
        </w:rPr>
        <w:t>, bubnové sušičky pre domácnosť, tovar so zabudovanou batériou pre ľahké dopravné prostriedky.</w:t>
      </w:r>
    </w:p>
    <w:p w14:paraId="0EFFB79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expertného odhadu, ktorý vychádza z údajov  Registra účtovných závierok, bol stanovený odhadovaný počet zasiahnutých subjektov, na ktoré sa bude vzťahovať pôsobnosť návrhu zákona. Ide najmä o kódy SK NACE: 27510, 32990, 28230, 28240, 27110, 26400, 26301 . Na tomto základe sa podľa vykonaného expertného odhadu môže uvedená povinnosť týkať 1942</w:t>
      </w:r>
      <w:r w:rsidRPr="00152D86">
        <w:rPr>
          <w:rFonts w:ascii="Times New Roman" w:eastAsia="Times New Roman" w:hAnsi="Times New Roman" w:cs="Times New Roman"/>
          <w:color w:val="000000"/>
          <w:sz w:val="24"/>
          <w:szCs w:val="24"/>
          <w:lang w:eastAsia="sk-SK"/>
        </w:rPr>
        <w:t xml:space="preserve"> </w:t>
      </w:r>
      <w:r w:rsidRPr="00152D86">
        <w:rPr>
          <w:rFonts w:ascii="Times New Roman" w:hAnsi="Times New Roman" w:cs="Times New Roman"/>
          <w:sz w:val="24"/>
          <w:szCs w:val="24"/>
        </w:rPr>
        <w:t>subjektov. Rozsah dotknutých subjektov predstavuje  expertný odhad, a to vzhľadom na nemožnosť určenia počtu výrobcov pre konkrétny druh tovaru.,</w:t>
      </w:r>
    </w:p>
    <w:p w14:paraId="0332087A"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15 648 eur. Vzhľadom na rozsah a náročnosť vykonania povinnosti bolo na základe expertného odhadu stanovené trvanie povinnosti na 20 minút a frekvencia splnenia: jeden - krát ročne.</w:t>
      </w:r>
    </w:p>
    <w:p w14:paraId="317BD8C8"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Povinnosť poskytnúť informácie o informatívnych cenách za bežnú opravu tovaru prostredníctvom webového sídla </w:t>
      </w:r>
    </w:p>
    <w:p w14:paraId="77384DCB"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13b ods. 7 písm. b) sa zavádza povinnosť pre výrobcov poskytnúť informácie </w:t>
      </w:r>
      <w:r>
        <w:rPr>
          <w:rFonts w:ascii="Times New Roman" w:hAnsi="Times New Roman" w:cs="Times New Roman"/>
          <w:sz w:val="24"/>
          <w:szCs w:val="24"/>
        </w:rPr>
        <w:br/>
      </w:r>
      <w:r w:rsidRPr="00152D86">
        <w:rPr>
          <w:rFonts w:ascii="Times New Roman" w:hAnsi="Times New Roman" w:cs="Times New Roman"/>
          <w:sz w:val="24"/>
          <w:szCs w:val="24"/>
        </w:rPr>
        <w:t>o orientačných cenách za bežnú opravu tovaru prostredníctvom webového sídla.</w:t>
      </w:r>
    </w:p>
    <w:p w14:paraId="460D4D1F"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Povinnosť sa bude vzťahovať na výrobcov, ktorí sa zaoberajú výrobou opraviteľného tovaru. Rozsah  tovarov na ktoré sa vzťahuje oprava upravujú delegované akty prijaté podľa  nariadenia Európskeho parlamentu a Rady (EÚ) 2024/1781 z 13. júna 2024, ktorým sa zriaďuje rámec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udržateľných výrobkov, mení smernica (EÚ) 2020/1828 a nariadenie (EÚ) 2023/1542 a zrušuje smernica 2009/125/ES (Ú. v. EÚ L, 2024/1781, </w:t>
      </w:r>
      <w:r>
        <w:rPr>
          <w:rFonts w:ascii="Times New Roman" w:hAnsi="Times New Roman" w:cs="Times New Roman"/>
          <w:sz w:val="24"/>
          <w:szCs w:val="24"/>
        </w:rPr>
        <w:br/>
      </w:r>
      <w:r w:rsidRPr="00152D86">
        <w:rPr>
          <w:rFonts w:ascii="Times New Roman" w:hAnsi="Times New Roman" w:cs="Times New Roman"/>
          <w:sz w:val="24"/>
          <w:szCs w:val="24"/>
        </w:rPr>
        <w:t xml:space="preserve">28. 6. 2024) alebo vykonávacie opatrenia prijaté na základe smernice Európskeho parlamentu a Rady 2009/125/ES z 21. októbra 2009 o vytvorení rámca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energeticky významných výrobkov (Ú. v. EÚ L 285, 31. 10. 2009). Medzi tovar, ktorý vymedzujú právne akty patria práčky a práčky so sušičkou pre domácnosť, umývačky riadu pre domácnosť, chladiace spotrebiče, elektronické displeje, zariadenia na zváranie, vysávače, servery a dátové úložiská, mobilné telefóny, </w:t>
      </w:r>
      <w:proofErr w:type="spellStart"/>
      <w:r w:rsidRPr="00152D86">
        <w:rPr>
          <w:rFonts w:ascii="Times New Roman" w:hAnsi="Times New Roman" w:cs="Times New Roman"/>
          <w:sz w:val="24"/>
          <w:szCs w:val="24"/>
        </w:rPr>
        <w:t>bezšnúrové</w:t>
      </w:r>
      <w:proofErr w:type="spellEnd"/>
      <w:r w:rsidRPr="00152D86">
        <w:rPr>
          <w:rFonts w:ascii="Times New Roman" w:hAnsi="Times New Roman" w:cs="Times New Roman"/>
          <w:sz w:val="24"/>
          <w:szCs w:val="24"/>
        </w:rPr>
        <w:t xml:space="preserve"> telefóny a tablety typu </w:t>
      </w:r>
      <w:proofErr w:type="spellStart"/>
      <w:r w:rsidRPr="00152D86">
        <w:rPr>
          <w:rFonts w:ascii="Times New Roman" w:hAnsi="Times New Roman" w:cs="Times New Roman"/>
          <w:sz w:val="24"/>
          <w:szCs w:val="24"/>
        </w:rPr>
        <w:t>Slate</w:t>
      </w:r>
      <w:proofErr w:type="spellEnd"/>
      <w:r w:rsidRPr="00152D86">
        <w:rPr>
          <w:rFonts w:ascii="Times New Roman" w:hAnsi="Times New Roman" w:cs="Times New Roman"/>
          <w:sz w:val="24"/>
          <w:szCs w:val="24"/>
        </w:rPr>
        <w:t>, bubnové sušičky pre domácnosť, tovar so zabudovanou batériou pre ľahké dopravné prostriedky.</w:t>
      </w:r>
    </w:p>
    <w:p w14:paraId="07547927"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expertného odhadu, ktorý vychádza z údajov  Registra účtovných závierok, bol stanovený odhadovaný počet zasiahnutých subjektov, na ktoré sa bude vzťahovať pôsobnosť návrhu zákona. Ide najmä o kódy SK NACE: 27510, 27400, 32990, 31090, 31020, 31010, 30920, 32400, 31030, 28230, 28240. Na tomto základe sa podľa vykonaného expertného odhadu môže uvedená povinnosť dotýkať </w:t>
      </w:r>
      <w:r w:rsidRPr="00152D86">
        <w:rPr>
          <w:rFonts w:ascii="Times New Roman" w:eastAsia="Times New Roman" w:hAnsi="Times New Roman" w:cs="Times New Roman"/>
          <w:color w:val="000000"/>
          <w:sz w:val="24"/>
          <w:szCs w:val="24"/>
          <w:lang w:eastAsia="sk-SK"/>
        </w:rPr>
        <w:t xml:space="preserve">1942 </w:t>
      </w:r>
      <w:r w:rsidRPr="00152D86">
        <w:rPr>
          <w:rFonts w:ascii="Times New Roman" w:hAnsi="Times New Roman" w:cs="Times New Roman"/>
          <w:sz w:val="24"/>
          <w:szCs w:val="24"/>
        </w:rPr>
        <w:t xml:space="preserve">subjektov. </w:t>
      </w:r>
      <w:r w:rsidRPr="00152D86">
        <w:t xml:space="preserve"> </w:t>
      </w:r>
      <w:r w:rsidRPr="00152D86">
        <w:rPr>
          <w:rFonts w:ascii="Times New Roman" w:hAnsi="Times New Roman" w:cs="Times New Roman"/>
          <w:sz w:val="24"/>
          <w:szCs w:val="24"/>
        </w:rPr>
        <w:t>Rozsah dotknutých subjektov predstavuje expertný odhad, a to vzhľadom na nemožnosť určenia počtu výrobcov pre konkrétny druh tovaru.</w:t>
      </w:r>
    </w:p>
    <w:p w14:paraId="4EB88D4E"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 xml:space="preserve">tejto povinnosti na cca 11764 eur. Na základe expertného odhadu bolo stanovené trvanie </w:t>
      </w:r>
      <w:proofErr w:type="spellStart"/>
      <w:r w:rsidRPr="00152D86">
        <w:rPr>
          <w:rFonts w:ascii="Times New Roman" w:eastAsia="Calibri" w:hAnsi="Times New Roman" w:cs="Times New Roman"/>
          <w:bCs/>
          <w:iCs/>
          <w:color w:val="000000"/>
          <w:sz w:val="24"/>
          <w:szCs w:val="24"/>
        </w:rPr>
        <w:t>povinnostina</w:t>
      </w:r>
      <w:proofErr w:type="spellEnd"/>
      <w:r w:rsidRPr="00152D86">
        <w:rPr>
          <w:rFonts w:ascii="Times New Roman" w:eastAsia="Calibri" w:hAnsi="Times New Roman" w:cs="Times New Roman"/>
          <w:bCs/>
          <w:iCs/>
          <w:color w:val="000000"/>
          <w:sz w:val="24"/>
          <w:szCs w:val="24"/>
        </w:rPr>
        <w:t xml:space="preserve"> 20 minút a frekvencia splnenia: jeden - krát ročne. .</w:t>
      </w:r>
    </w:p>
    <w:p w14:paraId="1911D5C3" w14:textId="77777777" w:rsidR="005B48FD" w:rsidRPr="00152D86" w:rsidRDefault="005B48FD" w:rsidP="005B48FD">
      <w:pPr>
        <w:numPr>
          <w:ilvl w:val="0"/>
          <w:numId w:val="15"/>
        </w:numPr>
        <w:spacing w:after="0" w:line="240" w:lineRule="auto"/>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Povinnosť poskytnúť informácie o minimálnej dobe poskytovania aktualizácie veci s digitálnymi prvkami</w:t>
      </w:r>
      <w:r w:rsidRPr="006B2C7B">
        <w:rPr>
          <w:rFonts w:ascii="Times New Roman" w:hAnsi="Times New Roman" w:cs="Times New Roman"/>
          <w:b/>
          <w:sz w:val="24"/>
          <w:szCs w:val="24"/>
        </w:rPr>
        <w:t>,</w:t>
      </w:r>
      <w:r w:rsidRPr="006B2C7B">
        <w:rPr>
          <w:rFonts w:ascii="Times New Roman" w:eastAsia="Times New Roman" w:hAnsi="Times New Roman" w:cs="Times New Roman"/>
          <w:b/>
          <w:color w:val="000000"/>
          <w:sz w:val="20"/>
          <w:szCs w:val="24"/>
          <w:lang w:eastAsia="sk-SK"/>
        </w:rPr>
        <w:t xml:space="preserve"> </w:t>
      </w:r>
      <w:r w:rsidRPr="006B2C7B">
        <w:rPr>
          <w:rFonts w:ascii="Times New Roman" w:hAnsi="Times New Roman" w:cs="Times New Roman"/>
          <w:b/>
          <w:sz w:val="24"/>
          <w:szCs w:val="24"/>
        </w:rPr>
        <w:t>digitálnym obsahom a digitálnou službou</w:t>
      </w:r>
      <w:r w:rsidRPr="00152D86">
        <w:rPr>
          <w:rFonts w:ascii="Times New Roman" w:hAnsi="Times New Roman" w:cs="Times New Roman"/>
          <w:sz w:val="24"/>
          <w:szCs w:val="24"/>
        </w:rPr>
        <w:t xml:space="preserve"> </w:t>
      </w:r>
    </w:p>
    <w:p w14:paraId="5C4246F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 5 ods. 1 písm. p) s cieľom zaistiť, aby mohli spotrebitelia prijímať kvalifikovanejšie rozhodnutia, sa zavádza nová povinnosť pre obchodníkov informovať spotrebiteľov o minimálnej dobe, počas ktorej sú k dispozícii bezplatné softvérové aktualizácie pre veci s digitálnymi prvkami, digitálny obsah alebo digitálnu službu.</w:t>
      </w:r>
    </w:p>
    <w:p w14:paraId="75A89916"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hAnsi="Times New Roman" w:cs="Times New Roman"/>
          <w:sz w:val="24"/>
          <w:szCs w:val="24"/>
        </w:rPr>
        <w:t>Uvedená povinnosť sa dotkne tých obchodníkov, ktorí predávajú tovar s digitálnymi prvkami,</w:t>
      </w:r>
      <w:r w:rsidRPr="00152D86">
        <w:rPr>
          <w:rFonts w:ascii="Times New Roman" w:eastAsia="Times New Roman" w:hAnsi="Times New Roman" w:cs="Times New Roman"/>
          <w:color w:val="000000"/>
          <w:sz w:val="20"/>
          <w:szCs w:val="24"/>
          <w:lang w:eastAsia="sk-SK"/>
        </w:rPr>
        <w:t xml:space="preserve"> </w:t>
      </w:r>
      <w:r w:rsidRPr="00152D86">
        <w:rPr>
          <w:rFonts w:ascii="Times New Roman" w:hAnsi="Times New Roman" w:cs="Times New Roman"/>
          <w:sz w:val="24"/>
          <w:szCs w:val="24"/>
        </w:rPr>
        <w:t>digitálnym obsahom a digitálnou službou vyžadujúce aktualizácie. Na základe expertného odhadu počet subjektov, na ktorých sa môže táto nová povinnosť vzťahovať, predstavuje 4 409 obchodníkov. Kvantifikácia subjektov vychádza z expertného odhadu a vychádza z dát uvedených vo vestníku štatistického úradu  (</w:t>
      </w:r>
      <w:hyperlink r:id="rId17" w:history="1">
        <w:r w:rsidRPr="00152D86">
          <w:rPr>
            <w:rFonts w:ascii="Times New Roman" w:hAnsi="Times New Roman" w:cs="Times New Roman"/>
            <w:color w:val="0563C1" w:themeColor="hyperlink"/>
            <w:sz w:val="24"/>
            <w:szCs w:val="24"/>
            <w:u w:val="single"/>
          </w:rPr>
          <w:t>Slovenská republika v číslach 2024</w:t>
        </w:r>
      </w:hyperlink>
      <w:r w:rsidRPr="00152D86">
        <w:rPr>
          <w:rFonts w:ascii="Times New Roman" w:hAnsi="Times New Roman" w:cs="Times New Roman"/>
          <w:sz w:val="24"/>
          <w:szCs w:val="24"/>
        </w:rPr>
        <w:t>), publikácie Malé a stredné podnikanie v číslach v roku 2023 (</w:t>
      </w:r>
      <w:hyperlink r:id="rId18"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47410, 47110, 46900, 46510, 46690. </w:t>
      </w:r>
      <w:r w:rsidRPr="00152D86">
        <w:rPr>
          <w:rFonts w:ascii="Times New Roman" w:eastAsia="Times New Roman" w:hAnsi="Times New Roman" w:cs="Times New Roman"/>
          <w:color w:val="000000"/>
          <w:sz w:val="24"/>
          <w:szCs w:val="24"/>
        </w:rPr>
        <w:t>Výpočet zohľadňuje expertný odhad, ktorý zahŕňa náklady s prípravou grafického oznámenia a administratívnu činnosť spojenú s prípravou informácie pre spotrebiteľa, ako aj náklady na pracovnú silu.</w:t>
      </w:r>
    </w:p>
    <w:p w14:paraId="6005E5C3"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Vzhľadom na skutočnosť, že informačná povinnosť obchodníka do veľkej miery závisí od informácie poskytnutej zo strany výrobcu, je možné poskytnúť len číselný odhad dotknutých subjektov. </w:t>
      </w:r>
    </w:p>
    <w:p w14:paraId="5D4C64F2"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zahrňuje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 xml:space="preserve">tejto povinnosti na cca 11 149 eur. Na základe expertného odhadu bolo stanovené trvanie povinnosti na 10 minút a frekvencia splnenia: </w:t>
      </w:r>
      <w:proofErr w:type="spellStart"/>
      <w:r w:rsidRPr="00152D86">
        <w:rPr>
          <w:rFonts w:ascii="Times New Roman" w:eastAsia="Calibri" w:hAnsi="Times New Roman" w:cs="Times New Roman"/>
          <w:bCs/>
          <w:iCs/>
          <w:color w:val="000000"/>
          <w:sz w:val="24"/>
          <w:szCs w:val="24"/>
        </w:rPr>
        <w:t>jednorázovo</w:t>
      </w:r>
      <w:proofErr w:type="spellEnd"/>
      <w:r w:rsidRPr="00152D86">
        <w:rPr>
          <w:rFonts w:ascii="Times New Roman" w:eastAsia="Calibri" w:hAnsi="Times New Roman" w:cs="Times New Roman"/>
          <w:bCs/>
          <w:iCs/>
          <w:color w:val="000000"/>
          <w:sz w:val="24"/>
          <w:szCs w:val="24"/>
        </w:rPr>
        <w:t>.</w:t>
      </w:r>
    </w:p>
    <w:p w14:paraId="56C98276" w14:textId="77777777" w:rsidR="005B48FD" w:rsidRPr="00152D86" w:rsidRDefault="005B48FD" w:rsidP="005B48FD">
      <w:pPr>
        <w:numPr>
          <w:ilvl w:val="0"/>
          <w:numId w:val="15"/>
        </w:numPr>
        <w:spacing w:after="0" w:line="240" w:lineRule="auto"/>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Sankcie za porušenie povinnosti uvádzať na webových stránkach elektronický odkaz na platformu ODR/RSO </w:t>
      </w:r>
    </w:p>
    <w:p w14:paraId="0B9ECDF3" w14:textId="77777777" w:rsidR="005B48FD" w:rsidRPr="00152D86" w:rsidRDefault="005B48FD" w:rsidP="005B48FD">
      <w:pPr>
        <w:spacing w:after="0"/>
        <w:jc w:val="both"/>
        <w:rPr>
          <w:rFonts w:ascii="Times New Roman" w:hAnsi="Times New Roman" w:cs="Times New Roman"/>
          <w:sz w:val="24"/>
          <w:szCs w:val="24"/>
        </w:rPr>
      </w:pPr>
      <w:r w:rsidRPr="00152D86">
        <w:rPr>
          <w:rFonts w:ascii="Times New Roman" w:hAnsi="Times New Roman" w:cs="Times New Roman"/>
          <w:sz w:val="24"/>
          <w:szCs w:val="24"/>
        </w:rPr>
        <w:t xml:space="preserve">Predpokladá sa zníženie vplyvov na podnikateľské prostredie v súvislosti so zrušením nariadenia Európskeho parlamentu a Rady (EÚ) č. 524/2013 z 21. mája 2013 o riešení spotrebiteľských sporov online, ktorým sa mení nariadenie (ES) č. 2006/2004 a smernica 2009/22/ES (nariadenie o riešení spotrebiteľských sporov online) (Ú. v. EÚ L 165, 18. 6. 2013). </w:t>
      </w:r>
    </w:p>
    <w:p w14:paraId="664F9806" w14:textId="77777777" w:rsidR="005B48FD" w:rsidRPr="00152D86" w:rsidRDefault="005B48FD" w:rsidP="005B48FD">
      <w:pPr>
        <w:spacing w:after="0"/>
        <w:jc w:val="both"/>
        <w:rPr>
          <w:rFonts w:ascii="Times New Roman" w:hAnsi="Times New Roman" w:cs="Times New Roman"/>
          <w:sz w:val="24"/>
          <w:szCs w:val="24"/>
        </w:rPr>
      </w:pPr>
    </w:p>
    <w:p w14:paraId="16881997"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Vzhľadom na uvedené sa z právnej úpravy vypúšťa povinnosť pre obchodníkov uvádzať na webových stránkach elektronický odkaz na platformu ODR/RSO. </w:t>
      </w:r>
    </w:p>
    <w:p w14:paraId="7E4A6F8C"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Pre kvantifikáciu nepriamych finančných nákladov – sankcií bol využitý model pripodobňovania pokút. Z činnosti Slovenskej obchodnej inšpekcie sú dostupné nasledovné dáta, ktoré sa týkajú uložení pokút za porušenie povinnosti uvádzať na webových stránkach elektronický odkaz na platformu ODR/RSO:</w:t>
      </w:r>
    </w:p>
    <w:tbl>
      <w:tblPr>
        <w:tblStyle w:val="Mriekatabuky3"/>
        <w:tblW w:w="0" w:type="auto"/>
        <w:jc w:val="center"/>
        <w:tblLook w:val="04A0" w:firstRow="1" w:lastRow="0" w:firstColumn="1" w:lastColumn="0" w:noHBand="0" w:noVBand="1"/>
      </w:tblPr>
      <w:tblGrid>
        <w:gridCol w:w="1271"/>
        <w:gridCol w:w="3119"/>
        <w:gridCol w:w="2976"/>
      </w:tblGrid>
      <w:tr w:rsidR="005B48FD" w:rsidRPr="00152D86" w14:paraId="0D01BD9D" w14:textId="77777777" w:rsidTr="00D737D8">
        <w:trPr>
          <w:jc w:val="center"/>
        </w:trPr>
        <w:tc>
          <w:tcPr>
            <w:tcW w:w="1271" w:type="dxa"/>
            <w:vAlign w:val="center"/>
          </w:tcPr>
          <w:p w14:paraId="08A648D2"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Rok</w:t>
            </w:r>
          </w:p>
        </w:tc>
        <w:tc>
          <w:tcPr>
            <w:tcW w:w="3119" w:type="dxa"/>
            <w:vAlign w:val="center"/>
          </w:tcPr>
          <w:p w14:paraId="6E44569C"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Počet pokút</w:t>
            </w:r>
          </w:p>
        </w:tc>
        <w:tc>
          <w:tcPr>
            <w:tcW w:w="2976" w:type="dxa"/>
            <w:vAlign w:val="center"/>
          </w:tcPr>
          <w:p w14:paraId="4EBB92F6"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Priemerná výška pokuty</w:t>
            </w:r>
          </w:p>
        </w:tc>
      </w:tr>
      <w:tr w:rsidR="005B48FD" w:rsidRPr="00152D86" w14:paraId="6E76FC41" w14:textId="77777777" w:rsidTr="00D737D8">
        <w:trPr>
          <w:jc w:val="center"/>
        </w:trPr>
        <w:tc>
          <w:tcPr>
            <w:tcW w:w="1271" w:type="dxa"/>
            <w:vAlign w:val="center"/>
          </w:tcPr>
          <w:p w14:paraId="16D3E62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2019</w:t>
            </w:r>
          </w:p>
        </w:tc>
        <w:tc>
          <w:tcPr>
            <w:tcW w:w="3119" w:type="dxa"/>
            <w:vAlign w:val="center"/>
          </w:tcPr>
          <w:p w14:paraId="5A3085BC"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hAnsi="Times New Roman" w:cs="Times New Roman"/>
                <w:sz w:val="24"/>
                <w:szCs w:val="24"/>
              </w:rPr>
              <w:t>45</w:t>
            </w:r>
          </w:p>
        </w:tc>
        <w:tc>
          <w:tcPr>
            <w:tcW w:w="2976" w:type="dxa"/>
            <w:vAlign w:val="center"/>
          </w:tcPr>
          <w:p w14:paraId="12875FE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 xml:space="preserve">968 € </w:t>
            </w:r>
          </w:p>
        </w:tc>
      </w:tr>
      <w:tr w:rsidR="005B48FD" w:rsidRPr="00152D86" w14:paraId="78B8BC3D" w14:textId="77777777" w:rsidTr="00D737D8">
        <w:trPr>
          <w:jc w:val="center"/>
        </w:trPr>
        <w:tc>
          <w:tcPr>
            <w:tcW w:w="1271" w:type="dxa"/>
            <w:vAlign w:val="center"/>
          </w:tcPr>
          <w:p w14:paraId="65B8338F"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2020</w:t>
            </w:r>
          </w:p>
        </w:tc>
        <w:tc>
          <w:tcPr>
            <w:tcW w:w="3119" w:type="dxa"/>
            <w:vAlign w:val="center"/>
          </w:tcPr>
          <w:p w14:paraId="669EEF2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18</w:t>
            </w:r>
          </w:p>
        </w:tc>
        <w:tc>
          <w:tcPr>
            <w:tcW w:w="2976" w:type="dxa"/>
            <w:vAlign w:val="center"/>
          </w:tcPr>
          <w:p w14:paraId="7A49B52F"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486 €</w:t>
            </w:r>
          </w:p>
        </w:tc>
      </w:tr>
      <w:tr w:rsidR="005B48FD" w:rsidRPr="00152D86" w14:paraId="44E256CB" w14:textId="77777777" w:rsidTr="00D737D8">
        <w:trPr>
          <w:jc w:val="center"/>
        </w:trPr>
        <w:tc>
          <w:tcPr>
            <w:tcW w:w="1271" w:type="dxa"/>
            <w:vAlign w:val="center"/>
          </w:tcPr>
          <w:p w14:paraId="621A6D3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2021</w:t>
            </w:r>
          </w:p>
        </w:tc>
        <w:tc>
          <w:tcPr>
            <w:tcW w:w="3119" w:type="dxa"/>
            <w:vAlign w:val="center"/>
          </w:tcPr>
          <w:p w14:paraId="2ADCB6F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71</w:t>
            </w:r>
          </w:p>
        </w:tc>
        <w:tc>
          <w:tcPr>
            <w:tcW w:w="2976" w:type="dxa"/>
            <w:vAlign w:val="center"/>
          </w:tcPr>
          <w:p w14:paraId="7063EF5B"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368 €</w:t>
            </w:r>
          </w:p>
        </w:tc>
      </w:tr>
      <w:tr w:rsidR="005B48FD" w:rsidRPr="00152D86" w14:paraId="5016C99F" w14:textId="77777777" w:rsidTr="00D737D8">
        <w:trPr>
          <w:jc w:val="center"/>
        </w:trPr>
        <w:tc>
          <w:tcPr>
            <w:tcW w:w="1271" w:type="dxa"/>
            <w:vAlign w:val="center"/>
          </w:tcPr>
          <w:p w14:paraId="3A28706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2022</w:t>
            </w:r>
          </w:p>
        </w:tc>
        <w:tc>
          <w:tcPr>
            <w:tcW w:w="3119" w:type="dxa"/>
            <w:vAlign w:val="center"/>
          </w:tcPr>
          <w:p w14:paraId="3C6D0446"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103</w:t>
            </w:r>
          </w:p>
        </w:tc>
        <w:tc>
          <w:tcPr>
            <w:tcW w:w="2976" w:type="dxa"/>
            <w:vAlign w:val="center"/>
          </w:tcPr>
          <w:p w14:paraId="3D49B7A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400 €</w:t>
            </w:r>
          </w:p>
        </w:tc>
      </w:tr>
      <w:tr w:rsidR="005B48FD" w:rsidRPr="00152D86" w14:paraId="61315665" w14:textId="77777777" w:rsidTr="00D737D8">
        <w:trPr>
          <w:jc w:val="center"/>
        </w:trPr>
        <w:tc>
          <w:tcPr>
            <w:tcW w:w="1271" w:type="dxa"/>
            <w:vAlign w:val="center"/>
          </w:tcPr>
          <w:p w14:paraId="1541B7B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2023</w:t>
            </w:r>
          </w:p>
        </w:tc>
        <w:tc>
          <w:tcPr>
            <w:tcW w:w="3119" w:type="dxa"/>
            <w:vAlign w:val="center"/>
          </w:tcPr>
          <w:p w14:paraId="153106D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40</w:t>
            </w:r>
          </w:p>
        </w:tc>
        <w:tc>
          <w:tcPr>
            <w:tcW w:w="2976" w:type="dxa"/>
            <w:vAlign w:val="center"/>
          </w:tcPr>
          <w:p w14:paraId="14DF9A5B"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619 €</w:t>
            </w:r>
          </w:p>
        </w:tc>
      </w:tr>
      <w:tr w:rsidR="005B48FD" w:rsidRPr="00152D86" w14:paraId="459B48CF" w14:textId="77777777" w:rsidTr="00D737D8">
        <w:trPr>
          <w:jc w:val="center"/>
        </w:trPr>
        <w:tc>
          <w:tcPr>
            <w:tcW w:w="1271" w:type="dxa"/>
            <w:vAlign w:val="center"/>
          </w:tcPr>
          <w:p w14:paraId="3CCC4984"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2024</w:t>
            </w:r>
          </w:p>
        </w:tc>
        <w:tc>
          <w:tcPr>
            <w:tcW w:w="3119" w:type="dxa"/>
            <w:vAlign w:val="center"/>
          </w:tcPr>
          <w:p w14:paraId="042D2B3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10</w:t>
            </w:r>
          </w:p>
        </w:tc>
        <w:tc>
          <w:tcPr>
            <w:tcW w:w="2976" w:type="dxa"/>
            <w:vAlign w:val="center"/>
          </w:tcPr>
          <w:p w14:paraId="53DFA3C9"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565 €</w:t>
            </w:r>
          </w:p>
        </w:tc>
      </w:tr>
      <w:tr w:rsidR="005B48FD" w:rsidRPr="00152D86" w14:paraId="0D05CAEE" w14:textId="77777777" w:rsidTr="00D737D8">
        <w:trPr>
          <w:jc w:val="center"/>
        </w:trPr>
        <w:tc>
          <w:tcPr>
            <w:tcW w:w="1271" w:type="dxa"/>
            <w:vAlign w:val="center"/>
          </w:tcPr>
          <w:p w14:paraId="71451187"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Priemer</w:t>
            </w:r>
          </w:p>
        </w:tc>
        <w:tc>
          <w:tcPr>
            <w:tcW w:w="3119" w:type="dxa"/>
            <w:vAlign w:val="center"/>
          </w:tcPr>
          <w:p w14:paraId="01BE4A34"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48</w:t>
            </w:r>
          </w:p>
        </w:tc>
        <w:tc>
          <w:tcPr>
            <w:tcW w:w="2976" w:type="dxa"/>
            <w:vAlign w:val="center"/>
          </w:tcPr>
          <w:p w14:paraId="7C315E91"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568 €</w:t>
            </w:r>
          </w:p>
        </w:tc>
      </w:tr>
    </w:tbl>
    <w:p w14:paraId="3246C662" w14:textId="77777777" w:rsidR="005B48FD" w:rsidRPr="00152D86" w:rsidRDefault="005B48FD" w:rsidP="005B48FD">
      <w:pPr>
        <w:jc w:val="both"/>
        <w:rPr>
          <w:rFonts w:ascii="Times New Roman" w:eastAsia="Calibri" w:hAnsi="Times New Roman" w:cs="Times New Roman"/>
          <w:bCs/>
          <w:iCs/>
          <w:color w:val="000000"/>
          <w:sz w:val="24"/>
          <w:szCs w:val="24"/>
        </w:rPr>
      </w:pPr>
    </w:p>
    <w:p w14:paraId="603560BC"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Odhadovaný vplyv na podnikateľské prostredie sa tak zníži v priemere o 27 264 € (48 x 568 </w:t>
      </w:r>
      <w:r w:rsidRPr="00152D86">
        <w:rPr>
          <w:rFonts w:eastAsia="Calibri"/>
          <w:bCs/>
          <w:iCs/>
          <w:color w:val="000000"/>
        </w:rPr>
        <w:t>€</w:t>
      </w:r>
      <w:r w:rsidRPr="00152D86">
        <w:rPr>
          <w:rFonts w:ascii="Times New Roman" w:hAnsi="Times New Roman" w:cs="Times New Roman"/>
          <w:sz w:val="24"/>
          <w:szCs w:val="24"/>
        </w:rPr>
        <w:t>).</w:t>
      </w:r>
    </w:p>
    <w:p w14:paraId="7ACD02E8" w14:textId="77777777" w:rsidR="005B48FD" w:rsidRPr="00152D86" w:rsidRDefault="005B48FD" w:rsidP="005B48FD">
      <w:pPr>
        <w:spacing w:after="0"/>
        <w:jc w:val="both"/>
        <w:rPr>
          <w:rFonts w:ascii="Times New Roman" w:hAnsi="Times New Roman" w:cs="Times New Roman"/>
          <w:sz w:val="24"/>
          <w:szCs w:val="24"/>
        </w:rPr>
      </w:pPr>
      <w:r w:rsidRPr="00152D86">
        <w:rPr>
          <w:rFonts w:ascii="Times New Roman" w:hAnsi="Times New Roman" w:cs="Times New Roman"/>
          <w:sz w:val="24"/>
          <w:szCs w:val="24"/>
        </w:rPr>
        <w:t xml:space="preserve">Do tejto analýzy vplyvov nie je zahrnutý pozitívny vplyv, pokiaľ ide o zníženie administratívnych nákladov v nadväznosti na zrušenie nariadenia (EÚ) č. 524/2013, pretože tento vplyv je daný priamo nariadením EÚ, ktorým sa zrušuje nariadenie (EÚ) č. 524/2013. Tento vplyv bol opísaný v riadnom predbežnom stanovisku k návrhu nariadenia Európskeho parlamentu a Rady, ktorým sa zrušuje nariadenie (EÚ) č. 524/2013 a menia nariadenia (EÚ) 2017/2394 a (EÚ) 2018/1724, pokiaľ ide o ukončenie činnosti Európskej platformy RSO (dostupné tu: </w:t>
      </w:r>
      <w:hyperlink r:id="rId19" w:history="1">
        <w:r w:rsidRPr="00152D86">
          <w:rPr>
            <w:rFonts w:ascii="Times New Roman" w:hAnsi="Times New Roman" w:cs="Times New Roman"/>
            <w:color w:val="0563C1" w:themeColor="hyperlink"/>
            <w:sz w:val="24"/>
            <w:szCs w:val="24"/>
            <w:u w:val="single"/>
          </w:rPr>
          <w:t>https://www.slov-lex.sk/elegislativa/legislativne-procesy/SK/LPEU/2023/671</w:t>
        </w:r>
      </w:hyperlink>
      <w:r w:rsidRPr="00152D86">
        <w:rPr>
          <w:rFonts w:ascii="Times New Roman" w:hAnsi="Times New Roman" w:cs="Times New Roman"/>
          <w:sz w:val="24"/>
          <w:szCs w:val="24"/>
        </w:rPr>
        <w:t xml:space="preserve">). </w:t>
      </w:r>
    </w:p>
    <w:p w14:paraId="25F56CBA" w14:textId="77777777" w:rsidR="005B48FD" w:rsidRPr="00152D86" w:rsidRDefault="005B48FD" w:rsidP="005B48FD">
      <w:pPr>
        <w:spacing w:after="0"/>
        <w:jc w:val="both"/>
        <w:rPr>
          <w:rFonts w:ascii="Times New Roman" w:eastAsia="Calibri" w:hAnsi="Times New Roman" w:cs="Times New Roman"/>
          <w:bCs/>
          <w:iCs/>
          <w:color w:val="000000"/>
          <w:sz w:val="24"/>
          <w:szCs w:val="24"/>
        </w:rPr>
      </w:pPr>
    </w:p>
    <w:p w14:paraId="5358EB85"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Calibri" w:hAnsi="Times New Roman" w:cs="Times New Roman"/>
          <w:b/>
          <w:bCs/>
          <w:i/>
          <w:sz w:val="24"/>
          <w:szCs w:val="24"/>
          <w:u w:val="single"/>
        </w:rPr>
        <w:t xml:space="preserve">3.1.4 Odôvodnenie </w:t>
      </w:r>
      <w:proofErr w:type="spellStart"/>
      <w:r w:rsidRPr="00152D86">
        <w:rPr>
          <w:rFonts w:ascii="Times New Roman" w:eastAsia="Calibri" w:hAnsi="Times New Roman" w:cs="Times New Roman"/>
          <w:b/>
          <w:bCs/>
          <w:i/>
          <w:sz w:val="24"/>
          <w:szCs w:val="24"/>
          <w:u w:val="single"/>
        </w:rPr>
        <w:t>goldplatingu</w:t>
      </w:r>
      <w:proofErr w:type="spellEnd"/>
      <w:r w:rsidRPr="00152D86">
        <w:rPr>
          <w:rFonts w:ascii="Times New Roman" w:eastAsia="Calibri" w:hAnsi="Times New Roman" w:cs="Times New Roman"/>
          <w:b/>
          <w:bCs/>
          <w:i/>
          <w:sz w:val="24"/>
          <w:szCs w:val="24"/>
          <w:u w:val="single"/>
        </w:rPr>
        <w:t xml:space="preserve"> podľa bodu 4 časti III jednotnej metodiky a ďalšie doplňujúce informácie</w:t>
      </w:r>
      <w:r w:rsidRPr="00152D86">
        <w:rPr>
          <w:rFonts w:ascii="Times New Roman" w:eastAsia="Calibri" w:hAnsi="Times New Roman" w:cs="Times New Roman"/>
          <w:b/>
          <w:bCs/>
          <w:i/>
          <w:sz w:val="24"/>
          <w:szCs w:val="24"/>
          <w:u w:val="single"/>
          <w:vertAlign w:val="superscript"/>
        </w:rPr>
        <w:footnoteReference w:id="2"/>
      </w:r>
      <w:r w:rsidRPr="00152D86">
        <w:rPr>
          <w:rFonts w:ascii="Times New Roman" w:eastAsia="Calibri" w:hAnsi="Times New Roman" w:cs="Times New Roman"/>
          <w:b/>
          <w:bCs/>
          <w:i/>
          <w:sz w:val="24"/>
          <w:szCs w:val="24"/>
          <w:u w:val="single"/>
        </w:rPr>
        <w:t xml:space="preserve"> </w:t>
      </w:r>
    </w:p>
    <w:p w14:paraId="15501FE4"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Požadované informácie uveďte osobitne ku každému identifikovanému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(ku každej hodnotenej regulácii s </w:t>
      </w:r>
      <w:proofErr w:type="spellStart"/>
      <w:r w:rsidRPr="00152D86">
        <w:rPr>
          <w:rFonts w:ascii="Times New Roman" w:eastAsia="Calibri" w:hAnsi="Times New Roman" w:cs="Times New Roman"/>
          <w:bCs/>
          <w:i/>
          <w:iCs/>
          <w:color w:val="000000"/>
          <w:sz w:val="24"/>
          <w:szCs w:val="24"/>
        </w:rPr>
        <w:t>goldplatingom</w:t>
      </w:r>
      <w:proofErr w:type="spellEnd"/>
      <w:r w:rsidRPr="00152D86">
        <w:rPr>
          <w:rFonts w:ascii="Times New Roman" w:eastAsia="Calibri" w:hAnsi="Times New Roman" w:cs="Times New Roman"/>
          <w:bCs/>
          <w:i/>
          <w:iCs/>
          <w:color w:val="000000"/>
          <w:sz w:val="24"/>
          <w:szCs w:val="24"/>
        </w:rPr>
        <w:t xml:space="preserve"> osobitne). </w:t>
      </w:r>
    </w:p>
    <w:p w14:paraId="3DE427C0"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Uveďte odôvodnenie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z hľadiska jeho nespochybniteľnej nevyhnutnosti. Odôvodnenie doložte dôkladným hodnotením prínosov a nákladov. Uveďte zvážené alternatívne riešenia..</w:t>
      </w:r>
    </w:p>
    <w:p w14:paraId="74D5B3E2"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Zároveň uveďte konkrétne informácie súvisiace s kategóriou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4562DBB7" w14:textId="77777777" w:rsidR="005B48FD" w:rsidRPr="00152D86" w:rsidRDefault="005B48FD" w:rsidP="005B48FD">
      <w:pPr>
        <w:jc w:val="both"/>
        <w:rPr>
          <w:rFonts w:ascii="Times New Roman" w:eastAsia="Calibri" w:hAnsi="Times New Roman" w:cs="Times New Roman"/>
          <w:bCs/>
          <w:i/>
          <w:iCs/>
          <w:sz w:val="24"/>
          <w:szCs w:val="24"/>
        </w:rPr>
      </w:pPr>
      <w:r w:rsidRPr="00152D86">
        <w:rPr>
          <w:rFonts w:ascii="Times New Roman" w:eastAsia="Calibri" w:hAnsi="Times New Roman" w:cs="Times New Roman"/>
          <w:bCs/>
          <w:i/>
          <w:iCs/>
          <w:sz w:val="24"/>
          <w:szCs w:val="24"/>
        </w:rPr>
        <w:t xml:space="preserve">Využitie </w:t>
      </w:r>
      <w:proofErr w:type="spellStart"/>
      <w:r w:rsidRPr="00152D86">
        <w:rPr>
          <w:rFonts w:ascii="Times New Roman" w:eastAsia="Calibri" w:hAnsi="Times New Roman" w:cs="Times New Roman"/>
          <w:bCs/>
          <w:i/>
          <w:iCs/>
          <w:sz w:val="24"/>
          <w:szCs w:val="24"/>
        </w:rPr>
        <w:t>goldplatingu</w:t>
      </w:r>
      <w:proofErr w:type="spellEnd"/>
      <w:r w:rsidRPr="00152D86">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w:t>
      </w:r>
      <w:r>
        <w:rPr>
          <w:rFonts w:ascii="Times New Roman" w:eastAsia="Calibri" w:hAnsi="Times New Roman" w:cs="Times New Roman"/>
          <w:bCs/>
          <w:i/>
          <w:iCs/>
          <w:sz w:val="24"/>
          <w:szCs w:val="24"/>
        </w:rPr>
        <w:br/>
      </w:r>
      <w:r w:rsidRPr="00152D86">
        <w:rPr>
          <w:rFonts w:ascii="Times New Roman" w:eastAsia="Calibri" w:hAnsi="Times New Roman" w:cs="Times New Roman"/>
          <w:bCs/>
          <w:i/>
          <w:iCs/>
          <w:sz w:val="24"/>
          <w:szCs w:val="24"/>
        </w:rPr>
        <w:t xml:space="preserve">v porovnaní s podnikmi z krajín, kde právne predpisy nie sú natoľko prísne. Využitie </w:t>
      </w:r>
      <w:proofErr w:type="spellStart"/>
      <w:r w:rsidRPr="00152D86">
        <w:rPr>
          <w:rFonts w:ascii="Times New Roman" w:eastAsia="Calibri" w:hAnsi="Times New Roman" w:cs="Times New Roman"/>
          <w:bCs/>
          <w:i/>
          <w:iCs/>
          <w:sz w:val="24"/>
          <w:szCs w:val="24"/>
        </w:rPr>
        <w:t>goldplatingu</w:t>
      </w:r>
      <w:proofErr w:type="spellEnd"/>
      <w:r w:rsidRPr="00152D86">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C93C3A2" w14:textId="77777777" w:rsidR="005B48FD" w:rsidRPr="00152D86" w:rsidRDefault="005B48FD" w:rsidP="005B48FD">
      <w:pPr>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 xml:space="preserve">Nebol identifikovaný </w:t>
      </w:r>
      <w:proofErr w:type="spellStart"/>
      <w:r w:rsidRPr="00152D86">
        <w:rPr>
          <w:rFonts w:ascii="Times New Roman" w:eastAsia="Calibri" w:hAnsi="Times New Roman" w:cs="Times New Roman"/>
          <w:bCs/>
          <w:iCs/>
          <w:sz w:val="24"/>
          <w:szCs w:val="24"/>
        </w:rPr>
        <w:t>goldplating</w:t>
      </w:r>
      <w:proofErr w:type="spellEnd"/>
      <w:r w:rsidRPr="00152D86">
        <w:rPr>
          <w:rFonts w:ascii="Times New Roman" w:eastAsia="Calibri" w:hAnsi="Times New Roman" w:cs="Times New Roman"/>
          <w:bCs/>
          <w:iCs/>
          <w:sz w:val="24"/>
          <w:szCs w:val="24"/>
        </w:rPr>
        <w:t>.</w:t>
      </w:r>
    </w:p>
    <w:p w14:paraId="4BC51AFB"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3.2 Vyhodnotenie konzultácií s podnikateľskými subjektmi pred predbežným pripomienkovým konaním</w:t>
      </w:r>
    </w:p>
    <w:p w14:paraId="63A8F635"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152D86">
        <w:rPr>
          <w:rFonts w:ascii="Times New Roman" w:eastAsia="Calibri" w:hAnsi="Times New Roman" w:cs="Times New Roman"/>
          <w:i/>
          <w:sz w:val="24"/>
          <w:szCs w:val="24"/>
        </w:rPr>
        <w:t>link</w:t>
      </w:r>
      <w:proofErr w:type="spellEnd"/>
      <w:r w:rsidRPr="00152D86">
        <w:rPr>
          <w:rFonts w:ascii="Times New Roman" w:eastAsia="Calibri" w:hAnsi="Times New Roman" w:cs="Times New Roman"/>
          <w:i/>
          <w:sz w:val="24"/>
          <w:szCs w:val="24"/>
        </w:rPr>
        <w:t xml:space="preserve"> na webovú stránku, na ktorej boli konzultácie zverejnené. </w:t>
      </w:r>
    </w:p>
    <w:p w14:paraId="63FA461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hlavné body konzultácií a ich závery. </w:t>
      </w:r>
    </w:p>
    <w:p w14:paraId="135FBD5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AEF9C6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550078A" w14:textId="77777777" w:rsidR="005B48FD" w:rsidRPr="00152D86" w:rsidRDefault="005B48FD" w:rsidP="005B48FD">
      <w:pPr>
        <w:spacing w:after="0"/>
        <w:jc w:val="both"/>
        <w:rPr>
          <w:rFonts w:ascii="Times New Roman" w:eastAsia="Calibri" w:hAnsi="Times New Roman" w:cs="Times New Roman"/>
          <w:i/>
          <w:sz w:val="24"/>
          <w:szCs w:val="24"/>
        </w:rPr>
      </w:pPr>
    </w:p>
    <w:p w14:paraId="5A3E1717" w14:textId="77777777" w:rsidR="005B48FD" w:rsidRPr="00152D86" w:rsidRDefault="005B48FD" w:rsidP="005B48FD">
      <w:pPr>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Predbežná informácia k návrhu zákona bola zverejnená na stránke slov-lex.sk</w:t>
      </w:r>
      <w:r w:rsidRPr="00152D86">
        <w:rPr>
          <w:rFonts w:eastAsia="Calibri"/>
        </w:rPr>
        <w:t xml:space="preserve"> </w:t>
      </w:r>
      <w:r w:rsidRPr="00152D86">
        <w:rPr>
          <w:rFonts w:ascii="Times New Roman" w:eastAsia="Calibri" w:hAnsi="Times New Roman" w:cs="Times New Roman"/>
          <w:sz w:val="24"/>
          <w:szCs w:val="24"/>
        </w:rPr>
        <w:t>(</w:t>
      </w:r>
      <w:hyperlink r:id="rId20" w:history="1">
        <w:r w:rsidRPr="00152D86">
          <w:rPr>
            <w:rFonts w:ascii="Times New Roman" w:eastAsia="Calibri" w:hAnsi="Times New Roman" w:cs="Times New Roman"/>
            <w:color w:val="0563C1" w:themeColor="hyperlink"/>
            <w:sz w:val="24"/>
            <w:szCs w:val="24"/>
            <w:u w:val="single"/>
          </w:rPr>
          <w:t>https://www.slov-lex.sk/elegislativa/legislativne-procesy/SK/PI/2024/216</w:t>
        </w:r>
      </w:hyperlink>
      <w:r w:rsidRPr="00152D86">
        <w:rPr>
          <w:rFonts w:ascii="Times New Roman" w:eastAsia="Calibri" w:hAnsi="Times New Roman" w:cs="Times New Roman"/>
          <w:sz w:val="24"/>
          <w:szCs w:val="24"/>
        </w:rPr>
        <w:t>)</w:t>
      </w:r>
      <w:r>
        <w:rPr>
          <w:rFonts w:eastAsia="Calibri"/>
        </w:rPr>
        <w:t xml:space="preserve"> </w:t>
      </w:r>
      <w:r>
        <w:rPr>
          <w:rFonts w:ascii="Times New Roman" w:eastAsia="Calibri" w:hAnsi="Times New Roman" w:cs="Times New Roman"/>
          <w:bCs/>
          <w:iCs/>
          <w:sz w:val="24"/>
          <w:szCs w:val="24"/>
        </w:rPr>
        <w:t xml:space="preserve">s výzvou pre </w:t>
      </w:r>
      <w:r w:rsidRPr="00152D86">
        <w:rPr>
          <w:rFonts w:ascii="Times New Roman" w:eastAsia="Calibri" w:hAnsi="Times New Roman" w:cs="Times New Roman"/>
          <w:bCs/>
          <w:iCs/>
          <w:sz w:val="24"/>
          <w:szCs w:val="24"/>
        </w:rPr>
        <w:t xml:space="preserve">širokú verejnosť zasielať podnety a návrhy k návrhu zákona. Predkladateľovi boli doručené dva návrhy od subjektov v súvislosti so zapojením sa do procesu tvorby návrhu. Predkladateľ návrhy akceptoval a nadviazal spoluprácu s dotknutými subjektmi. V záujme zapojiť do procesu prípravy návrhu zákona od úvodných štádií relevantné subjekty dotknuté rozsahom pôsobnosti smernice pôsobiace na území SR predkladateľ iniciatívne oslovil aj ďalších zástupcov podnikateľov. </w:t>
      </w:r>
    </w:p>
    <w:p w14:paraId="1B08C505" w14:textId="77777777" w:rsidR="005B48FD" w:rsidRPr="00152D86" w:rsidRDefault="005B48FD" w:rsidP="005B48FD">
      <w:pPr>
        <w:spacing w:after="0"/>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 xml:space="preserve">Konzultácie sa uskutočnili písomnou formou, keď subjektom bolo umožnené pripomienkovať pracovnú verziu návrhu zákona. Podľa potreby sa uskutočnili aj telefonické konzultácie. Konzultácie prebiehali v rozsahu návrhu zákona, pričom sa zameriavali na zhromažďovanie pripomienok, informácií a postrehov od zainteresovaných strán s cieľom posúdiť účinnosť, efektívnosť, relevantnosť, súdržnosť a pridanú hodnotu navrhovaných opatrení. Spätná väzba od subjektov si nevyžiadala rozsiahlejšie diskusie. </w:t>
      </w:r>
      <w:r w:rsidRPr="00152D86">
        <w:rPr>
          <w:rFonts w:ascii="Times New Roman" w:eastAsia="Times New Roman" w:hAnsi="Times New Roman" w:cs="Times New Roman"/>
          <w:sz w:val="24"/>
          <w:szCs w:val="24"/>
          <w:lang w:eastAsia="sk-SK"/>
        </w:rPr>
        <w:t>Konzultačná činnosť umožnila zhromaždiť názory a pripomienky zainteresovaných strán, ktoré boli zohľadnené pri vypracovaní konečnej podoby návrhu zákona.</w:t>
      </w:r>
      <w:r w:rsidRPr="00152D86">
        <w:rPr>
          <w:rFonts w:ascii="Times New Roman" w:eastAsia="Calibri" w:hAnsi="Times New Roman" w:cs="Times New Roman"/>
          <w:bCs/>
          <w:iCs/>
          <w:sz w:val="24"/>
          <w:szCs w:val="24"/>
        </w:rPr>
        <w:t xml:space="preserve"> </w:t>
      </w:r>
    </w:p>
    <w:p w14:paraId="3A7B075D" w14:textId="77777777" w:rsidR="005B48FD" w:rsidRPr="00152D86" w:rsidRDefault="005B48FD" w:rsidP="005B48FD">
      <w:pPr>
        <w:spacing w:after="0"/>
        <w:jc w:val="both"/>
        <w:rPr>
          <w:rFonts w:ascii="Times New Roman" w:eastAsia="Calibri" w:hAnsi="Times New Roman" w:cs="Times New Roman"/>
          <w:i/>
          <w:sz w:val="24"/>
          <w:szCs w:val="24"/>
        </w:rPr>
      </w:pPr>
    </w:p>
    <w:p w14:paraId="1CD65D9E" w14:textId="77777777" w:rsidR="005B48FD" w:rsidRPr="00152D86" w:rsidRDefault="005B48FD" w:rsidP="005B48FD">
      <w:pPr>
        <w:jc w:val="both"/>
        <w:rPr>
          <w:rFonts w:ascii="Times New Roman" w:eastAsia="Calibri" w:hAnsi="Times New Roman" w:cs="Times New Roman"/>
          <w:b/>
          <w:sz w:val="24"/>
          <w:szCs w:val="24"/>
        </w:rPr>
      </w:pPr>
      <w:bookmarkStart w:id="1" w:name="_Hlk47698091"/>
      <w:r w:rsidRPr="00152D86">
        <w:rPr>
          <w:rFonts w:ascii="Times New Roman" w:eastAsia="Calibri" w:hAnsi="Times New Roman" w:cs="Times New Roman"/>
          <w:b/>
          <w:sz w:val="24"/>
          <w:szCs w:val="24"/>
        </w:rPr>
        <w:t>3.3 Vplyvy na konkurencieschopnosť a produktivitu</w:t>
      </w:r>
    </w:p>
    <w:bookmarkEnd w:id="1"/>
    <w:p w14:paraId="66D2404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Dochádza k vytvoreniu resp. k zmene bariér na trhu? </w:t>
      </w:r>
    </w:p>
    <w:p w14:paraId="2AF8C161"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152D86">
        <w:rPr>
          <w:rFonts w:ascii="Times New Roman" w:eastAsia="Calibri" w:hAnsi="Times New Roman" w:cs="Times New Roman"/>
          <w:i/>
          <w:sz w:val="24"/>
          <w:szCs w:val="24"/>
        </w:rPr>
        <w:t>mikro</w:t>
      </w:r>
      <w:proofErr w:type="spellEnd"/>
      <w:r w:rsidRPr="00152D86">
        <w:rPr>
          <w:rFonts w:ascii="Times New Roman" w:eastAsia="Calibri" w:hAnsi="Times New Roman" w:cs="Times New Roman"/>
          <w:i/>
          <w:sz w:val="24"/>
          <w:szCs w:val="24"/>
        </w:rPr>
        <w:t xml:space="preserve">, malé a stredné podniky tzv. MSP)? </w:t>
      </w:r>
    </w:p>
    <w:p w14:paraId="241F7B0F"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6C0B99A"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Ovplyvní dostupnosť základných zdrojov (financie, pracovná sila, suroviny, mechanizmy, energie atď.)? </w:t>
      </w:r>
    </w:p>
    <w:p w14:paraId="0A9D29E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Ovplyvňuje zmena regulácie inovácie, vedu a výskum?</w:t>
      </w:r>
    </w:p>
    <w:p w14:paraId="4A5D5E6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 bol identifikovaný </w:t>
      </w:r>
      <w:proofErr w:type="spellStart"/>
      <w:r w:rsidRPr="00152D86">
        <w:rPr>
          <w:rFonts w:ascii="Times New Roman" w:eastAsia="Calibri" w:hAnsi="Times New Roman" w:cs="Times New Roman"/>
          <w:i/>
          <w:sz w:val="24"/>
          <w:szCs w:val="24"/>
        </w:rPr>
        <w:t>goldplating</w:t>
      </w:r>
      <w:proofErr w:type="spellEnd"/>
      <w:r w:rsidRPr="00152D86">
        <w:rPr>
          <w:rFonts w:ascii="Times New Roman" w:eastAsia="Calibri" w:hAnsi="Times New Roman" w:cs="Times New Roman"/>
          <w:i/>
          <w:sz w:val="24"/>
          <w:szCs w:val="24"/>
        </w:rPr>
        <w:t>, prispieva k zníženiu konkurencieschopnosti a produktivity? Akým spôsobom?</w:t>
      </w:r>
    </w:p>
    <w:p w14:paraId="7AFB8D4D" w14:textId="77777777" w:rsidR="005B48FD" w:rsidRPr="00152D86" w:rsidRDefault="005B48FD" w:rsidP="005B48FD">
      <w:pPr>
        <w:spacing w:after="0"/>
        <w:jc w:val="both"/>
        <w:rPr>
          <w:rFonts w:ascii="Times New Roman" w:eastAsia="Calibri" w:hAnsi="Times New Roman" w:cs="Times New Roman"/>
          <w:i/>
          <w:iCs/>
          <w:sz w:val="24"/>
          <w:szCs w:val="24"/>
        </w:rPr>
      </w:pPr>
      <w:r w:rsidRPr="00152D86">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F68B4CB" w14:textId="77777777" w:rsidR="005B48FD" w:rsidRPr="00152D86" w:rsidRDefault="005B48FD" w:rsidP="005B48FD">
      <w:pPr>
        <w:spacing w:after="0"/>
        <w:jc w:val="both"/>
        <w:rPr>
          <w:rFonts w:ascii="Times New Roman" w:eastAsia="Calibri" w:hAnsi="Times New Roman" w:cs="Times New Roman"/>
          <w:i/>
          <w:iCs/>
          <w:sz w:val="24"/>
          <w:szCs w:val="24"/>
        </w:rPr>
      </w:pPr>
    </w:p>
    <w:p w14:paraId="0EEC7FEE" w14:textId="77777777" w:rsidR="005B48FD" w:rsidRPr="00152D86" w:rsidRDefault="005B48FD" w:rsidP="005B48FD">
      <w:pPr>
        <w:spacing w:after="0"/>
        <w:jc w:val="both"/>
        <w:rPr>
          <w:rFonts w:ascii="Times New Roman" w:eastAsia="Times New Roman" w:hAnsi="Times New Roman" w:cs="Times New Roman"/>
          <w:sz w:val="20"/>
          <w:szCs w:val="20"/>
          <w:lang w:eastAsia="sk-SK"/>
        </w:rPr>
      </w:pPr>
      <w:r w:rsidRPr="00152D86">
        <w:rPr>
          <w:rFonts w:ascii="Times New Roman" w:eastAsia="Calibri" w:hAnsi="Times New Roman" w:cs="Times New Roman"/>
          <w:sz w:val="24"/>
          <w:szCs w:val="24"/>
        </w:rPr>
        <w:t>Návrh zákona má prispieť k podpore hospodárskej súťaže, keďže navrhované zmeny môžu motivovať výrobcov a obchodníkov v záujme zvýšenia predajnosti k prijatiu opatrení, ktoré budú mať potenciál na zmiernenie negatívnych vplyvov produktov na životné prostredie</w:t>
      </w:r>
      <w:r w:rsidRPr="00152D86">
        <w:rPr>
          <w:rFonts w:ascii="Times New Roman" w:eastAsia="Times New Roman" w:hAnsi="Times New Roman" w:cs="Times New Roman"/>
          <w:sz w:val="20"/>
          <w:szCs w:val="20"/>
          <w:lang w:eastAsia="sk-SK"/>
        </w:rPr>
        <w:t xml:space="preserve">. </w:t>
      </w:r>
      <w:r w:rsidRPr="00152D86">
        <w:rPr>
          <w:rFonts w:ascii="Times New Roman" w:eastAsia="Calibri" w:hAnsi="Times New Roman" w:cs="Times New Roman"/>
          <w:sz w:val="24"/>
          <w:szCs w:val="24"/>
        </w:rPr>
        <w:t xml:space="preserve">Ako vyplýva zo zhodnotenia vplyvov Európskej komisie, na základe novej právnej úpravy možno očakávať zníženie jednostranných prekážok brániacich cezhraničnému obchodu, ktoré vyplývajú z jednostranných opatrení zavádzaných členskými štátmi EÚ. Prijatím návrhu sa stanovia pravidlá, ktoré majú za cieľ zabezpečiť správnosť a dôveryhodnosť tvrdení týkajúcich sa životného prostredia a zakázať určité praktiky týkajúce sa napr. tzv. </w:t>
      </w:r>
      <w:proofErr w:type="spellStart"/>
      <w:r w:rsidRPr="00152D86">
        <w:rPr>
          <w:rFonts w:ascii="Times New Roman" w:eastAsia="Calibri" w:hAnsi="Times New Roman" w:cs="Times New Roman"/>
          <w:sz w:val="24"/>
          <w:szCs w:val="24"/>
        </w:rPr>
        <w:t>greenwashingu</w:t>
      </w:r>
      <w:proofErr w:type="spellEnd"/>
      <w:r w:rsidRPr="00152D86">
        <w:rPr>
          <w:rFonts w:ascii="Times New Roman" w:eastAsia="Calibri" w:hAnsi="Times New Roman" w:cs="Times New Roman"/>
          <w:sz w:val="24"/>
          <w:szCs w:val="24"/>
        </w:rPr>
        <w:t xml:space="preserve">. K odstraňovaniu bariér na trhu by mal prispieť aj zákaz niektorých ďalších praktík spájaných napr. s predčasným a plánovaným zastarávaním tovarov. Zaviesť sa majú aj jednotné pravidlá zabezpečujúce transparentnosť a dôveryhodnosť značiek udržateľnosti. Navrhovaná právna úprava neovplyvní rozdielne zaobchádzanie s podnikmi v rovnakej situácii. Zmena regulácie nebude mať vplyv na cezhraničné investície, príliv/odliv zahraničných investícií, respektíve uplatnenie slovenských podnikov na zahraničných trhoch. Predmetný právny akt neovplyvní dostupnosť základných zdrojov a nebude mať ani priamy dosah na inovácie, vedu a výskum. </w:t>
      </w:r>
    </w:p>
    <w:p w14:paraId="21F47912" w14:textId="77777777" w:rsidR="005B48FD" w:rsidRPr="00152D86" w:rsidRDefault="005B48FD" w:rsidP="005B48FD">
      <w:pPr>
        <w:spacing w:after="0"/>
        <w:jc w:val="both"/>
        <w:rPr>
          <w:rFonts w:ascii="Times New Roman" w:eastAsia="Calibri" w:hAnsi="Times New Roman" w:cs="Times New Roman"/>
          <w:i/>
          <w:sz w:val="24"/>
          <w:szCs w:val="24"/>
        </w:rPr>
      </w:pPr>
    </w:p>
    <w:p w14:paraId="3AD57670" w14:textId="77777777" w:rsidR="005B48FD" w:rsidRPr="00152D86" w:rsidRDefault="005B48FD" w:rsidP="005B48FD">
      <w:pPr>
        <w:spacing w:after="0"/>
        <w:jc w:val="both"/>
        <w:rPr>
          <w:rFonts w:ascii="Times New Roman" w:eastAsia="Calibri" w:hAnsi="Times New Roman" w:cs="Times New Roman"/>
          <w:b/>
          <w:i/>
          <w:sz w:val="24"/>
          <w:szCs w:val="24"/>
        </w:rPr>
      </w:pPr>
      <w:r w:rsidRPr="00152D86">
        <w:rPr>
          <w:rFonts w:ascii="Times New Roman" w:eastAsia="Calibri" w:hAnsi="Times New Roman" w:cs="Times New Roman"/>
          <w:b/>
          <w:i/>
          <w:sz w:val="24"/>
          <w:szCs w:val="24"/>
        </w:rPr>
        <w:t>Konkurencieschopnosť:</w:t>
      </w:r>
    </w:p>
    <w:p w14:paraId="2A2D8ACB"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Na základe uvedených odpovedí zaškrtnite a popíšte, či materiál konkurencieschopnosť:</w:t>
      </w:r>
    </w:p>
    <w:p w14:paraId="30325B00" w14:textId="77777777" w:rsidR="005B48FD" w:rsidRPr="00152D86" w:rsidRDefault="005B48FD" w:rsidP="005B48F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sdt>
                <w:sdtPr>
                  <w:rPr>
                    <w:rFonts w:ascii="Times New Roman" w:eastAsia="Calibri" w:hAnsi="Times New Roman" w:cs="Times New Roman"/>
                    <w:i/>
                    <w:sz w:val="24"/>
                    <w:szCs w:val="24"/>
                  </w:rPr>
                  <w:id w:val="1614013921"/>
                </w:sdtPr>
                <w:sdtContent>
                  <w:sdt>
                    <w:sdtPr>
                      <w:rPr>
                        <w:rFonts w:ascii="Times New Roman" w:eastAsia="Calibri" w:hAnsi="Times New Roman" w:cs="Times New Roman"/>
                        <w:i/>
                        <w:sz w:val="24"/>
                        <w:szCs w:val="24"/>
                      </w:rPr>
                      <w:id w:val="1155718417"/>
                    </w:sdtPr>
                    <w:sdtContent>
                      <w:sdt>
                        <w:sdtPr>
                          <w:rPr>
                            <w:rFonts w:eastAsia="Calibri"/>
                            <w:i/>
                          </w:rPr>
                          <w:id w:val="1038170540"/>
                        </w:sdtPr>
                        <w:sdtContent>
                          <w:r w:rsidRPr="00152D86">
                            <w:rPr>
                              <w:rFonts w:ascii="Segoe UI Symbol" w:eastAsia="Calibri" w:hAnsi="Segoe UI Symbol" w:cs="Segoe UI Symbol"/>
                              <w:i/>
                            </w:rPr>
                            <w:t xml:space="preserve">X </w:t>
                          </w:r>
                        </w:sdtContent>
                      </w:sdt>
                    </w:sdtContent>
                  </w:sdt>
                </w:sdtContent>
              </w:sdt>
            </w:sdtContent>
          </w:sdt>
        </w:sdtContent>
      </w:sdt>
      <w:r w:rsidRPr="00152D86">
        <w:rPr>
          <w:rFonts w:ascii="Times New Roman" w:eastAsia="Calibri" w:hAnsi="Times New Roman" w:cs="Times New Roman"/>
          <w:i/>
          <w:sz w:val="24"/>
          <w:szCs w:val="24"/>
        </w:rPr>
        <w:t xml:space="preserve"> zvyšuje  </w:t>
      </w:r>
      <w:r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sdt>
                <w:sdtPr>
                  <w:rPr>
                    <w:rFonts w:eastAsia="Calibri"/>
                    <w:i/>
                  </w:rPr>
                  <w:id w:val="903952741"/>
                </w:sdtPr>
                <w:sdtContent>
                  <w:sdt>
                    <w:sdtPr>
                      <w:rPr>
                        <w:rFonts w:ascii="Times New Roman" w:eastAsia="Calibri" w:hAnsi="Times New Roman" w:cs="Times New Roman"/>
                        <w:i/>
                        <w:sz w:val="24"/>
                        <w:szCs w:val="24"/>
                      </w:rPr>
                      <w:id w:val="1172218528"/>
                    </w:sdtPr>
                    <w:sdtContent>
                      <w:r w:rsidRPr="00152D86">
                        <w:rPr>
                          <w:rFonts w:ascii="Segoe UI Symbol" w:eastAsia="Calibri" w:hAnsi="Segoe UI Symbol" w:cs="Segoe UI Symbol"/>
                          <w:i/>
                          <w:sz w:val="24"/>
                          <w:szCs w:val="24"/>
                        </w:rPr>
                        <w:t>☐</w:t>
                      </w:r>
                    </w:sdtContent>
                  </w:sdt>
                </w:sdtContent>
              </w:sdt>
            </w:sdtContent>
          </w:sdt>
        </w:sdtContent>
      </w:sdt>
      <w:r w:rsidRPr="00152D86">
        <w:rPr>
          <w:rFonts w:ascii="Times New Roman" w:eastAsia="Calibri" w:hAnsi="Times New Roman" w:cs="Times New Roman"/>
          <w:i/>
          <w:sz w:val="24"/>
          <w:szCs w:val="24"/>
        </w:rPr>
        <w:t xml:space="preserve"> nemení</w:t>
      </w:r>
      <w:r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Pr="00152D86">
                <w:rPr>
                  <w:rFonts w:ascii="Segoe UI Symbol" w:eastAsia="Calibri" w:hAnsi="Segoe UI Symbol" w:cs="Segoe UI Symbol"/>
                  <w:i/>
                  <w:sz w:val="24"/>
                  <w:szCs w:val="24"/>
                </w:rPr>
                <w:t>☐</w:t>
              </w:r>
            </w:sdtContent>
          </w:sdt>
        </w:sdtContent>
      </w:sdt>
      <w:r w:rsidRPr="00152D86">
        <w:rPr>
          <w:rFonts w:ascii="Times New Roman" w:eastAsia="Calibri" w:hAnsi="Times New Roman" w:cs="Times New Roman"/>
          <w:i/>
          <w:sz w:val="24"/>
          <w:szCs w:val="24"/>
        </w:rPr>
        <w:t xml:space="preserve"> znižuje</w:t>
      </w:r>
    </w:p>
    <w:p w14:paraId="16D9CCE5" w14:textId="77777777" w:rsidR="005B48FD" w:rsidRPr="00152D86" w:rsidRDefault="005B48FD" w:rsidP="005B48FD">
      <w:pPr>
        <w:spacing w:after="0"/>
        <w:jc w:val="both"/>
        <w:rPr>
          <w:rFonts w:ascii="Times New Roman" w:eastAsia="Calibri" w:hAnsi="Times New Roman" w:cs="Times New Roman"/>
          <w:i/>
          <w:sz w:val="24"/>
          <w:szCs w:val="24"/>
        </w:rPr>
      </w:pPr>
    </w:p>
    <w:p w14:paraId="3C962204" w14:textId="77777777" w:rsidR="005B48FD" w:rsidRPr="00152D86" w:rsidRDefault="005B48FD" w:rsidP="005B48FD">
      <w:pPr>
        <w:spacing w:after="0"/>
        <w:jc w:val="both"/>
        <w:rPr>
          <w:rFonts w:ascii="Times New Roman" w:eastAsia="Calibri" w:hAnsi="Times New Roman" w:cs="Times New Roman"/>
          <w:b/>
          <w:i/>
          <w:sz w:val="24"/>
          <w:szCs w:val="24"/>
        </w:rPr>
      </w:pPr>
      <w:r w:rsidRPr="00152D86">
        <w:rPr>
          <w:rFonts w:ascii="Times New Roman" w:eastAsia="Calibri" w:hAnsi="Times New Roman" w:cs="Times New Roman"/>
          <w:b/>
          <w:i/>
          <w:sz w:val="24"/>
          <w:szCs w:val="24"/>
        </w:rPr>
        <w:t>Produktivita:</w:t>
      </w:r>
    </w:p>
    <w:p w14:paraId="66A3CF7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Aký má materiál vplyv na zmenu pomeru medzi produkciou podnikov a ich nákladmi? </w:t>
      </w:r>
    </w:p>
    <w:p w14:paraId="355AE42B" w14:textId="77777777" w:rsidR="005B48FD" w:rsidRPr="00152D86" w:rsidRDefault="005B48FD" w:rsidP="005B48FD">
      <w:pPr>
        <w:spacing w:after="0"/>
        <w:jc w:val="both"/>
        <w:rPr>
          <w:rFonts w:ascii="Times New Roman" w:eastAsia="Calibri" w:hAnsi="Times New Roman" w:cs="Times New Roman"/>
          <w:i/>
          <w:sz w:val="24"/>
          <w:szCs w:val="24"/>
        </w:rPr>
      </w:pPr>
    </w:p>
    <w:p w14:paraId="7AF01A96"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Na základe uvedenej odpovede zaškrtnite a popíšte, či materiál produktivitu:</w:t>
      </w:r>
    </w:p>
    <w:p w14:paraId="6838EBF1" w14:textId="77777777" w:rsidR="005B48FD" w:rsidRPr="00152D86" w:rsidRDefault="005B48FD" w:rsidP="005B48F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Pr="00152D86">
                <w:rPr>
                  <w:rFonts w:ascii="Segoe UI Symbol" w:eastAsia="Calibri" w:hAnsi="Segoe UI Symbol" w:cs="Segoe UI Symbol"/>
                  <w:i/>
                  <w:sz w:val="24"/>
                  <w:szCs w:val="24"/>
                </w:rPr>
                <w:t>☐</w:t>
              </w:r>
            </w:sdtContent>
          </w:sdt>
        </w:sdtContent>
      </w:sdt>
      <w:r w:rsidRPr="00152D86">
        <w:rPr>
          <w:rFonts w:ascii="Times New Roman" w:eastAsia="Calibri" w:hAnsi="Times New Roman" w:cs="Times New Roman"/>
          <w:i/>
          <w:sz w:val="24"/>
          <w:szCs w:val="24"/>
        </w:rPr>
        <w:t xml:space="preserve"> zvyšuje  </w:t>
      </w:r>
      <w:r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sdt>
                <w:sdtPr>
                  <w:rPr>
                    <w:rFonts w:eastAsia="Calibri"/>
                    <w:i/>
                  </w:rPr>
                  <w:id w:val="-227534485"/>
                </w:sdtPr>
                <w:sdtContent>
                  <w:r w:rsidRPr="00152D86">
                    <w:rPr>
                      <w:rFonts w:ascii="Segoe UI Symbol" w:eastAsia="Calibri" w:hAnsi="Segoe UI Symbol" w:cs="Segoe UI Symbol"/>
                      <w:i/>
                    </w:rPr>
                    <w:t xml:space="preserve">X </w:t>
                  </w:r>
                </w:sdtContent>
              </w:sdt>
            </w:sdtContent>
          </w:sdt>
        </w:sdtContent>
      </w:sdt>
      <w:r w:rsidRPr="00152D86">
        <w:rPr>
          <w:rFonts w:ascii="Times New Roman" w:eastAsia="Calibri" w:hAnsi="Times New Roman" w:cs="Times New Roman"/>
          <w:i/>
          <w:sz w:val="24"/>
          <w:szCs w:val="24"/>
        </w:rPr>
        <w:t xml:space="preserve"> nemení</w:t>
      </w:r>
      <w:r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Pr="00152D86">
                <w:rPr>
                  <w:rFonts w:ascii="Segoe UI Symbol" w:eastAsia="Calibri" w:hAnsi="Segoe UI Symbol" w:cs="Segoe UI Symbol"/>
                  <w:i/>
                  <w:sz w:val="24"/>
                  <w:szCs w:val="24"/>
                </w:rPr>
                <w:t>☐</w:t>
              </w:r>
            </w:sdtContent>
          </w:sdt>
        </w:sdtContent>
      </w:sdt>
      <w:r w:rsidRPr="00152D86">
        <w:rPr>
          <w:rFonts w:ascii="Times New Roman" w:eastAsia="Calibri" w:hAnsi="Times New Roman" w:cs="Times New Roman"/>
          <w:i/>
          <w:sz w:val="24"/>
          <w:szCs w:val="24"/>
        </w:rPr>
        <w:t xml:space="preserve"> znižuje</w:t>
      </w:r>
    </w:p>
    <w:p w14:paraId="6AC07BB4" w14:textId="77777777" w:rsidR="005B48FD" w:rsidRPr="00152D86" w:rsidRDefault="005B48FD" w:rsidP="005B48FD">
      <w:pPr>
        <w:spacing w:after="0"/>
        <w:jc w:val="both"/>
        <w:rPr>
          <w:rFonts w:ascii="Times New Roman" w:eastAsia="Calibri" w:hAnsi="Times New Roman" w:cs="Times New Roman"/>
          <w:i/>
          <w:sz w:val="24"/>
          <w:szCs w:val="24"/>
        </w:rPr>
      </w:pPr>
    </w:p>
    <w:p w14:paraId="75568B98"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 xml:space="preserve">3.4  Iné vplyvy na podnikateľské prostredie </w:t>
      </w:r>
    </w:p>
    <w:p w14:paraId="143632F1"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7E4D109A"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vplyvy súvisiace so žiadosťami o alebo prijímaním dotácií, fondov, štátnej pomoci a čerpaním iných obdobných foriem podpory zo strany štátu, keďže sú sprievodným javom uchádzania sa či získania benefitov, na ktoré nie je právny nárok priamo </w:t>
      </w:r>
      <w:r>
        <w:rPr>
          <w:rFonts w:ascii="Times New Roman" w:eastAsia="Calibri" w:hAnsi="Times New Roman" w:cs="Times New Roman"/>
          <w:i/>
          <w:sz w:val="24"/>
          <w:szCs w:val="24"/>
        </w:rPr>
        <w:br/>
      </w:r>
      <w:r w:rsidRPr="00152D86">
        <w:rPr>
          <w:rFonts w:ascii="Times New Roman" w:eastAsia="Calibri" w:hAnsi="Times New Roman" w:cs="Times New Roman"/>
          <w:i/>
          <w:sz w:val="24"/>
          <w:szCs w:val="24"/>
        </w:rPr>
        <w:t>zo zákona, ale vzniká na základe prejavu vôle dotknutého subjektu;</w:t>
      </w:r>
    </w:p>
    <w:p w14:paraId="6D82E7F7"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regulované ceny podľa zákona č. 18/1996 Z. z. o cenách;</w:t>
      </w:r>
    </w:p>
    <w:p w14:paraId="5209F108"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iné vplyvy, ktoré predpokladá materiál, ale nemožno ich zaradiť do častí 3.1 a 3.3.,</w:t>
      </w:r>
    </w:p>
    <w:p w14:paraId="627094F3"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iné vplyvy podľa písm. a) až c), ktoré sú </w:t>
      </w:r>
      <w:proofErr w:type="spellStart"/>
      <w:r w:rsidRPr="00152D86">
        <w:rPr>
          <w:rFonts w:ascii="Times New Roman" w:eastAsia="Calibri" w:hAnsi="Times New Roman" w:cs="Times New Roman"/>
          <w:i/>
          <w:sz w:val="24"/>
          <w:szCs w:val="24"/>
        </w:rPr>
        <w:t>goldplatingom</w:t>
      </w:r>
      <w:proofErr w:type="spellEnd"/>
      <w:r w:rsidRPr="00152D86">
        <w:rPr>
          <w:rFonts w:ascii="Times New Roman" w:eastAsia="Calibri" w:hAnsi="Times New Roman" w:cs="Times New Roman"/>
          <w:i/>
          <w:sz w:val="24"/>
          <w:szCs w:val="24"/>
        </w:rPr>
        <w:t>.</w:t>
      </w:r>
    </w:p>
    <w:p w14:paraId="140F0E57" w14:textId="77777777" w:rsidR="005B48FD" w:rsidRPr="00152D86" w:rsidRDefault="005B48FD" w:rsidP="005B48FD">
      <w:pPr>
        <w:spacing w:after="0" w:line="240" w:lineRule="auto"/>
        <w:jc w:val="center"/>
        <w:rPr>
          <w:rFonts w:ascii="Times New Roman" w:eastAsia="Times New Roman" w:hAnsi="Times New Roman" w:cs="Times New Roman"/>
          <w:b/>
          <w:sz w:val="24"/>
          <w:szCs w:val="24"/>
          <w:lang w:eastAsia="sk-SK"/>
        </w:rPr>
      </w:pPr>
    </w:p>
    <w:p w14:paraId="20A5CDD7" w14:textId="77777777" w:rsidR="005B48FD" w:rsidRPr="00152D86" w:rsidRDefault="005B48FD" w:rsidP="005B48FD">
      <w:pPr>
        <w:spacing w:after="0" w:line="240" w:lineRule="auto"/>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Sankcie za porušenie nových povinností podľa návrhu zákona</w:t>
      </w:r>
    </w:p>
    <w:p w14:paraId="13D6675B"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Sankcie za porušenie nových povinností zavádzaných návrhom zákona nie je možné kvantifikovať. Ide o povinnosti, ktoré je možné rozčleniť do troch kategórií: a) nové informačné povinnosti, b) nové nekalé obchodné praktiky a c) úplne nový typ povinností (napr. povinnosť vykonať opravu). Predkladateľ má za to, že pri kvantifikácii tohto vplyvu nie je možné použiť metódu pripodobňovania pokút a odhadnúť, akým spôsobom sa dotkne porušenie povinností podnikateľského prostredia, a to z nasledujúcich dôvodov.</w:t>
      </w:r>
    </w:p>
    <w:p w14:paraId="2347D505"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15C3D4D2" w14:textId="3DCA4194"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Povinnosti v rámci prvých dvoch kategórií sa spravidla nesankcionujú samostatne, ale spolu s inými porušeniami v oblasti ochrany spotrebiteľa podľa pravidiel ukladania úhrnnej pokuty. Štatistické výstupy z činnosti orgánov dohľadu sú preto skresľujúce, nepresné, nemožno z nich vyfiltrovať presnejšie dáta len za porušenie vybraných povinností. Povinnosti v rámci tretej kategórie sú nové pre podnikateľské prostredie a neboli identifikované vhodné povinnosti na pripodobnenie, ku ktorým by boli dostupné dáta na pripodobnenie.</w:t>
      </w:r>
    </w:p>
    <w:p w14:paraId="1342A44F"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14C83204" w14:textId="0945C67D"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Ďalším dôvodom je nová právna úprava sankcionovania na základe obratu dohliadanej osoby v oblasti ochrany spotrebiteľa. Nová práva úprava zavedená v prvej polovici roku 2024 zásadne zmenila spôsob ukladania sankcií a bude sa aplikovať aj na ukladanie sankcií za porušenie nových povinností. Vzhľadom na krátku dobu účinnosti v súčasnosti nie sú ešte dostupné dáta, ktoré by boli relevantné pre pripodobnenie v zmysle nových pravidiel sankcionovania.</w:t>
      </w:r>
    </w:p>
    <w:p w14:paraId="54DC5385"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5F337FFE" w14:textId="0DF1A9F5"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Pre nové povinnosti budú zároveň platiť inštitúty druhej šance, ktoré boli zavedené v oblasti ochrany spotrebiteľa zákonom č. 108/2024 Z. z. o ochrane spotrebiteľa a o zmene a doplnení niektorých zákonov.</w:t>
      </w:r>
    </w:p>
    <w:p w14:paraId="0B11DF85" w14:textId="77777777" w:rsidR="004D6DA8" w:rsidRPr="00152D86" w:rsidRDefault="004D6DA8" w:rsidP="005B48FD">
      <w:pPr>
        <w:spacing w:after="0" w:line="240" w:lineRule="auto"/>
        <w:jc w:val="both"/>
        <w:rPr>
          <w:rFonts w:ascii="Times New Roman" w:eastAsia="Calibri" w:hAnsi="Times New Roman" w:cs="Times New Roman"/>
          <w:bCs/>
          <w:iCs/>
          <w:color w:val="000000"/>
          <w:sz w:val="24"/>
          <w:szCs w:val="24"/>
        </w:rPr>
      </w:pPr>
      <w:bookmarkStart w:id="2" w:name="_GoBack"/>
      <w:bookmarkEnd w:id="2"/>
    </w:p>
    <w:p w14:paraId="55C22A7C" w14:textId="39DA97F4" w:rsidR="005B48FD" w:rsidRDefault="005B48FD" w:rsidP="005B48FD">
      <w:pPr>
        <w:spacing w:after="0" w:line="25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object w:dxaOrig="1508" w:dyaOrig="984" w14:anchorId="40F20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pt;height:49pt" o:ole="">
            <v:imagedata r:id="rId21" o:title=""/>
          </v:shape>
          <o:OLEObject Type="Embed" ProgID="Excel.Sheet.12" ShapeID="_x0000_i1030" DrawAspect="Icon" ObjectID="_1797767592" r:id="rId22"/>
        </w:object>
      </w:r>
    </w:p>
    <w:p w14:paraId="424DBDFC" w14:textId="77777777" w:rsidR="00B21D1F" w:rsidRPr="005B48FD" w:rsidRDefault="00B21D1F" w:rsidP="005B48FD"/>
    <w:sectPr w:rsidR="00B21D1F" w:rsidRPr="005B48FD" w:rsidSect="00231B8F">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39A6" w14:textId="77777777" w:rsidR="00DD7B7A" w:rsidRDefault="00DD7B7A" w:rsidP="00054C41">
      <w:pPr>
        <w:spacing w:after="0" w:line="240" w:lineRule="auto"/>
      </w:pPr>
      <w:r>
        <w:separator/>
      </w:r>
    </w:p>
  </w:endnote>
  <w:endnote w:type="continuationSeparator" w:id="0">
    <w:p w14:paraId="74D8AEF6" w14:textId="77777777" w:rsidR="00DD7B7A" w:rsidRDefault="00DD7B7A"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062C1055" w:rsidR="00DD7B7A" w:rsidRPr="006045CB" w:rsidRDefault="00DD7B7A"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D6DA8">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14:paraId="4556761F" w14:textId="77777777" w:rsidR="00DD7B7A" w:rsidRPr="00FF7125" w:rsidRDefault="00DD7B7A" w:rsidP="00054C41">
    <w:pPr>
      <w:pStyle w:val="Pta"/>
      <w:rPr>
        <w:sz w:val="24"/>
        <w:szCs w:val="24"/>
      </w:rPr>
    </w:pPr>
  </w:p>
  <w:p w14:paraId="20FE6A4A" w14:textId="77777777" w:rsidR="00DD7B7A" w:rsidRDefault="00DD7B7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6848" w14:textId="77777777" w:rsidR="00DD7B7A" w:rsidRDefault="00DD7B7A" w:rsidP="00054C41">
      <w:pPr>
        <w:spacing w:after="0" w:line="240" w:lineRule="auto"/>
      </w:pPr>
      <w:r>
        <w:separator/>
      </w:r>
    </w:p>
  </w:footnote>
  <w:footnote w:type="continuationSeparator" w:id="0">
    <w:p w14:paraId="3FA849B6" w14:textId="77777777" w:rsidR="00DD7B7A" w:rsidRDefault="00DD7B7A" w:rsidP="00054C41">
      <w:pPr>
        <w:spacing w:after="0" w:line="240" w:lineRule="auto"/>
      </w:pPr>
      <w:r>
        <w:continuationSeparator/>
      </w:r>
    </w:p>
  </w:footnote>
  <w:footnote w:id="1">
    <w:p w14:paraId="14E4B084" w14:textId="77777777" w:rsidR="005B48FD" w:rsidRPr="000A6B7F" w:rsidRDefault="005B48FD" w:rsidP="005B48F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245466C9" w14:textId="77777777" w:rsidR="005B48FD" w:rsidRPr="00804BC8" w:rsidRDefault="005B48FD" w:rsidP="005B48F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4F7F4A6" w14:textId="77777777" w:rsidR="005B48FD" w:rsidRDefault="005B48FD" w:rsidP="005B48FD">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DD7B7A" w:rsidRPr="006045CB" w:rsidRDefault="00DD7B7A"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DD7B7A" w:rsidRPr="006045CB" w:rsidRDefault="00DD7B7A"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29D8"/>
    <w:rsid w:val="00005FB7"/>
    <w:rsid w:val="000133C3"/>
    <w:rsid w:val="0001650C"/>
    <w:rsid w:val="0002425A"/>
    <w:rsid w:val="00024EE4"/>
    <w:rsid w:val="00030D73"/>
    <w:rsid w:val="000440D0"/>
    <w:rsid w:val="000457A9"/>
    <w:rsid w:val="00047C70"/>
    <w:rsid w:val="00050AAB"/>
    <w:rsid w:val="00054A53"/>
    <w:rsid w:val="00054C41"/>
    <w:rsid w:val="00060DA1"/>
    <w:rsid w:val="00061E85"/>
    <w:rsid w:val="00067FE6"/>
    <w:rsid w:val="000820E0"/>
    <w:rsid w:val="00091A43"/>
    <w:rsid w:val="0009490E"/>
    <w:rsid w:val="000A6B7F"/>
    <w:rsid w:val="000B3855"/>
    <w:rsid w:val="000C5419"/>
    <w:rsid w:val="000C5E9A"/>
    <w:rsid w:val="000C763D"/>
    <w:rsid w:val="000C7CF5"/>
    <w:rsid w:val="000D15F0"/>
    <w:rsid w:val="000E3101"/>
    <w:rsid w:val="0011003B"/>
    <w:rsid w:val="00110075"/>
    <w:rsid w:val="001133DA"/>
    <w:rsid w:val="0012356F"/>
    <w:rsid w:val="00126822"/>
    <w:rsid w:val="00126A2B"/>
    <w:rsid w:val="00142154"/>
    <w:rsid w:val="001476A4"/>
    <w:rsid w:val="001501CF"/>
    <w:rsid w:val="00152633"/>
    <w:rsid w:val="00154B14"/>
    <w:rsid w:val="00162C6C"/>
    <w:rsid w:val="0016425A"/>
    <w:rsid w:val="0016512E"/>
    <w:rsid w:val="001751B4"/>
    <w:rsid w:val="00183CF1"/>
    <w:rsid w:val="001850B6"/>
    <w:rsid w:val="0018715C"/>
    <w:rsid w:val="00195FF2"/>
    <w:rsid w:val="001A1561"/>
    <w:rsid w:val="001A3635"/>
    <w:rsid w:val="001A7026"/>
    <w:rsid w:val="001B2323"/>
    <w:rsid w:val="001B4C03"/>
    <w:rsid w:val="001C7B91"/>
    <w:rsid w:val="001D08E7"/>
    <w:rsid w:val="001D1083"/>
    <w:rsid w:val="001D3FA0"/>
    <w:rsid w:val="001D6ECA"/>
    <w:rsid w:val="001E24E8"/>
    <w:rsid w:val="001E28C9"/>
    <w:rsid w:val="001E53CB"/>
    <w:rsid w:val="001E6CDA"/>
    <w:rsid w:val="001F2DB7"/>
    <w:rsid w:val="001F46CF"/>
    <w:rsid w:val="00203CF6"/>
    <w:rsid w:val="00207F43"/>
    <w:rsid w:val="002118F9"/>
    <w:rsid w:val="002126FE"/>
    <w:rsid w:val="00215E0B"/>
    <w:rsid w:val="00215E86"/>
    <w:rsid w:val="002230F0"/>
    <w:rsid w:val="002232D3"/>
    <w:rsid w:val="00225A83"/>
    <w:rsid w:val="00226F99"/>
    <w:rsid w:val="00231B8F"/>
    <w:rsid w:val="00237308"/>
    <w:rsid w:val="00243967"/>
    <w:rsid w:val="002468F6"/>
    <w:rsid w:val="002629D7"/>
    <w:rsid w:val="00264CD0"/>
    <w:rsid w:val="00270EA5"/>
    <w:rsid w:val="002712B9"/>
    <w:rsid w:val="002818F4"/>
    <w:rsid w:val="00284B8C"/>
    <w:rsid w:val="00284F38"/>
    <w:rsid w:val="00285ACA"/>
    <w:rsid w:val="0029483F"/>
    <w:rsid w:val="002A3143"/>
    <w:rsid w:val="002A65E2"/>
    <w:rsid w:val="002B0F2A"/>
    <w:rsid w:val="002B30FD"/>
    <w:rsid w:val="002B7D03"/>
    <w:rsid w:val="002C0F45"/>
    <w:rsid w:val="002C2FC0"/>
    <w:rsid w:val="002D32F2"/>
    <w:rsid w:val="002E0FF7"/>
    <w:rsid w:val="002E1579"/>
    <w:rsid w:val="002E23F2"/>
    <w:rsid w:val="002F74BF"/>
    <w:rsid w:val="00302A17"/>
    <w:rsid w:val="00311C97"/>
    <w:rsid w:val="00314D25"/>
    <w:rsid w:val="00315BE2"/>
    <w:rsid w:val="00322B36"/>
    <w:rsid w:val="00327CCD"/>
    <w:rsid w:val="003322EE"/>
    <w:rsid w:val="00337630"/>
    <w:rsid w:val="00340CFD"/>
    <w:rsid w:val="003413D5"/>
    <w:rsid w:val="00342621"/>
    <w:rsid w:val="00357F22"/>
    <w:rsid w:val="0036730F"/>
    <w:rsid w:val="0036748D"/>
    <w:rsid w:val="00376039"/>
    <w:rsid w:val="003814E0"/>
    <w:rsid w:val="0038255E"/>
    <w:rsid w:val="00385C51"/>
    <w:rsid w:val="003905B1"/>
    <w:rsid w:val="00391648"/>
    <w:rsid w:val="0039304E"/>
    <w:rsid w:val="0039334E"/>
    <w:rsid w:val="00394AD2"/>
    <w:rsid w:val="003A02AF"/>
    <w:rsid w:val="003A3124"/>
    <w:rsid w:val="003A686F"/>
    <w:rsid w:val="003D3439"/>
    <w:rsid w:val="003D3AA9"/>
    <w:rsid w:val="003E2B2A"/>
    <w:rsid w:val="003E3C43"/>
    <w:rsid w:val="003E5369"/>
    <w:rsid w:val="003E58B8"/>
    <w:rsid w:val="003E68C2"/>
    <w:rsid w:val="003F06D7"/>
    <w:rsid w:val="00400224"/>
    <w:rsid w:val="00400BA5"/>
    <w:rsid w:val="00403D7E"/>
    <w:rsid w:val="00410E62"/>
    <w:rsid w:val="00412481"/>
    <w:rsid w:val="00414FA7"/>
    <w:rsid w:val="00420090"/>
    <w:rsid w:val="00421857"/>
    <w:rsid w:val="004239D1"/>
    <w:rsid w:val="004321B6"/>
    <w:rsid w:val="0043252D"/>
    <w:rsid w:val="0043589C"/>
    <w:rsid w:val="00436AB1"/>
    <w:rsid w:val="00445638"/>
    <w:rsid w:val="00446432"/>
    <w:rsid w:val="00446512"/>
    <w:rsid w:val="00456936"/>
    <w:rsid w:val="004630B4"/>
    <w:rsid w:val="00466682"/>
    <w:rsid w:val="00466D7A"/>
    <w:rsid w:val="004743F9"/>
    <w:rsid w:val="004822B0"/>
    <w:rsid w:val="0048237B"/>
    <w:rsid w:val="0048285B"/>
    <w:rsid w:val="00484D16"/>
    <w:rsid w:val="00485D27"/>
    <w:rsid w:val="004900BB"/>
    <w:rsid w:val="00491853"/>
    <w:rsid w:val="00493770"/>
    <w:rsid w:val="004A14CD"/>
    <w:rsid w:val="004A2C6B"/>
    <w:rsid w:val="004B7D44"/>
    <w:rsid w:val="004D20CB"/>
    <w:rsid w:val="004D65B2"/>
    <w:rsid w:val="004D681D"/>
    <w:rsid w:val="004D6DA8"/>
    <w:rsid w:val="004E2324"/>
    <w:rsid w:val="004E29A4"/>
    <w:rsid w:val="004F3B63"/>
    <w:rsid w:val="004F63E6"/>
    <w:rsid w:val="004F7CD5"/>
    <w:rsid w:val="0050077D"/>
    <w:rsid w:val="005018AB"/>
    <w:rsid w:val="00503D7B"/>
    <w:rsid w:val="005103DA"/>
    <w:rsid w:val="00511F8F"/>
    <w:rsid w:val="00512BA7"/>
    <w:rsid w:val="00513F3A"/>
    <w:rsid w:val="00515726"/>
    <w:rsid w:val="00522726"/>
    <w:rsid w:val="0052486D"/>
    <w:rsid w:val="00531718"/>
    <w:rsid w:val="00545291"/>
    <w:rsid w:val="00547B88"/>
    <w:rsid w:val="00562527"/>
    <w:rsid w:val="00562A1E"/>
    <w:rsid w:val="00563427"/>
    <w:rsid w:val="00581EB9"/>
    <w:rsid w:val="00583F55"/>
    <w:rsid w:val="00593603"/>
    <w:rsid w:val="005957AD"/>
    <w:rsid w:val="00597145"/>
    <w:rsid w:val="005A304E"/>
    <w:rsid w:val="005A362E"/>
    <w:rsid w:val="005B48FD"/>
    <w:rsid w:val="005B4E6E"/>
    <w:rsid w:val="005B56E4"/>
    <w:rsid w:val="005C795C"/>
    <w:rsid w:val="005D07EC"/>
    <w:rsid w:val="005D0E50"/>
    <w:rsid w:val="005D39D8"/>
    <w:rsid w:val="005D7CE6"/>
    <w:rsid w:val="005F6CF2"/>
    <w:rsid w:val="0061097B"/>
    <w:rsid w:val="0061612F"/>
    <w:rsid w:val="006177C8"/>
    <w:rsid w:val="00624733"/>
    <w:rsid w:val="0062600A"/>
    <w:rsid w:val="00634167"/>
    <w:rsid w:val="00636EEB"/>
    <w:rsid w:val="0063777D"/>
    <w:rsid w:val="00643358"/>
    <w:rsid w:val="00646084"/>
    <w:rsid w:val="006564C3"/>
    <w:rsid w:val="006578CB"/>
    <w:rsid w:val="00662F2B"/>
    <w:rsid w:val="00681CFD"/>
    <w:rsid w:val="00692956"/>
    <w:rsid w:val="006A4E85"/>
    <w:rsid w:val="006A60C0"/>
    <w:rsid w:val="006A687E"/>
    <w:rsid w:val="006A712F"/>
    <w:rsid w:val="006A7492"/>
    <w:rsid w:val="006B5D74"/>
    <w:rsid w:val="006C25BE"/>
    <w:rsid w:val="006C286F"/>
    <w:rsid w:val="006C36D6"/>
    <w:rsid w:val="006C479B"/>
    <w:rsid w:val="006D7342"/>
    <w:rsid w:val="006D7AD8"/>
    <w:rsid w:val="006F1D57"/>
    <w:rsid w:val="006F60EB"/>
    <w:rsid w:val="0070364C"/>
    <w:rsid w:val="007064E2"/>
    <w:rsid w:val="00710EDF"/>
    <w:rsid w:val="00711B92"/>
    <w:rsid w:val="0072221D"/>
    <w:rsid w:val="0072357C"/>
    <w:rsid w:val="007259CB"/>
    <w:rsid w:val="00726031"/>
    <w:rsid w:val="00741413"/>
    <w:rsid w:val="00743FCF"/>
    <w:rsid w:val="00751DA9"/>
    <w:rsid w:val="00755E69"/>
    <w:rsid w:val="007618D3"/>
    <w:rsid w:val="007648EE"/>
    <w:rsid w:val="00766788"/>
    <w:rsid w:val="0077106D"/>
    <w:rsid w:val="00780ACC"/>
    <w:rsid w:val="00787A11"/>
    <w:rsid w:val="007947F1"/>
    <w:rsid w:val="00797B40"/>
    <w:rsid w:val="007A0C9D"/>
    <w:rsid w:val="007B40FB"/>
    <w:rsid w:val="007B4D91"/>
    <w:rsid w:val="007B62AF"/>
    <w:rsid w:val="007C3B72"/>
    <w:rsid w:val="007C4BB7"/>
    <w:rsid w:val="007C5FFF"/>
    <w:rsid w:val="007D1AD1"/>
    <w:rsid w:val="007E1856"/>
    <w:rsid w:val="007E24B2"/>
    <w:rsid w:val="007E2DA4"/>
    <w:rsid w:val="007E6815"/>
    <w:rsid w:val="007E7632"/>
    <w:rsid w:val="007F1C84"/>
    <w:rsid w:val="007F4579"/>
    <w:rsid w:val="00801596"/>
    <w:rsid w:val="00802042"/>
    <w:rsid w:val="00804BC8"/>
    <w:rsid w:val="00806B8F"/>
    <w:rsid w:val="00806E23"/>
    <w:rsid w:val="008075BF"/>
    <w:rsid w:val="00807981"/>
    <w:rsid w:val="008135F3"/>
    <w:rsid w:val="00816332"/>
    <w:rsid w:val="00822848"/>
    <w:rsid w:val="00823056"/>
    <w:rsid w:val="00823F5A"/>
    <w:rsid w:val="00830CE8"/>
    <w:rsid w:val="00836ED1"/>
    <w:rsid w:val="008414BA"/>
    <w:rsid w:val="00845D3B"/>
    <w:rsid w:val="00856B67"/>
    <w:rsid w:val="008634E9"/>
    <w:rsid w:val="00871ADD"/>
    <w:rsid w:val="00875E9C"/>
    <w:rsid w:val="008801B5"/>
    <w:rsid w:val="00880578"/>
    <w:rsid w:val="00881043"/>
    <w:rsid w:val="00882407"/>
    <w:rsid w:val="00885919"/>
    <w:rsid w:val="008920C3"/>
    <w:rsid w:val="00894052"/>
    <w:rsid w:val="008A2C90"/>
    <w:rsid w:val="008A3E7A"/>
    <w:rsid w:val="008A7B87"/>
    <w:rsid w:val="008B0531"/>
    <w:rsid w:val="008B4AA1"/>
    <w:rsid w:val="008C1C71"/>
    <w:rsid w:val="008D52D0"/>
    <w:rsid w:val="008D6335"/>
    <w:rsid w:val="008E1AD0"/>
    <w:rsid w:val="008E2392"/>
    <w:rsid w:val="008E315F"/>
    <w:rsid w:val="008E6B82"/>
    <w:rsid w:val="008F1060"/>
    <w:rsid w:val="008F6ADE"/>
    <w:rsid w:val="008F7571"/>
    <w:rsid w:val="008F7ACC"/>
    <w:rsid w:val="009010B7"/>
    <w:rsid w:val="009013AD"/>
    <w:rsid w:val="00907089"/>
    <w:rsid w:val="00911AA5"/>
    <w:rsid w:val="0091269B"/>
    <w:rsid w:val="00923C0C"/>
    <w:rsid w:val="0095170D"/>
    <w:rsid w:val="00952CF6"/>
    <w:rsid w:val="00960413"/>
    <w:rsid w:val="00981995"/>
    <w:rsid w:val="00981C7F"/>
    <w:rsid w:val="00981DB2"/>
    <w:rsid w:val="00985515"/>
    <w:rsid w:val="00990813"/>
    <w:rsid w:val="0099544D"/>
    <w:rsid w:val="00997513"/>
    <w:rsid w:val="009A0E2C"/>
    <w:rsid w:val="009A4D56"/>
    <w:rsid w:val="009B1F04"/>
    <w:rsid w:val="009B1F1D"/>
    <w:rsid w:val="009B4583"/>
    <w:rsid w:val="009B6860"/>
    <w:rsid w:val="009C6408"/>
    <w:rsid w:val="009D1CD6"/>
    <w:rsid w:val="009D6BE6"/>
    <w:rsid w:val="009E09F7"/>
    <w:rsid w:val="009E2D5C"/>
    <w:rsid w:val="009E3E44"/>
    <w:rsid w:val="009E6D01"/>
    <w:rsid w:val="009F284D"/>
    <w:rsid w:val="009F4175"/>
    <w:rsid w:val="009F64B5"/>
    <w:rsid w:val="009F66A4"/>
    <w:rsid w:val="009F6C80"/>
    <w:rsid w:val="00A000DA"/>
    <w:rsid w:val="00A01CB4"/>
    <w:rsid w:val="00A10807"/>
    <w:rsid w:val="00A1736E"/>
    <w:rsid w:val="00A216DF"/>
    <w:rsid w:val="00A22CED"/>
    <w:rsid w:val="00A242F4"/>
    <w:rsid w:val="00A339E1"/>
    <w:rsid w:val="00A33F2C"/>
    <w:rsid w:val="00A46C0C"/>
    <w:rsid w:val="00A471A9"/>
    <w:rsid w:val="00A50EE3"/>
    <w:rsid w:val="00A576BB"/>
    <w:rsid w:val="00A663F0"/>
    <w:rsid w:val="00A71C19"/>
    <w:rsid w:val="00A723E3"/>
    <w:rsid w:val="00A7403C"/>
    <w:rsid w:val="00A83E11"/>
    <w:rsid w:val="00A8557C"/>
    <w:rsid w:val="00A86899"/>
    <w:rsid w:val="00A9240F"/>
    <w:rsid w:val="00A94A0F"/>
    <w:rsid w:val="00A9564E"/>
    <w:rsid w:val="00AA0B8F"/>
    <w:rsid w:val="00AA3C6D"/>
    <w:rsid w:val="00AB3D4F"/>
    <w:rsid w:val="00AB57C4"/>
    <w:rsid w:val="00AB6EA7"/>
    <w:rsid w:val="00AD006E"/>
    <w:rsid w:val="00AD6C3C"/>
    <w:rsid w:val="00AF3FC2"/>
    <w:rsid w:val="00AF5BD4"/>
    <w:rsid w:val="00B07AFC"/>
    <w:rsid w:val="00B10A65"/>
    <w:rsid w:val="00B11CF5"/>
    <w:rsid w:val="00B12D95"/>
    <w:rsid w:val="00B20861"/>
    <w:rsid w:val="00B209FA"/>
    <w:rsid w:val="00B21D1F"/>
    <w:rsid w:val="00B410BA"/>
    <w:rsid w:val="00B43D68"/>
    <w:rsid w:val="00B44A3A"/>
    <w:rsid w:val="00B555CE"/>
    <w:rsid w:val="00B5600C"/>
    <w:rsid w:val="00B66E33"/>
    <w:rsid w:val="00B72FB1"/>
    <w:rsid w:val="00B918A2"/>
    <w:rsid w:val="00B953DA"/>
    <w:rsid w:val="00BA19B0"/>
    <w:rsid w:val="00BA5583"/>
    <w:rsid w:val="00BB3870"/>
    <w:rsid w:val="00BB45A7"/>
    <w:rsid w:val="00BB4790"/>
    <w:rsid w:val="00BD0EF7"/>
    <w:rsid w:val="00BD6778"/>
    <w:rsid w:val="00BD7727"/>
    <w:rsid w:val="00BE4075"/>
    <w:rsid w:val="00BE4B0D"/>
    <w:rsid w:val="00BF3768"/>
    <w:rsid w:val="00C01599"/>
    <w:rsid w:val="00C048D1"/>
    <w:rsid w:val="00C05563"/>
    <w:rsid w:val="00C11132"/>
    <w:rsid w:val="00C115B9"/>
    <w:rsid w:val="00C12FB5"/>
    <w:rsid w:val="00C12FDD"/>
    <w:rsid w:val="00C145AA"/>
    <w:rsid w:val="00C14655"/>
    <w:rsid w:val="00C21399"/>
    <w:rsid w:val="00C446E2"/>
    <w:rsid w:val="00C46491"/>
    <w:rsid w:val="00C535F5"/>
    <w:rsid w:val="00C560C4"/>
    <w:rsid w:val="00C6748F"/>
    <w:rsid w:val="00C7130E"/>
    <w:rsid w:val="00C74337"/>
    <w:rsid w:val="00C74A3E"/>
    <w:rsid w:val="00C75DC8"/>
    <w:rsid w:val="00C8074B"/>
    <w:rsid w:val="00C80DAA"/>
    <w:rsid w:val="00C929AE"/>
    <w:rsid w:val="00CA4344"/>
    <w:rsid w:val="00CA6348"/>
    <w:rsid w:val="00CA6872"/>
    <w:rsid w:val="00CB1232"/>
    <w:rsid w:val="00CB17A0"/>
    <w:rsid w:val="00CC2AC1"/>
    <w:rsid w:val="00CC3B7D"/>
    <w:rsid w:val="00CC7870"/>
    <w:rsid w:val="00CD5AA8"/>
    <w:rsid w:val="00CD5AE4"/>
    <w:rsid w:val="00CD5E86"/>
    <w:rsid w:val="00CE3B03"/>
    <w:rsid w:val="00CE3B21"/>
    <w:rsid w:val="00CE7CC7"/>
    <w:rsid w:val="00CF4D09"/>
    <w:rsid w:val="00D005F2"/>
    <w:rsid w:val="00D01C46"/>
    <w:rsid w:val="00D03A8E"/>
    <w:rsid w:val="00D04158"/>
    <w:rsid w:val="00D114ED"/>
    <w:rsid w:val="00D15111"/>
    <w:rsid w:val="00D3032C"/>
    <w:rsid w:val="00D31A3B"/>
    <w:rsid w:val="00D35709"/>
    <w:rsid w:val="00D40E16"/>
    <w:rsid w:val="00D41D3F"/>
    <w:rsid w:val="00D515E7"/>
    <w:rsid w:val="00D5309D"/>
    <w:rsid w:val="00D631FA"/>
    <w:rsid w:val="00D71064"/>
    <w:rsid w:val="00D811BB"/>
    <w:rsid w:val="00D82356"/>
    <w:rsid w:val="00D84EEE"/>
    <w:rsid w:val="00D86795"/>
    <w:rsid w:val="00D86ED1"/>
    <w:rsid w:val="00D87190"/>
    <w:rsid w:val="00D90A61"/>
    <w:rsid w:val="00D946EF"/>
    <w:rsid w:val="00D95553"/>
    <w:rsid w:val="00DA07DE"/>
    <w:rsid w:val="00DB27EC"/>
    <w:rsid w:val="00DB3BD9"/>
    <w:rsid w:val="00DC05BF"/>
    <w:rsid w:val="00DC1083"/>
    <w:rsid w:val="00DC355F"/>
    <w:rsid w:val="00DC35F1"/>
    <w:rsid w:val="00DC5E85"/>
    <w:rsid w:val="00DC70B4"/>
    <w:rsid w:val="00DC71B9"/>
    <w:rsid w:val="00DD0CFE"/>
    <w:rsid w:val="00DD0D89"/>
    <w:rsid w:val="00DD1E4C"/>
    <w:rsid w:val="00DD7B7A"/>
    <w:rsid w:val="00DD7E0A"/>
    <w:rsid w:val="00DE331A"/>
    <w:rsid w:val="00DE625C"/>
    <w:rsid w:val="00DE6ACB"/>
    <w:rsid w:val="00DF02CE"/>
    <w:rsid w:val="00DF1462"/>
    <w:rsid w:val="00E030DA"/>
    <w:rsid w:val="00E03410"/>
    <w:rsid w:val="00E03624"/>
    <w:rsid w:val="00E10B45"/>
    <w:rsid w:val="00E214C0"/>
    <w:rsid w:val="00E249CC"/>
    <w:rsid w:val="00E25C7D"/>
    <w:rsid w:val="00E30D85"/>
    <w:rsid w:val="00E357BD"/>
    <w:rsid w:val="00E36C7E"/>
    <w:rsid w:val="00E41F01"/>
    <w:rsid w:val="00E444EB"/>
    <w:rsid w:val="00E77A69"/>
    <w:rsid w:val="00E80F30"/>
    <w:rsid w:val="00E81A42"/>
    <w:rsid w:val="00E82D1E"/>
    <w:rsid w:val="00E961E8"/>
    <w:rsid w:val="00E96244"/>
    <w:rsid w:val="00E96DE0"/>
    <w:rsid w:val="00EA275B"/>
    <w:rsid w:val="00EB2BEC"/>
    <w:rsid w:val="00EB74BF"/>
    <w:rsid w:val="00EC0704"/>
    <w:rsid w:val="00EC26F6"/>
    <w:rsid w:val="00EC508B"/>
    <w:rsid w:val="00EC728B"/>
    <w:rsid w:val="00EC7FCE"/>
    <w:rsid w:val="00ED0353"/>
    <w:rsid w:val="00ED1505"/>
    <w:rsid w:val="00ED1D5B"/>
    <w:rsid w:val="00ED5512"/>
    <w:rsid w:val="00ED6B5D"/>
    <w:rsid w:val="00EE4C99"/>
    <w:rsid w:val="00F01E5E"/>
    <w:rsid w:val="00F14522"/>
    <w:rsid w:val="00F153D7"/>
    <w:rsid w:val="00F1599C"/>
    <w:rsid w:val="00F2433F"/>
    <w:rsid w:val="00F244DC"/>
    <w:rsid w:val="00F26728"/>
    <w:rsid w:val="00F378F4"/>
    <w:rsid w:val="00F421A3"/>
    <w:rsid w:val="00F47912"/>
    <w:rsid w:val="00F541B6"/>
    <w:rsid w:val="00F57702"/>
    <w:rsid w:val="00F61361"/>
    <w:rsid w:val="00F613E8"/>
    <w:rsid w:val="00F651FC"/>
    <w:rsid w:val="00F74356"/>
    <w:rsid w:val="00F74D3C"/>
    <w:rsid w:val="00F74FC9"/>
    <w:rsid w:val="00F811B8"/>
    <w:rsid w:val="00F91F47"/>
    <w:rsid w:val="00FA0062"/>
    <w:rsid w:val="00FA1D68"/>
    <w:rsid w:val="00FA4F36"/>
    <w:rsid w:val="00FA5C63"/>
    <w:rsid w:val="00FA6FFE"/>
    <w:rsid w:val="00FB2339"/>
    <w:rsid w:val="00FC121B"/>
    <w:rsid w:val="00FD3DFB"/>
    <w:rsid w:val="00FF0272"/>
    <w:rsid w:val="00FF1C59"/>
    <w:rsid w:val="00FF414B"/>
    <w:rsid w:val="00FF4B7A"/>
    <w:rsid w:val="00FF6A68"/>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48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FF1C59"/>
    <w:rPr>
      <w:color w:val="0563C1" w:themeColor="hyperlink"/>
      <w:u w:val="single"/>
    </w:rPr>
  </w:style>
  <w:style w:type="character" w:styleId="PouitHypertextovPrepojenie">
    <w:name w:val="FollowedHyperlink"/>
    <w:basedOn w:val="Predvolenpsmoodseku"/>
    <w:uiPriority w:val="99"/>
    <w:semiHidden/>
    <w:unhideWhenUsed/>
    <w:rsid w:val="00FF1C59"/>
    <w:rPr>
      <w:color w:val="954F72" w:themeColor="followedHyperlink"/>
      <w:u w:val="single"/>
    </w:rPr>
  </w:style>
  <w:style w:type="table" w:customStyle="1" w:styleId="Mriekatabuky3">
    <w:name w:val="Mriežka tabuľky3"/>
    <w:basedOn w:val="Normlnatabuka"/>
    <w:next w:val="Mriekatabuky"/>
    <w:uiPriority w:val="59"/>
    <w:rsid w:val="0026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5">
      <w:bodyDiv w:val="1"/>
      <w:marLeft w:val="0"/>
      <w:marRight w:val="0"/>
      <w:marTop w:val="0"/>
      <w:marBottom w:val="0"/>
      <w:divBdr>
        <w:top w:val="none" w:sz="0" w:space="0" w:color="auto"/>
        <w:left w:val="none" w:sz="0" w:space="0" w:color="auto"/>
        <w:bottom w:val="none" w:sz="0" w:space="0" w:color="auto"/>
        <w:right w:val="none" w:sz="0" w:space="0" w:color="auto"/>
      </w:divBdr>
    </w:div>
    <w:div w:id="37121985">
      <w:bodyDiv w:val="1"/>
      <w:marLeft w:val="0"/>
      <w:marRight w:val="0"/>
      <w:marTop w:val="0"/>
      <w:marBottom w:val="0"/>
      <w:divBdr>
        <w:top w:val="none" w:sz="0" w:space="0" w:color="auto"/>
        <w:left w:val="none" w:sz="0" w:space="0" w:color="auto"/>
        <w:bottom w:val="none" w:sz="0" w:space="0" w:color="auto"/>
        <w:right w:val="none" w:sz="0" w:space="0" w:color="auto"/>
      </w:divBdr>
    </w:div>
    <w:div w:id="44137521">
      <w:bodyDiv w:val="1"/>
      <w:marLeft w:val="0"/>
      <w:marRight w:val="0"/>
      <w:marTop w:val="0"/>
      <w:marBottom w:val="0"/>
      <w:divBdr>
        <w:top w:val="none" w:sz="0" w:space="0" w:color="auto"/>
        <w:left w:val="none" w:sz="0" w:space="0" w:color="auto"/>
        <w:bottom w:val="none" w:sz="0" w:space="0" w:color="auto"/>
        <w:right w:val="none" w:sz="0" w:space="0" w:color="auto"/>
      </w:divBdr>
    </w:div>
    <w:div w:id="56319766">
      <w:bodyDiv w:val="1"/>
      <w:marLeft w:val="0"/>
      <w:marRight w:val="0"/>
      <w:marTop w:val="0"/>
      <w:marBottom w:val="0"/>
      <w:divBdr>
        <w:top w:val="none" w:sz="0" w:space="0" w:color="auto"/>
        <w:left w:val="none" w:sz="0" w:space="0" w:color="auto"/>
        <w:bottom w:val="none" w:sz="0" w:space="0" w:color="auto"/>
        <w:right w:val="none" w:sz="0" w:space="0" w:color="auto"/>
      </w:divBdr>
    </w:div>
    <w:div w:id="60375321">
      <w:bodyDiv w:val="1"/>
      <w:marLeft w:val="0"/>
      <w:marRight w:val="0"/>
      <w:marTop w:val="0"/>
      <w:marBottom w:val="0"/>
      <w:divBdr>
        <w:top w:val="none" w:sz="0" w:space="0" w:color="auto"/>
        <w:left w:val="none" w:sz="0" w:space="0" w:color="auto"/>
        <w:bottom w:val="none" w:sz="0" w:space="0" w:color="auto"/>
        <w:right w:val="none" w:sz="0" w:space="0" w:color="auto"/>
      </w:divBdr>
    </w:div>
    <w:div w:id="66852004">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26192654">
      <w:bodyDiv w:val="1"/>
      <w:marLeft w:val="0"/>
      <w:marRight w:val="0"/>
      <w:marTop w:val="0"/>
      <w:marBottom w:val="0"/>
      <w:divBdr>
        <w:top w:val="none" w:sz="0" w:space="0" w:color="auto"/>
        <w:left w:val="none" w:sz="0" w:space="0" w:color="auto"/>
        <w:bottom w:val="none" w:sz="0" w:space="0" w:color="auto"/>
        <w:right w:val="none" w:sz="0" w:space="0" w:color="auto"/>
      </w:divBdr>
    </w:div>
    <w:div w:id="28169661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14015961">
      <w:bodyDiv w:val="1"/>
      <w:marLeft w:val="0"/>
      <w:marRight w:val="0"/>
      <w:marTop w:val="0"/>
      <w:marBottom w:val="0"/>
      <w:divBdr>
        <w:top w:val="none" w:sz="0" w:space="0" w:color="auto"/>
        <w:left w:val="none" w:sz="0" w:space="0" w:color="auto"/>
        <w:bottom w:val="none" w:sz="0" w:space="0" w:color="auto"/>
        <w:right w:val="none" w:sz="0" w:space="0" w:color="auto"/>
      </w:divBdr>
    </w:div>
    <w:div w:id="436484216">
      <w:bodyDiv w:val="1"/>
      <w:marLeft w:val="0"/>
      <w:marRight w:val="0"/>
      <w:marTop w:val="0"/>
      <w:marBottom w:val="0"/>
      <w:divBdr>
        <w:top w:val="none" w:sz="0" w:space="0" w:color="auto"/>
        <w:left w:val="none" w:sz="0" w:space="0" w:color="auto"/>
        <w:bottom w:val="none" w:sz="0" w:space="0" w:color="auto"/>
        <w:right w:val="none" w:sz="0" w:space="0" w:color="auto"/>
      </w:divBdr>
    </w:div>
    <w:div w:id="561987618">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33945121">
      <w:bodyDiv w:val="1"/>
      <w:marLeft w:val="0"/>
      <w:marRight w:val="0"/>
      <w:marTop w:val="0"/>
      <w:marBottom w:val="0"/>
      <w:divBdr>
        <w:top w:val="none" w:sz="0" w:space="0" w:color="auto"/>
        <w:left w:val="none" w:sz="0" w:space="0" w:color="auto"/>
        <w:bottom w:val="none" w:sz="0" w:space="0" w:color="auto"/>
        <w:right w:val="none" w:sz="0" w:space="0" w:color="auto"/>
      </w:divBdr>
    </w:div>
    <w:div w:id="641499131">
      <w:bodyDiv w:val="1"/>
      <w:marLeft w:val="0"/>
      <w:marRight w:val="0"/>
      <w:marTop w:val="0"/>
      <w:marBottom w:val="0"/>
      <w:divBdr>
        <w:top w:val="none" w:sz="0" w:space="0" w:color="auto"/>
        <w:left w:val="none" w:sz="0" w:space="0" w:color="auto"/>
        <w:bottom w:val="none" w:sz="0" w:space="0" w:color="auto"/>
        <w:right w:val="none" w:sz="0" w:space="0" w:color="auto"/>
      </w:divBdr>
    </w:div>
    <w:div w:id="716586234">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74328989">
      <w:bodyDiv w:val="1"/>
      <w:marLeft w:val="0"/>
      <w:marRight w:val="0"/>
      <w:marTop w:val="0"/>
      <w:marBottom w:val="0"/>
      <w:divBdr>
        <w:top w:val="none" w:sz="0" w:space="0" w:color="auto"/>
        <w:left w:val="none" w:sz="0" w:space="0" w:color="auto"/>
        <w:bottom w:val="none" w:sz="0" w:space="0" w:color="auto"/>
        <w:right w:val="none" w:sz="0" w:space="0" w:color="auto"/>
      </w:divBdr>
    </w:div>
    <w:div w:id="831339889">
      <w:bodyDiv w:val="1"/>
      <w:marLeft w:val="0"/>
      <w:marRight w:val="0"/>
      <w:marTop w:val="0"/>
      <w:marBottom w:val="0"/>
      <w:divBdr>
        <w:top w:val="none" w:sz="0" w:space="0" w:color="auto"/>
        <w:left w:val="none" w:sz="0" w:space="0" w:color="auto"/>
        <w:bottom w:val="none" w:sz="0" w:space="0" w:color="auto"/>
        <w:right w:val="none" w:sz="0" w:space="0" w:color="auto"/>
      </w:divBdr>
    </w:div>
    <w:div w:id="867794878">
      <w:bodyDiv w:val="1"/>
      <w:marLeft w:val="0"/>
      <w:marRight w:val="0"/>
      <w:marTop w:val="0"/>
      <w:marBottom w:val="0"/>
      <w:divBdr>
        <w:top w:val="none" w:sz="0" w:space="0" w:color="auto"/>
        <w:left w:val="none" w:sz="0" w:space="0" w:color="auto"/>
        <w:bottom w:val="none" w:sz="0" w:space="0" w:color="auto"/>
        <w:right w:val="none" w:sz="0" w:space="0" w:color="auto"/>
      </w:divBdr>
    </w:div>
    <w:div w:id="882594345">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25726599">
      <w:bodyDiv w:val="1"/>
      <w:marLeft w:val="0"/>
      <w:marRight w:val="0"/>
      <w:marTop w:val="0"/>
      <w:marBottom w:val="0"/>
      <w:divBdr>
        <w:top w:val="none" w:sz="0" w:space="0" w:color="auto"/>
        <w:left w:val="none" w:sz="0" w:space="0" w:color="auto"/>
        <w:bottom w:val="none" w:sz="0" w:space="0" w:color="auto"/>
        <w:right w:val="none" w:sz="0" w:space="0" w:color="auto"/>
      </w:divBdr>
    </w:div>
    <w:div w:id="95972998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0621301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5054362">
      <w:bodyDiv w:val="1"/>
      <w:marLeft w:val="0"/>
      <w:marRight w:val="0"/>
      <w:marTop w:val="0"/>
      <w:marBottom w:val="0"/>
      <w:divBdr>
        <w:top w:val="none" w:sz="0" w:space="0" w:color="auto"/>
        <w:left w:val="none" w:sz="0" w:space="0" w:color="auto"/>
        <w:bottom w:val="none" w:sz="0" w:space="0" w:color="auto"/>
        <w:right w:val="none" w:sz="0" w:space="0" w:color="auto"/>
      </w:divBdr>
    </w:div>
    <w:div w:id="1497307266">
      <w:bodyDiv w:val="1"/>
      <w:marLeft w:val="0"/>
      <w:marRight w:val="0"/>
      <w:marTop w:val="0"/>
      <w:marBottom w:val="0"/>
      <w:divBdr>
        <w:top w:val="none" w:sz="0" w:space="0" w:color="auto"/>
        <w:left w:val="none" w:sz="0" w:space="0" w:color="auto"/>
        <w:bottom w:val="none" w:sz="0" w:space="0" w:color="auto"/>
        <w:right w:val="none" w:sz="0" w:space="0" w:color="auto"/>
      </w:divBdr>
    </w:div>
    <w:div w:id="1502085136">
      <w:bodyDiv w:val="1"/>
      <w:marLeft w:val="0"/>
      <w:marRight w:val="0"/>
      <w:marTop w:val="0"/>
      <w:marBottom w:val="0"/>
      <w:divBdr>
        <w:top w:val="none" w:sz="0" w:space="0" w:color="auto"/>
        <w:left w:val="none" w:sz="0" w:space="0" w:color="auto"/>
        <w:bottom w:val="none" w:sz="0" w:space="0" w:color="auto"/>
        <w:right w:val="none" w:sz="0" w:space="0" w:color="auto"/>
      </w:divBdr>
    </w:div>
    <w:div w:id="1533423030">
      <w:bodyDiv w:val="1"/>
      <w:marLeft w:val="0"/>
      <w:marRight w:val="0"/>
      <w:marTop w:val="0"/>
      <w:marBottom w:val="0"/>
      <w:divBdr>
        <w:top w:val="none" w:sz="0" w:space="0" w:color="auto"/>
        <w:left w:val="none" w:sz="0" w:space="0" w:color="auto"/>
        <w:bottom w:val="none" w:sz="0" w:space="0" w:color="auto"/>
        <w:right w:val="none" w:sz="0" w:space="0" w:color="auto"/>
      </w:divBdr>
    </w:div>
    <w:div w:id="163651846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46205307">
      <w:bodyDiv w:val="1"/>
      <w:marLeft w:val="0"/>
      <w:marRight w:val="0"/>
      <w:marTop w:val="0"/>
      <w:marBottom w:val="0"/>
      <w:divBdr>
        <w:top w:val="none" w:sz="0" w:space="0" w:color="auto"/>
        <w:left w:val="none" w:sz="0" w:space="0" w:color="auto"/>
        <w:bottom w:val="none" w:sz="0" w:space="0" w:color="auto"/>
        <w:right w:val="none" w:sz="0" w:space="0" w:color="auto"/>
      </w:divBdr>
    </w:div>
    <w:div w:id="1666515424">
      <w:bodyDiv w:val="1"/>
      <w:marLeft w:val="0"/>
      <w:marRight w:val="0"/>
      <w:marTop w:val="0"/>
      <w:marBottom w:val="0"/>
      <w:divBdr>
        <w:top w:val="none" w:sz="0" w:space="0" w:color="auto"/>
        <w:left w:val="none" w:sz="0" w:space="0" w:color="auto"/>
        <w:bottom w:val="none" w:sz="0" w:space="0" w:color="auto"/>
        <w:right w:val="none" w:sz="0" w:space="0" w:color="auto"/>
      </w:divBdr>
    </w:div>
    <w:div w:id="1719891301">
      <w:bodyDiv w:val="1"/>
      <w:marLeft w:val="0"/>
      <w:marRight w:val="0"/>
      <w:marTop w:val="0"/>
      <w:marBottom w:val="0"/>
      <w:divBdr>
        <w:top w:val="none" w:sz="0" w:space="0" w:color="auto"/>
        <w:left w:val="none" w:sz="0" w:space="0" w:color="auto"/>
        <w:bottom w:val="none" w:sz="0" w:space="0" w:color="auto"/>
        <w:right w:val="none" w:sz="0" w:space="0" w:color="auto"/>
      </w:divBdr>
    </w:div>
    <w:div w:id="1807045478">
      <w:bodyDiv w:val="1"/>
      <w:marLeft w:val="0"/>
      <w:marRight w:val="0"/>
      <w:marTop w:val="0"/>
      <w:marBottom w:val="0"/>
      <w:divBdr>
        <w:top w:val="none" w:sz="0" w:space="0" w:color="auto"/>
        <w:left w:val="none" w:sz="0" w:space="0" w:color="auto"/>
        <w:bottom w:val="none" w:sz="0" w:space="0" w:color="auto"/>
        <w:right w:val="none" w:sz="0" w:space="0" w:color="auto"/>
      </w:divBdr>
    </w:div>
    <w:div w:id="1821657076">
      <w:bodyDiv w:val="1"/>
      <w:marLeft w:val="0"/>
      <w:marRight w:val="0"/>
      <w:marTop w:val="0"/>
      <w:marBottom w:val="0"/>
      <w:divBdr>
        <w:top w:val="none" w:sz="0" w:space="0" w:color="auto"/>
        <w:left w:val="none" w:sz="0" w:space="0" w:color="auto"/>
        <w:bottom w:val="none" w:sz="0" w:space="0" w:color="auto"/>
        <w:right w:val="none" w:sz="0" w:space="0" w:color="auto"/>
      </w:divBdr>
    </w:div>
    <w:div w:id="1959599416">
      <w:bodyDiv w:val="1"/>
      <w:marLeft w:val="0"/>
      <w:marRight w:val="0"/>
      <w:marTop w:val="0"/>
      <w:marBottom w:val="0"/>
      <w:divBdr>
        <w:top w:val="none" w:sz="0" w:space="0" w:color="auto"/>
        <w:left w:val="none" w:sz="0" w:space="0" w:color="auto"/>
        <w:bottom w:val="none" w:sz="0" w:space="0" w:color="auto"/>
        <w:right w:val="none" w:sz="0" w:space="0" w:color="auto"/>
      </w:divBdr>
    </w:div>
    <w:div w:id="200705358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090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18" Type="http://schemas.openxmlformats.org/officeDocument/2006/relationships/hyperlink" Target="https://monitoringmsp.sk/wp-content/uploads/2024/05/MSP_v_cislach_2023.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monitoringmsp.sk/wp-content/uploads/2024/05/MSP_v_cislach_2023.pdf" TargetMode="External"/><Relationship Id="rId17"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nitoringmsp.sk/wp-content/uploads/2024/05/MSP_v_cislach_2023.pdf" TargetMode="External"/><Relationship Id="rId20" Type="http://schemas.openxmlformats.org/officeDocument/2006/relationships/hyperlink" Target="https://www.slov-lex.sk/elegislativa/legislativne-procesy/SK/PI/2024/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3" Type="http://schemas.openxmlformats.org/officeDocument/2006/relationships/header" Target="header1.xml"/><Relationship Id="rId10" Type="http://schemas.openxmlformats.org/officeDocument/2006/relationships/hyperlink" Target="https://monitoringmsp.sk/wp-content/uploads/2024/05/MSP_v_cislach_2023.pdf" TargetMode="External"/><Relationship Id="rId19" Type="http://schemas.openxmlformats.org/officeDocument/2006/relationships/hyperlink" Target="https://www.slov-lex.sk/elegislativa/legislativne-procesy/SK/LPEU/2023/671" TargetMode="External"/><Relationship Id="rId4" Type="http://schemas.openxmlformats.org/officeDocument/2006/relationships/styles" Target="styles.xml"/><Relationship Id="rId9"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14" Type="http://schemas.openxmlformats.org/officeDocument/2006/relationships/hyperlink" Target="https://monitoringmsp.sk/wp-content/uploads/2024/05/MSP_v_cislach_2023.pdf" TargetMode="External"/><Relationship Id="rId22" Type="http://schemas.openxmlformats.org/officeDocument/2006/relationships/package" Target="embeddings/H_rok_programu_Microsoft_Excel.xlsx"/></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8B3D0F-6F9C-49EE-8977-2C070CEE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12</Pages>
  <Words>5061</Words>
  <Characters>28854</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Simkovic Milan</cp:lastModifiedBy>
  <cp:revision>332</cp:revision>
  <dcterms:created xsi:type="dcterms:W3CDTF">2023-09-13T07:31:00Z</dcterms:created>
  <dcterms:modified xsi:type="dcterms:W3CDTF">2025-01-07T14:07:00Z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