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1F5EE" w14:textId="77777777" w:rsidR="00E0734C" w:rsidRDefault="00E0734C" w:rsidP="007F6C0F">
      <w:pPr>
        <w:pStyle w:val="Default"/>
        <w:ind w:left="360"/>
        <w:jc w:val="center"/>
        <w:rPr>
          <w:b/>
          <w:bCs/>
        </w:rPr>
      </w:pPr>
    </w:p>
    <w:p w14:paraId="7337B611" w14:textId="77777777" w:rsidR="00E0734C" w:rsidRDefault="00E0734C" w:rsidP="007F6C0F">
      <w:pPr>
        <w:pStyle w:val="Default"/>
        <w:ind w:left="360"/>
        <w:jc w:val="center"/>
        <w:rPr>
          <w:b/>
          <w:bCs/>
        </w:rPr>
      </w:pPr>
    </w:p>
    <w:p w14:paraId="7576BAE1" w14:textId="5E04A4EB" w:rsidR="007F6C0F" w:rsidRPr="00C75F4B" w:rsidRDefault="007F6C0F" w:rsidP="007F6C0F">
      <w:pPr>
        <w:pStyle w:val="Default"/>
        <w:ind w:left="360"/>
        <w:jc w:val="center"/>
      </w:pPr>
      <w:r w:rsidRPr="00C75F4B">
        <w:rPr>
          <w:b/>
          <w:bCs/>
        </w:rPr>
        <w:t>DOLOŽKA ZLUČITEĽNOSTI</w:t>
      </w:r>
    </w:p>
    <w:p w14:paraId="66EC3AF4" w14:textId="6337F016" w:rsidR="007F6C0F" w:rsidRDefault="007F6C0F" w:rsidP="007F6C0F">
      <w:pPr>
        <w:pStyle w:val="Default"/>
        <w:ind w:left="426"/>
        <w:jc w:val="center"/>
        <w:rPr>
          <w:b/>
          <w:bCs/>
        </w:rPr>
      </w:pPr>
      <w:r w:rsidRPr="00C75F4B">
        <w:rPr>
          <w:b/>
          <w:bCs/>
        </w:rPr>
        <w:t>návrhu</w:t>
      </w:r>
      <w:r w:rsidR="00C44A5C">
        <w:rPr>
          <w:b/>
          <w:bCs/>
        </w:rPr>
        <w:t xml:space="preserve"> ústavného</w:t>
      </w:r>
      <w:r w:rsidRPr="00C75F4B">
        <w:rPr>
          <w:b/>
          <w:bCs/>
        </w:rPr>
        <w:t xml:space="preserve"> zákona s právom Európskej únie</w:t>
      </w:r>
    </w:p>
    <w:p w14:paraId="74026D48" w14:textId="77777777" w:rsidR="00E0734C" w:rsidRPr="00C75F4B" w:rsidRDefault="00E0734C" w:rsidP="007F6C0F">
      <w:pPr>
        <w:pStyle w:val="Default"/>
        <w:ind w:left="426"/>
        <w:jc w:val="center"/>
        <w:rPr>
          <w:b/>
          <w:bCs/>
        </w:rPr>
      </w:pPr>
    </w:p>
    <w:p w14:paraId="0F9E8E2A" w14:textId="77777777" w:rsidR="007F6C0F" w:rsidRPr="00C75F4B" w:rsidRDefault="007F6C0F" w:rsidP="007F6C0F">
      <w:pPr>
        <w:pStyle w:val="Default"/>
        <w:jc w:val="center"/>
      </w:pPr>
    </w:p>
    <w:p w14:paraId="50C0ADD5" w14:textId="30274019" w:rsidR="007F6C0F" w:rsidRPr="007F6C0F" w:rsidRDefault="007F6C0F" w:rsidP="00E0734C">
      <w:pPr>
        <w:pStyle w:val="Default"/>
        <w:numPr>
          <w:ilvl w:val="3"/>
          <w:numId w:val="2"/>
        </w:numPr>
        <w:ind w:left="360"/>
      </w:pPr>
      <w:r w:rsidRPr="00E0734C">
        <w:rPr>
          <w:b/>
        </w:rPr>
        <w:t>Navrhovateľ zákona</w:t>
      </w:r>
      <w:r>
        <w:t>:</w:t>
      </w:r>
      <w:r>
        <w:tab/>
      </w:r>
      <w:r w:rsidRPr="007F6C0F">
        <w:t>Úrad vlády Slovenskej republiky</w:t>
      </w:r>
    </w:p>
    <w:p w14:paraId="0AD9B6A6" w14:textId="77777777" w:rsidR="007F6C0F" w:rsidRPr="007F6C0F" w:rsidRDefault="007F6C0F" w:rsidP="007F6C0F">
      <w:pPr>
        <w:pStyle w:val="Default"/>
      </w:pPr>
    </w:p>
    <w:p w14:paraId="1EAB33C0" w14:textId="77777777" w:rsidR="00E0734C" w:rsidRPr="00E0734C" w:rsidRDefault="00E0734C" w:rsidP="00E0734C">
      <w:pPr>
        <w:pStyle w:val="Default"/>
        <w:ind w:left="360"/>
        <w:jc w:val="both"/>
      </w:pPr>
    </w:p>
    <w:p w14:paraId="5D40B1DB" w14:textId="3B509D31" w:rsidR="00C44A5C" w:rsidRPr="007F6C0F" w:rsidRDefault="007F6C0F" w:rsidP="00E0734C">
      <w:pPr>
        <w:pStyle w:val="Default"/>
        <w:numPr>
          <w:ilvl w:val="3"/>
          <w:numId w:val="2"/>
        </w:numPr>
        <w:ind w:left="360"/>
      </w:pPr>
      <w:r w:rsidRPr="007F6C0F">
        <w:rPr>
          <w:b/>
        </w:rPr>
        <w:t>Názov návrhu zákona</w:t>
      </w:r>
      <w:r w:rsidRPr="007F6C0F">
        <w:t>:</w:t>
      </w:r>
      <w:r w:rsidRPr="007F6C0F">
        <w:tab/>
        <w:t>Návrh</w:t>
      </w:r>
      <w:r w:rsidR="00C44A5C">
        <w:t xml:space="preserve"> ústavného</w:t>
      </w:r>
      <w:r w:rsidRPr="007F6C0F">
        <w:t xml:space="preserve"> zákona</w:t>
      </w:r>
      <w:r w:rsidR="00E34753" w:rsidRPr="00E34753">
        <w:t>,</w:t>
      </w:r>
      <w:r w:rsidRPr="00E34753">
        <w:t xml:space="preserve"> </w:t>
      </w:r>
      <w:r w:rsidR="00C44A5C" w:rsidRPr="006633E3">
        <w:t>ktorým sa mení a dopĺňa Ústava Slovenskej republiky č. 460/1992 Zb. v znení neskorších predpisov</w:t>
      </w:r>
    </w:p>
    <w:p w14:paraId="15F3F734" w14:textId="279E9DB3" w:rsidR="007F6C0F" w:rsidRDefault="007F6C0F" w:rsidP="00E34753">
      <w:pPr>
        <w:pStyle w:val="Default"/>
        <w:ind w:left="2835"/>
        <w:jc w:val="both"/>
      </w:pPr>
    </w:p>
    <w:p w14:paraId="0B14AE27" w14:textId="77777777" w:rsidR="00E0734C" w:rsidRPr="007F6C0F" w:rsidRDefault="00E0734C" w:rsidP="00E34753">
      <w:pPr>
        <w:pStyle w:val="Default"/>
        <w:ind w:left="2835"/>
        <w:jc w:val="both"/>
      </w:pPr>
    </w:p>
    <w:p w14:paraId="1E7944B6" w14:textId="5A81C5EE" w:rsidR="007F6C0F" w:rsidRDefault="007F6C0F" w:rsidP="007F6C0F">
      <w:pPr>
        <w:pStyle w:val="Default"/>
        <w:numPr>
          <w:ilvl w:val="3"/>
          <w:numId w:val="2"/>
        </w:numPr>
        <w:ind w:left="360"/>
      </w:pPr>
      <w:r w:rsidRPr="00C75F4B">
        <w:rPr>
          <w:b/>
          <w:bCs/>
        </w:rPr>
        <w:t>Predmet návrhu zákona je upravený v práve Európskej únie</w:t>
      </w:r>
      <w:r w:rsidRPr="00C75F4B">
        <w:t xml:space="preserve">: </w:t>
      </w:r>
    </w:p>
    <w:p w14:paraId="0C500A4A" w14:textId="77777777" w:rsidR="00E0734C" w:rsidRPr="00C75F4B" w:rsidRDefault="00E0734C" w:rsidP="00E0734C">
      <w:pPr>
        <w:pStyle w:val="Default"/>
        <w:ind w:left="360"/>
      </w:pPr>
    </w:p>
    <w:p w14:paraId="26A50CAE" w14:textId="6CD2D0FA" w:rsidR="002A5084" w:rsidRDefault="007F6C0F" w:rsidP="00E0734C">
      <w:pPr>
        <w:pStyle w:val="Default"/>
        <w:numPr>
          <w:ilvl w:val="0"/>
          <w:numId w:val="6"/>
        </w:numPr>
        <w:jc w:val="both"/>
      </w:pPr>
      <w:r w:rsidRPr="007F6C0F">
        <w:rPr>
          <w:bCs/>
        </w:rPr>
        <w:t>je upravený v</w:t>
      </w:r>
      <w:r w:rsidRPr="007F6C0F">
        <w:t xml:space="preserve"> primárnom práve</w:t>
      </w:r>
      <w:r w:rsidR="002A5084">
        <w:t>:</w:t>
      </w:r>
    </w:p>
    <w:p w14:paraId="49DDEE8F" w14:textId="77777777" w:rsidR="008C5B33" w:rsidRDefault="008C5B33" w:rsidP="00C46698">
      <w:pPr>
        <w:pStyle w:val="Default"/>
        <w:ind w:left="720"/>
        <w:jc w:val="both"/>
        <w:rPr>
          <w:i/>
        </w:rPr>
      </w:pPr>
    </w:p>
    <w:p w14:paraId="147CED3A" w14:textId="7AE1F76C" w:rsidR="004214DE" w:rsidRPr="004214DE" w:rsidRDefault="00B64579" w:rsidP="00C46698">
      <w:pPr>
        <w:pStyle w:val="Default"/>
        <w:ind w:left="720"/>
        <w:jc w:val="both"/>
        <w:rPr>
          <w:i/>
        </w:rPr>
      </w:pPr>
      <w:r>
        <w:rPr>
          <w:i/>
        </w:rPr>
        <w:t>Člán</w:t>
      </w:r>
      <w:r w:rsidR="000D7342">
        <w:rPr>
          <w:i/>
        </w:rPr>
        <w:t>k</w:t>
      </w:r>
      <w:r>
        <w:rPr>
          <w:i/>
        </w:rPr>
        <w:t>y</w:t>
      </w:r>
      <w:r w:rsidR="000D7342">
        <w:rPr>
          <w:i/>
        </w:rPr>
        <w:t xml:space="preserve"> 4 a 5 </w:t>
      </w:r>
      <w:r w:rsidR="004214DE" w:rsidRPr="004214DE">
        <w:rPr>
          <w:i/>
        </w:rPr>
        <w:t>Zmluv</w:t>
      </w:r>
      <w:r w:rsidR="000D7342">
        <w:rPr>
          <w:i/>
        </w:rPr>
        <w:t>y</w:t>
      </w:r>
      <w:r w:rsidR="004214DE" w:rsidRPr="004214DE">
        <w:rPr>
          <w:i/>
        </w:rPr>
        <w:t xml:space="preserve"> o Európskej únii (Ú. v. ES C 202, 7.6.2016),</w:t>
      </w:r>
    </w:p>
    <w:p w14:paraId="1E1C8468" w14:textId="51B4959E" w:rsidR="002A5084" w:rsidRPr="004214DE" w:rsidRDefault="000D7342" w:rsidP="002A5084">
      <w:pPr>
        <w:pStyle w:val="Default"/>
        <w:ind w:left="720"/>
        <w:jc w:val="both"/>
        <w:rPr>
          <w:i/>
        </w:rPr>
      </w:pPr>
      <w:r>
        <w:rPr>
          <w:i/>
        </w:rPr>
        <w:t xml:space="preserve">Článok 3 až 6 </w:t>
      </w:r>
      <w:r w:rsidR="002A5084" w:rsidRPr="004214DE">
        <w:rPr>
          <w:i/>
        </w:rPr>
        <w:t>Zmluv</w:t>
      </w:r>
      <w:r>
        <w:rPr>
          <w:i/>
        </w:rPr>
        <w:t>y</w:t>
      </w:r>
      <w:r w:rsidR="002A5084" w:rsidRPr="004214DE">
        <w:rPr>
          <w:i/>
        </w:rPr>
        <w:t xml:space="preserve"> o fungovaní Európskej únie</w:t>
      </w:r>
      <w:r w:rsidR="004214DE" w:rsidRPr="004214DE">
        <w:rPr>
          <w:i/>
        </w:rPr>
        <w:t xml:space="preserve"> (Ú. v. ES C 202, 7.6.2016),</w:t>
      </w:r>
    </w:p>
    <w:p w14:paraId="2D4DC259" w14:textId="627E38A3" w:rsidR="007F6C0F" w:rsidRPr="00C82BE2" w:rsidRDefault="00C82BE2" w:rsidP="002A5084">
      <w:pPr>
        <w:pStyle w:val="Default"/>
        <w:ind w:left="720"/>
        <w:jc w:val="both"/>
        <w:rPr>
          <w:i/>
        </w:rPr>
      </w:pPr>
      <w:r>
        <w:rPr>
          <w:i/>
        </w:rPr>
        <w:t xml:space="preserve">Článok 23 </w:t>
      </w:r>
      <w:r w:rsidR="002A5084" w:rsidRPr="00C82BE2">
        <w:rPr>
          <w:i/>
        </w:rPr>
        <w:t>Chart</w:t>
      </w:r>
      <w:r>
        <w:rPr>
          <w:i/>
        </w:rPr>
        <w:t>y</w:t>
      </w:r>
      <w:r w:rsidR="002A5084" w:rsidRPr="00C82BE2">
        <w:rPr>
          <w:i/>
        </w:rPr>
        <w:t xml:space="preserve"> základných práv Európskej únie</w:t>
      </w:r>
      <w:r w:rsidR="007F6C0F" w:rsidRPr="00C82BE2">
        <w:rPr>
          <w:i/>
        </w:rPr>
        <w:t xml:space="preserve"> </w:t>
      </w:r>
      <w:r w:rsidR="004214DE" w:rsidRPr="00C82BE2">
        <w:rPr>
          <w:i/>
        </w:rPr>
        <w:t>(Ú. v. ES C 202, 7.6.2016).</w:t>
      </w:r>
    </w:p>
    <w:p w14:paraId="3317558B" w14:textId="77777777" w:rsidR="00E0734C" w:rsidRPr="00B64579" w:rsidRDefault="00E0734C" w:rsidP="002A5084">
      <w:pPr>
        <w:pStyle w:val="Default"/>
        <w:ind w:left="720"/>
        <w:jc w:val="both"/>
        <w:rPr>
          <w:i/>
          <w:strike/>
        </w:rPr>
      </w:pPr>
    </w:p>
    <w:p w14:paraId="6C0E61BD" w14:textId="77777777" w:rsidR="00C82BE2" w:rsidRDefault="007F6C0F" w:rsidP="00E0734C">
      <w:pPr>
        <w:pStyle w:val="Default"/>
        <w:numPr>
          <w:ilvl w:val="0"/>
          <w:numId w:val="6"/>
        </w:numPr>
        <w:jc w:val="both"/>
      </w:pPr>
      <w:r w:rsidRPr="007F6C0F">
        <w:rPr>
          <w:bCs/>
        </w:rPr>
        <w:t>je upravený v</w:t>
      </w:r>
      <w:r w:rsidRPr="007F6C0F">
        <w:t xml:space="preserve"> sekundárnom práve,</w:t>
      </w:r>
    </w:p>
    <w:p w14:paraId="4F2F6C9C" w14:textId="77777777" w:rsidR="00B2233C" w:rsidRDefault="00B2233C" w:rsidP="00C82BE2">
      <w:pPr>
        <w:pStyle w:val="Default"/>
        <w:ind w:left="720"/>
        <w:jc w:val="both"/>
        <w:rPr>
          <w:rFonts w:ascii="Segoe UI" w:hAnsi="Segoe UI" w:cs="Segoe UI"/>
          <w:bCs/>
          <w:i/>
          <w:color w:val="333333"/>
          <w:sz w:val="21"/>
          <w:szCs w:val="21"/>
          <w:shd w:val="clear" w:color="auto" w:fill="FFFFFF"/>
        </w:rPr>
      </w:pPr>
    </w:p>
    <w:p w14:paraId="1B25AE12" w14:textId="4A73B90C" w:rsidR="007F6C0F" w:rsidRPr="00C0230B" w:rsidRDefault="00C82BE2" w:rsidP="00C82BE2">
      <w:pPr>
        <w:pStyle w:val="Default"/>
        <w:ind w:left="720"/>
        <w:jc w:val="both"/>
        <w:rPr>
          <w:i/>
        </w:rPr>
      </w:pPr>
      <w:r w:rsidRPr="000516A2">
        <w:rPr>
          <w:i/>
        </w:rPr>
        <w:t>Smernica Európskeho parlamentu a Rady 2006/54/ES z 5. júla 2006 o vykonávaní zásady rovnosti príležitostí a rovnakého zaobchádzania s mužmi a ženami vo veciach zamestnanosti a povolania (prepracované znenie)</w:t>
      </w:r>
      <w:r w:rsidR="00B2233C" w:rsidRPr="000516A2">
        <w:rPr>
          <w:i/>
        </w:rPr>
        <w:t xml:space="preserve"> </w:t>
      </w:r>
      <w:r w:rsidR="00B2233C" w:rsidRPr="00C0230B">
        <w:rPr>
          <w:i/>
        </w:rPr>
        <w:t>(</w:t>
      </w:r>
      <w:r w:rsidR="00B2233C" w:rsidRPr="000516A2">
        <w:rPr>
          <w:i/>
        </w:rPr>
        <w:t>Ú. v. EÚ L 204, 26.7.2006), gestor- Ministerstvo práce, sociálnych vecí a rodiny SR</w:t>
      </w:r>
      <w:r w:rsidR="000516A2">
        <w:rPr>
          <w:i/>
        </w:rPr>
        <w:t>.</w:t>
      </w:r>
    </w:p>
    <w:p w14:paraId="3687BB93" w14:textId="77777777" w:rsidR="00E0734C" w:rsidRPr="007F6C0F" w:rsidRDefault="00E0734C" w:rsidP="00E0734C">
      <w:pPr>
        <w:pStyle w:val="Default"/>
        <w:ind w:left="720"/>
        <w:jc w:val="both"/>
      </w:pPr>
    </w:p>
    <w:p w14:paraId="0F93A4EF" w14:textId="03373328" w:rsidR="007F6C0F" w:rsidRDefault="007F6C0F" w:rsidP="00E0734C">
      <w:pPr>
        <w:pStyle w:val="Default"/>
        <w:numPr>
          <w:ilvl w:val="0"/>
          <w:numId w:val="6"/>
        </w:numPr>
        <w:jc w:val="both"/>
      </w:pPr>
      <w:r w:rsidRPr="007F6C0F">
        <w:rPr>
          <w:bCs/>
        </w:rPr>
        <w:t>je obsiahnutý v</w:t>
      </w:r>
      <w:r w:rsidRPr="00C75F4B">
        <w:t xml:space="preserve"> judikatúr</w:t>
      </w:r>
      <w:r w:rsidR="00B64579">
        <w:t>e Súdneho dvora Európskej únie</w:t>
      </w:r>
    </w:p>
    <w:p w14:paraId="2ADA9976" w14:textId="77777777" w:rsidR="00E0734C" w:rsidRDefault="00E0734C" w:rsidP="00B64579">
      <w:pPr>
        <w:pStyle w:val="Odsekzoznamu"/>
        <w:spacing w:after="0"/>
        <w:rPr>
          <w:rFonts w:ascii="Times New Roman" w:hAnsi="Times New Roman" w:cs="Times New Roman"/>
          <w:color w:val="000000"/>
          <w:sz w:val="24"/>
          <w:szCs w:val="24"/>
        </w:rPr>
      </w:pPr>
    </w:p>
    <w:p w14:paraId="19946E5F" w14:textId="3F93252F" w:rsidR="00B64579" w:rsidRDefault="00B64579" w:rsidP="00B64579">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Rozsudky týkajúce sa </w:t>
      </w:r>
      <w:r w:rsidRPr="00B64579">
        <w:rPr>
          <w:rFonts w:ascii="Times New Roman" w:hAnsi="Times New Roman" w:cs="Times New Roman"/>
          <w:color w:val="000000"/>
          <w:sz w:val="24"/>
          <w:szCs w:val="24"/>
        </w:rPr>
        <w:t>kultúrno-etick</w:t>
      </w:r>
      <w:r>
        <w:rPr>
          <w:rFonts w:ascii="Times New Roman" w:hAnsi="Times New Roman" w:cs="Times New Roman"/>
          <w:color w:val="000000"/>
          <w:sz w:val="24"/>
          <w:szCs w:val="24"/>
        </w:rPr>
        <w:t>ých</w:t>
      </w:r>
      <w:r w:rsidRPr="00B64579">
        <w:rPr>
          <w:rFonts w:ascii="Times New Roman" w:hAnsi="Times New Roman" w:cs="Times New Roman"/>
          <w:color w:val="000000"/>
          <w:sz w:val="24"/>
          <w:szCs w:val="24"/>
        </w:rPr>
        <w:t xml:space="preserve"> (hodnotov</w:t>
      </w:r>
      <w:r>
        <w:rPr>
          <w:rFonts w:ascii="Times New Roman" w:hAnsi="Times New Roman" w:cs="Times New Roman"/>
          <w:color w:val="000000"/>
          <w:sz w:val="24"/>
          <w:szCs w:val="24"/>
        </w:rPr>
        <w:t>ých</w:t>
      </w:r>
      <w:r w:rsidRPr="00B64579">
        <w:rPr>
          <w:rFonts w:ascii="Times New Roman" w:hAnsi="Times New Roman" w:cs="Times New Roman"/>
          <w:color w:val="000000"/>
          <w:sz w:val="24"/>
          <w:szCs w:val="24"/>
        </w:rPr>
        <w:t>) otáz</w:t>
      </w:r>
      <w:r>
        <w:rPr>
          <w:rFonts w:ascii="Times New Roman" w:hAnsi="Times New Roman" w:cs="Times New Roman"/>
          <w:color w:val="000000"/>
          <w:sz w:val="24"/>
          <w:szCs w:val="24"/>
        </w:rPr>
        <w:t>o</w:t>
      </w:r>
      <w:r w:rsidRPr="00B64579">
        <w:rPr>
          <w:rFonts w:ascii="Times New Roman" w:hAnsi="Times New Roman" w:cs="Times New Roman"/>
          <w:color w:val="000000"/>
          <w:sz w:val="24"/>
          <w:szCs w:val="24"/>
        </w:rPr>
        <w:t>k, ako sú otázky manželstiev osôb rovnakého pohlavia</w:t>
      </w:r>
      <w:r w:rsidR="00E0734C">
        <w:rPr>
          <w:rFonts w:ascii="Times New Roman" w:hAnsi="Times New Roman" w:cs="Times New Roman"/>
          <w:color w:val="000000"/>
          <w:sz w:val="24"/>
          <w:szCs w:val="24"/>
        </w:rPr>
        <w:t>,</w:t>
      </w:r>
      <w:r w:rsidRPr="00B64579">
        <w:rPr>
          <w:rFonts w:ascii="Times New Roman" w:hAnsi="Times New Roman" w:cs="Times New Roman"/>
          <w:color w:val="000000"/>
          <w:sz w:val="24"/>
          <w:szCs w:val="24"/>
        </w:rPr>
        <w:t xml:space="preserve"> rodičovstvo osôb rovnakého pohlavia </w:t>
      </w:r>
      <w:r w:rsidR="00E0734C">
        <w:rPr>
          <w:rFonts w:ascii="Times New Roman" w:hAnsi="Times New Roman" w:cs="Times New Roman"/>
          <w:color w:val="000000"/>
          <w:sz w:val="24"/>
          <w:szCs w:val="24"/>
        </w:rPr>
        <w:t>alebo zmenu pohlavia</w:t>
      </w:r>
      <w:r w:rsidR="000F5C9D">
        <w:rPr>
          <w:rFonts w:ascii="Times New Roman" w:hAnsi="Times New Roman" w:cs="Times New Roman"/>
          <w:color w:val="000000"/>
          <w:sz w:val="24"/>
          <w:szCs w:val="24"/>
        </w:rPr>
        <w:t>, napríklad</w:t>
      </w:r>
      <w:r>
        <w:rPr>
          <w:rFonts w:ascii="Times New Roman" w:hAnsi="Times New Roman" w:cs="Times New Roman"/>
          <w:color w:val="000000"/>
          <w:sz w:val="24"/>
          <w:szCs w:val="24"/>
        </w:rPr>
        <w:t>:</w:t>
      </w:r>
    </w:p>
    <w:p w14:paraId="0B06613B" w14:textId="77777777" w:rsidR="000516A2" w:rsidRDefault="000516A2" w:rsidP="00B64579">
      <w:pPr>
        <w:pStyle w:val="Odsekzoznamu"/>
        <w:spacing w:after="0"/>
        <w:rPr>
          <w:rFonts w:ascii="Times New Roman" w:hAnsi="Times New Roman" w:cs="Times New Roman"/>
          <w:color w:val="000000"/>
          <w:sz w:val="24"/>
          <w:szCs w:val="24"/>
        </w:rPr>
      </w:pPr>
    </w:p>
    <w:p w14:paraId="7CE4B2FA" w14:textId="77777777" w:rsidR="00C80C48" w:rsidRPr="00C80C48" w:rsidRDefault="00B64579" w:rsidP="00C80C48">
      <w:pPr>
        <w:pStyle w:val="Odsekzoznamu"/>
        <w:spacing w:after="0"/>
        <w:ind w:left="709"/>
        <w:rPr>
          <w:rFonts w:ascii="Times New Roman" w:hAnsi="Times New Roman" w:cs="Times New Roman"/>
          <w:i/>
          <w:i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C80C48">
        <w:rPr>
          <w:rFonts w:ascii="Times New Roman" w:hAnsi="Times New Roman" w:cs="Times New Roman"/>
          <w:color w:val="000000"/>
          <w:sz w:val="24"/>
          <w:szCs w:val="24"/>
        </w:rPr>
        <w:t>r</w:t>
      </w:r>
      <w:r w:rsidR="00C80C48" w:rsidRPr="00C80C48">
        <w:rPr>
          <w:rFonts w:ascii="Times New Roman" w:hAnsi="Times New Roman" w:cs="Times New Roman"/>
          <w:color w:val="000000"/>
          <w:sz w:val="24"/>
          <w:szCs w:val="24"/>
        </w:rPr>
        <w:t xml:space="preserve">ozsudok vo veci Richards, </w:t>
      </w:r>
      <w:hyperlink r:id="rId7" w:history="1">
        <w:r w:rsidR="00C80C48" w:rsidRPr="00C80C48">
          <w:rPr>
            <w:rStyle w:val="Hypertextovprepojenie"/>
            <w:rFonts w:ascii="Times New Roman" w:hAnsi="Times New Roman" w:cs="Times New Roman"/>
            <w:sz w:val="24"/>
            <w:szCs w:val="24"/>
          </w:rPr>
          <w:t>C</w:t>
        </w:r>
        <w:r w:rsidR="00C80C48" w:rsidRPr="00C80C48">
          <w:rPr>
            <w:rStyle w:val="Hypertextovprepojenie"/>
            <w:rFonts w:ascii="Times New Roman" w:hAnsi="Times New Roman" w:cs="Times New Roman"/>
            <w:sz w:val="24"/>
            <w:szCs w:val="24"/>
          </w:rPr>
          <w:noBreakHyphen/>
          <w:t>423/04</w:t>
        </w:r>
      </w:hyperlink>
    </w:p>
    <w:p w14:paraId="6CB32AB0" w14:textId="77304486" w:rsidR="00C80C48" w:rsidRDefault="00C80C48" w:rsidP="00E0734C">
      <w:pPr>
        <w:spacing w:after="0"/>
        <w:ind w:left="1418"/>
        <w:rPr>
          <w:rFonts w:ascii="Times New Roman" w:hAnsi="Times New Roman" w:cs="Times New Roman"/>
          <w:bCs/>
          <w:i/>
          <w:iCs/>
          <w:color w:val="000000"/>
          <w:sz w:val="24"/>
          <w:szCs w:val="24"/>
        </w:rPr>
      </w:pPr>
      <w:r w:rsidRPr="00C80C48">
        <w:rPr>
          <w:rFonts w:ascii="Times New Roman" w:hAnsi="Times New Roman" w:cs="Times New Roman"/>
          <w:bCs/>
          <w:i/>
          <w:iCs/>
          <w:color w:val="000000"/>
          <w:sz w:val="24"/>
          <w:szCs w:val="24"/>
        </w:rPr>
        <w:t xml:space="preserve">(21) Na úvod treba pripomenúť, že </w:t>
      </w:r>
      <w:r w:rsidRPr="00C80C48">
        <w:rPr>
          <w:rFonts w:ascii="Times New Roman" w:hAnsi="Times New Roman" w:cs="Times New Roman"/>
          <w:b/>
          <w:bCs/>
          <w:i/>
          <w:iCs/>
          <w:color w:val="000000"/>
          <w:sz w:val="24"/>
          <w:szCs w:val="24"/>
        </w:rPr>
        <w:t>členským štátom prináleží stanoviť podmienky na právne uznanie zmeny pohlavia osoby</w:t>
      </w:r>
      <w:r w:rsidRPr="00C80C48">
        <w:rPr>
          <w:rFonts w:ascii="Times New Roman" w:hAnsi="Times New Roman" w:cs="Times New Roman"/>
          <w:bCs/>
          <w:i/>
          <w:iCs/>
          <w:color w:val="000000"/>
          <w:sz w:val="24"/>
          <w:szCs w:val="24"/>
        </w:rPr>
        <w:t xml:space="preserve"> (pozri v tomto zmysle rozsudok K. B., už citovaný, bod 35).</w:t>
      </w:r>
    </w:p>
    <w:p w14:paraId="11C1C032" w14:textId="77777777" w:rsidR="00E0734C" w:rsidRPr="00C80C48" w:rsidRDefault="00E0734C" w:rsidP="00E0734C">
      <w:pPr>
        <w:spacing w:after="0"/>
        <w:ind w:left="1418"/>
        <w:rPr>
          <w:rFonts w:ascii="Times New Roman" w:hAnsi="Times New Roman" w:cs="Times New Roman"/>
          <w:bCs/>
          <w:i/>
          <w:iCs/>
          <w:color w:val="000000"/>
          <w:sz w:val="24"/>
          <w:szCs w:val="24"/>
        </w:rPr>
      </w:pPr>
    </w:p>
    <w:p w14:paraId="4F6CEDE9" w14:textId="69EE9F16" w:rsidR="00B64579" w:rsidRDefault="00C80C48" w:rsidP="00B64579">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B64579" w:rsidRPr="00B64579">
        <w:rPr>
          <w:rFonts w:ascii="Times New Roman" w:hAnsi="Times New Roman" w:cs="Times New Roman"/>
          <w:color w:val="000000"/>
          <w:sz w:val="24"/>
          <w:szCs w:val="24"/>
        </w:rPr>
        <w:t xml:space="preserve">rozsudok vo veci Parris, </w:t>
      </w:r>
      <w:hyperlink r:id="rId8" w:history="1">
        <w:r w:rsidR="00B64579" w:rsidRPr="00B64579">
          <w:rPr>
            <w:rStyle w:val="Hypertextovprepojenie"/>
            <w:rFonts w:ascii="Times New Roman" w:hAnsi="Times New Roman" w:cs="Times New Roman"/>
            <w:sz w:val="24"/>
            <w:szCs w:val="24"/>
          </w:rPr>
          <w:t>C</w:t>
        </w:r>
        <w:r w:rsidR="00B64579" w:rsidRPr="00B64579">
          <w:rPr>
            <w:rStyle w:val="Hypertextovprepojenie"/>
            <w:rFonts w:ascii="Times New Roman" w:hAnsi="Times New Roman" w:cs="Times New Roman"/>
            <w:sz w:val="24"/>
            <w:szCs w:val="24"/>
          </w:rPr>
          <w:noBreakHyphen/>
          <w:t>443/15</w:t>
        </w:r>
      </w:hyperlink>
    </w:p>
    <w:p w14:paraId="06CA5F4D" w14:textId="76CA0E00" w:rsidR="00B64579" w:rsidRDefault="00B64579" w:rsidP="00E0734C">
      <w:pPr>
        <w:spacing w:after="0"/>
        <w:ind w:left="1418"/>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 xml:space="preserve">(59) Členské štáty môžu preto </w:t>
      </w:r>
      <w:r w:rsidRPr="00B64579">
        <w:rPr>
          <w:rFonts w:ascii="Times New Roman" w:hAnsi="Times New Roman" w:cs="Times New Roman"/>
          <w:b/>
          <w:bCs/>
          <w:i/>
          <w:iCs/>
          <w:color w:val="000000"/>
          <w:sz w:val="24"/>
          <w:szCs w:val="24"/>
        </w:rPr>
        <w:t>upraviť alebo neupraviť</w:t>
      </w:r>
      <w:r>
        <w:rPr>
          <w:rFonts w:ascii="Times New Roman" w:hAnsi="Times New Roman" w:cs="Times New Roman"/>
          <w:b/>
          <w:bCs/>
          <w:i/>
          <w:iCs/>
          <w:color w:val="000000"/>
          <w:sz w:val="24"/>
          <w:szCs w:val="24"/>
        </w:rPr>
        <w:t xml:space="preserve"> manželstvo pre osoby rovnakého pohlavia alebo alternatívnu formu zákonného uznania ich vzťahu</w:t>
      </w:r>
      <w:r>
        <w:rPr>
          <w:rFonts w:ascii="Times New Roman" w:hAnsi="Times New Roman" w:cs="Times New Roman"/>
          <w:i/>
          <w:iCs/>
          <w:color w:val="000000"/>
          <w:sz w:val="24"/>
          <w:szCs w:val="24"/>
        </w:rPr>
        <w:t>, ako aj prípadne stanoviť dátum, od ktorého takéto manželstvo alebo takáto alternatívna forma bude spôsobovať účinky.</w:t>
      </w:r>
    </w:p>
    <w:p w14:paraId="40881AFF" w14:textId="77777777" w:rsidR="00E0734C" w:rsidRDefault="00E0734C" w:rsidP="00E0734C">
      <w:pPr>
        <w:spacing w:after="0"/>
        <w:ind w:left="1418"/>
        <w:rPr>
          <w:rFonts w:ascii="Times New Roman" w:hAnsi="Times New Roman" w:cs="Times New Roman"/>
          <w:i/>
          <w:iCs/>
          <w:color w:val="000000"/>
          <w:sz w:val="24"/>
          <w:szCs w:val="24"/>
        </w:rPr>
      </w:pPr>
    </w:p>
    <w:p w14:paraId="2AC9A3C2" w14:textId="77777777" w:rsidR="00E0734C" w:rsidRDefault="00B64579" w:rsidP="00E0734C">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00E0734C">
        <w:rPr>
          <w:color w:val="000000"/>
        </w:rPr>
        <w:tab/>
      </w:r>
      <w:r w:rsidR="00E0734C">
        <w:rPr>
          <w:rFonts w:ascii="Times New Roman" w:hAnsi="Times New Roman" w:cs="Times New Roman"/>
          <w:color w:val="000000"/>
          <w:sz w:val="24"/>
          <w:szCs w:val="24"/>
        </w:rPr>
        <w:t xml:space="preserve">rozsudok </w:t>
      </w:r>
      <w:r w:rsidR="00E0734C" w:rsidRPr="00B64579">
        <w:rPr>
          <w:rFonts w:ascii="Times New Roman" w:hAnsi="Times New Roman" w:cs="Times New Roman"/>
          <w:color w:val="000000"/>
          <w:sz w:val="24"/>
          <w:szCs w:val="24"/>
        </w:rPr>
        <w:t xml:space="preserve">vo veci Coman a iní, </w:t>
      </w:r>
      <w:hyperlink r:id="rId9" w:history="1">
        <w:r w:rsidR="00E0734C" w:rsidRPr="00B64579">
          <w:rPr>
            <w:rStyle w:val="Hypertextovprepojenie"/>
            <w:rFonts w:ascii="Times New Roman" w:hAnsi="Times New Roman" w:cs="Times New Roman"/>
            <w:sz w:val="24"/>
            <w:szCs w:val="24"/>
          </w:rPr>
          <w:t>C</w:t>
        </w:r>
        <w:r w:rsidR="00E0734C" w:rsidRPr="00B64579">
          <w:rPr>
            <w:rStyle w:val="Hypertextovprepojenie"/>
            <w:rFonts w:ascii="Times New Roman" w:hAnsi="Times New Roman" w:cs="Times New Roman"/>
            <w:sz w:val="24"/>
            <w:szCs w:val="24"/>
          </w:rPr>
          <w:noBreakHyphen/>
          <w:t>673/16</w:t>
        </w:r>
      </w:hyperlink>
    </w:p>
    <w:p w14:paraId="149C00B4" w14:textId="77777777" w:rsidR="00E0734C" w:rsidRDefault="00E0734C" w:rsidP="00E0734C">
      <w:pPr>
        <w:pStyle w:val="Odsekzoznamu"/>
        <w:spacing w:after="0"/>
        <w:ind w:left="1416"/>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Pr>
          <w:rFonts w:ascii="Times New Roman" w:hAnsi="Times New Roman" w:cs="Times New Roman"/>
          <w:i/>
          <w:iCs/>
          <w:color w:val="000000"/>
          <w:sz w:val="24"/>
          <w:szCs w:val="24"/>
        </w:rPr>
        <w:t xml:space="preserve">Osobný stav jednotlivcov, pod ktorý </w:t>
      </w:r>
      <w:r w:rsidRPr="00C80C48">
        <w:rPr>
          <w:rFonts w:ascii="Times New Roman" w:hAnsi="Times New Roman" w:cs="Times New Roman"/>
          <w:b/>
          <w:i/>
          <w:iCs/>
          <w:color w:val="000000"/>
          <w:sz w:val="24"/>
          <w:szCs w:val="24"/>
        </w:rPr>
        <w:t>spadajú pravidlá týkajúce sa manželstva, patrí do právomoci členských štátov a právo Únie do tejto právomoci nezasahuje</w:t>
      </w:r>
      <w:r>
        <w:rPr>
          <w:rFonts w:ascii="Times New Roman" w:hAnsi="Times New Roman" w:cs="Times New Roman"/>
          <w:i/>
          <w:iCs/>
          <w:color w:val="000000"/>
          <w:sz w:val="24"/>
          <w:szCs w:val="24"/>
        </w:rPr>
        <w:t xml:space="preserve"> (pozri v tomto zmysle rozsudky z 2. októbra 2003, Garcia Avello, </w:t>
      </w:r>
      <w:hyperlink r:id="rId10"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148/02</w:t>
        </w:r>
      </w:hyperlink>
      <w:r>
        <w:rPr>
          <w:rFonts w:ascii="Times New Roman" w:hAnsi="Times New Roman" w:cs="Times New Roman"/>
          <w:i/>
          <w:iCs/>
          <w:color w:val="000000"/>
          <w:sz w:val="24"/>
          <w:szCs w:val="24"/>
        </w:rPr>
        <w:t xml:space="preserve">, bod 25; z 1. apríla 2008, Maruko, </w:t>
      </w:r>
      <w:hyperlink r:id="rId11"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267/06</w:t>
        </w:r>
      </w:hyperlink>
      <w:r>
        <w:rPr>
          <w:rFonts w:ascii="Times New Roman" w:hAnsi="Times New Roman" w:cs="Times New Roman"/>
          <w:i/>
          <w:iCs/>
          <w:color w:val="000000"/>
          <w:sz w:val="24"/>
          <w:szCs w:val="24"/>
        </w:rPr>
        <w:t xml:space="preserve">, bod 59, ako aj zo 14. októbra 2008, Grunkin a Paul, </w:t>
      </w:r>
      <w:hyperlink r:id="rId12"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353/06</w:t>
        </w:r>
      </w:hyperlink>
      <w:r>
        <w:rPr>
          <w:rFonts w:ascii="Times New Roman" w:hAnsi="Times New Roman" w:cs="Times New Roman"/>
          <w:i/>
          <w:iCs/>
          <w:color w:val="000000"/>
          <w:sz w:val="24"/>
          <w:szCs w:val="24"/>
        </w:rPr>
        <w:t xml:space="preserve">, bod 16). </w:t>
      </w:r>
      <w:r w:rsidRPr="00B64579">
        <w:rPr>
          <w:rFonts w:ascii="Times New Roman" w:hAnsi="Times New Roman" w:cs="Times New Roman"/>
          <w:color w:val="000000"/>
          <w:sz w:val="24"/>
          <w:szCs w:val="24"/>
        </w:rPr>
        <w:t xml:space="preserve"> </w:t>
      </w:r>
    </w:p>
    <w:p w14:paraId="35DAFAFC" w14:textId="77777777" w:rsidR="00E0734C" w:rsidRDefault="00E0734C" w:rsidP="00E0734C">
      <w:pPr>
        <w:pStyle w:val="Normlny1"/>
        <w:shd w:val="clear" w:color="auto" w:fill="FFFFFF"/>
        <w:spacing w:before="0" w:beforeAutospacing="0" w:after="0" w:afterAutospacing="0"/>
        <w:ind w:left="357" w:firstLine="493"/>
        <w:jc w:val="both"/>
        <w:rPr>
          <w:color w:val="000000"/>
        </w:rPr>
      </w:pPr>
    </w:p>
    <w:p w14:paraId="654A6F7C" w14:textId="7A5E0E59" w:rsidR="00E0734C" w:rsidRDefault="00E0734C" w:rsidP="00E0734C">
      <w:pPr>
        <w:pStyle w:val="Normlny1"/>
        <w:shd w:val="clear" w:color="auto" w:fill="FFFFFF"/>
        <w:spacing w:before="0" w:beforeAutospacing="0" w:after="0" w:afterAutospacing="0"/>
        <w:ind w:left="360" w:firstLine="491"/>
        <w:jc w:val="both"/>
        <w:rPr>
          <w:i/>
          <w:iCs/>
          <w:color w:val="000000"/>
        </w:rPr>
      </w:pPr>
      <w:r>
        <w:rPr>
          <w:color w:val="000000"/>
        </w:rPr>
        <w:t>-</w:t>
      </w:r>
      <w:r>
        <w:rPr>
          <w:color w:val="000000"/>
        </w:rPr>
        <w:tab/>
        <w:t xml:space="preserve">vo veci Stolična obština, Rajon „Pančarevo“, </w:t>
      </w:r>
      <w:hyperlink r:id="rId13" w:history="1">
        <w:r w:rsidRPr="00E0734C">
          <w:rPr>
            <w:rStyle w:val="Hypertextovprepojenie"/>
          </w:rPr>
          <w:t>C</w:t>
        </w:r>
        <w:r w:rsidRPr="00E0734C">
          <w:rPr>
            <w:rStyle w:val="Hypertextovprepojenie"/>
          </w:rPr>
          <w:noBreakHyphen/>
          <w:t>490/20</w:t>
        </w:r>
      </w:hyperlink>
      <w:r w:rsidRPr="00E0734C">
        <w:rPr>
          <w:i/>
          <w:iCs/>
          <w:color w:val="000000"/>
        </w:rPr>
        <w:t xml:space="preserve"> </w:t>
      </w:r>
    </w:p>
    <w:p w14:paraId="2E2B27BD" w14:textId="50F6E6D9" w:rsidR="007F6C0F" w:rsidRDefault="00E0734C" w:rsidP="00E0734C">
      <w:pPr>
        <w:pStyle w:val="Normlny1"/>
        <w:shd w:val="clear" w:color="auto" w:fill="FFFFFF"/>
        <w:spacing w:before="0" w:beforeAutospacing="0" w:after="0" w:afterAutospacing="0"/>
        <w:ind w:left="1418"/>
        <w:jc w:val="both"/>
      </w:pPr>
      <w:r>
        <w:rPr>
          <w:i/>
          <w:iCs/>
          <w:color w:val="000000"/>
          <w:lang w:eastAsia="en-US"/>
        </w:rPr>
        <w:t xml:space="preserve">(52) V tejto súvislosti za súčasného stavu práva Únie </w:t>
      </w:r>
      <w:r w:rsidRPr="00E0734C">
        <w:rPr>
          <w:b/>
          <w:i/>
          <w:iCs/>
          <w:color w:val="000000"/>
          <w:lang w:eastAsia="en-US"/>
        </w:rPr>
        <w:t>patrí osobný stav jednotlivcov, pod ktorý spadajú pravidlá týkajúce sa manželstva a rodičovstva, do právomoci členských štátov a právo Únie do tejto právomoci nezasahuje</w:t>
      </w:r>
      <w:r>
        <w:rPr>
          <w:i/>
          <w:iCs/>
          <w:color w:val="000000"/>
          <w:lang w:eastAsia="en-US"/>
        </w:rPr>
        <w:t xml:space="preserve">. Členské štáty sa teda môžu rozhodnúť vo svojom vnútroštátnom práve upraviť alebo neupraviť manželstvo pre osoby rovnakého pohlavia, ako aj ich rodičovstvo. Pri výkone tejto právomoci však musí každý členský štát dodržiavať právo Únie, a predovšetkým ustanovenia Zmluvy o FEÚ, ktoré priznávajú každému občanovi Únie právo voľne sa pohybovať a zdržiavať sa na území členských štátov, pričom na tento účel uznajú osobný stav stanovený v inom členskom štáte v súlade s právom tohto štátu (pozri v tomto zmysle rozsudok z 5. júna 2018, Coman a i., </w:t>
      </w:r>
      <w:hyperlink r:id="rId14" w:history="1">
        <w:r>
          <w:rPr>
            <w:rStyle w:val="Hypertextovprepojenie"/>
            <w:i/>
            <w:iCs/>
            <w:lang w:eastAsia="en-US"/>
          </w:rPr>
          <w:t>C</w:t>
        </w:r>
        <w:r>
          <w:rPr>
            <w:rStyle w:val="Hypertextovprepojenie"/>
            <w:i/>
            <w:iCs/>
            <w:lang w:eastAsia="en-US"/>
          </w:rPr>
          <w:noBreakHyphen/>
          <w:t>673/16</w:t>
        </w:r>
      </w:hyperlink>
      <w:r>
        <w:rPr>
          <w:i/>
          <w:iCs/>
          <w:color w:val="000000"/>
          <w:lang w:eastAsia="en-US"/>
        </w:rPr>
        <w:t>, body 36 až 38).</w:t>
      </w:r>
    </w:p>
    <w:p w14:paraId="46AE234B" w14:textId="77777777" w:rsidR="00E0734C" w:rsidRDefault="00E0734C" w:rsidP="00C80C48">
      <w:pPr>
        <w:pStyle w:val="Default"/>
        <w:jc w:val="both"/>
        <w:rPr>
          <w:b/>
          <w:bCs/>
        </w:rPr>
      </w:pPr>
    </w:p>
    <w:p w14:paraId="7D64E0B6" w14:textId="77777777" w:rsidR="00B2233C" w:rsidRPr="00B2233C" w:rsidRDefault="00C82BE2" w:rsidP="00B2233C">
      <w:pPr>
        <w:pStyle w:val="Default"/>
        <w:jc w:val="both"/>
        <w:rPr>
          <w:b/>
          <w:bCs/>
        </w:rPr>
      </w:pPr>
      <w:r>
        <w:rPr>
          <w:b/>
          <w:bCs/>
        </w:rPr>
        <w:t>4</w:t>
      </w:r>
      <w:r w:rsidR="00B2233C">
        <w:rPr>
          <w:b/>
          <w:bCs/>
        </w:rPr>
        <w:t xml:space="preserve">. </w:t>
      </w:r>
      <w:r w:rsidR="00B2233C" w:rsidRPr="00B2233C">
        <w:rPr>
          <w:b/>
          <w:bCs/>
        </w:rPr>
        <w:t>Záväzky Slovenskej republiky vo vzťahu k Európskej únii:</w:t>
      </w:r>
    </w:p>
    <w:p w14:paraId="220D952A" w14:textId="6215B565" w:rsidR="00B2233C" w:rsidRDefault="00B2233C" w:rsidP="00B2233C">
      <w:pPr>
        <w:pStyle w:val="Default"/>
        <w:ind w:left="709" w:hanging="283"/>
        <w:jc w:val="both"/>
        <w:rPr>
          <w:bCs/>
        </w:rPr>
      </w:pPr>
      <w:r w:rsidRPr="00B2233C">
        <w:rPr>
          <w:bCs/>
        </w:rPr>
        <w:t>a) uviesť lehotu na prebranie príslušného právneho aktu Európskej únie, príp. aj osobitnú lehotu účinnosti jeho ustanovení:</w:t>
      </w:r>
    </w:p>
    <w:p w14:paraId="75DCCE89" w14:textId="77777777" w:rsidR="008C5B33" w:rsidRDefault="008C5B33" w:rsidP="00B2233C">
      <w:pPr>
        <w:pStyle w:val="Default"/>
        <w:ind w:left="709" w:hanging="283"/>
        <w:jc w:val="both"/>
        <w:rPr>
          <w:bCs/>
        </w:rPr>
      </w:pPr>
    </w:p>
    <w:p w14:paraId="3052AB0C" w14:textId="3A4D07CA" w:rsidR="00B2233C" w:rsidRPr="008C5B33" w:rsidRDefault="009D5A84" w:rsidP="00B2233C">
      <w:pPr>
        <w:pStyle w:val="Default"/>
        <w:ind w:left="709"/>
        <w:jc w:val="both"/>
        <w:rPr>
          <w:bCs/>
          <w:i/>
        </w:rPr>
      </w:pPr>
      <w:r>
        <w:rPr>
          <w:bCs/>
          <w:i/>
        </w:rPr>
        <w:t>Tra</w:t>
      </w:r>
      <w:r w:rsidR="000516A2">
        <w:rPr>
          <w:bCs/>
          <w:i/>
        </w:rPr>
        <w:t>nspozičná lehota smernice 2006/</w:t>
      </w:r>
      <w:r>
        <w:rPr>
          <w:bCs/>
          <w:i/>
        </w:rPr>
        <w:t>5</w:t>
      </w:r>
      <w:r w:rsidR="000516A2">
        <w:rPr>
          <w:bCs/>
          <w:i/>
        </w:rPr>
        <w:t>4</w:t>
      </w:r>
      <w:r>
        <w:rPr>
          <w:bCs/>
          <w:i/>
        </w:rPr>
        <w:t xml:space="preserve">/ES bola </w:t>
      </w:r>
      <w:r w:rsidR="00A53598">
        <w:rPr>
          <w:bCs/>
          <w:i/>
        </w:rPr>
        <w:t xml:space="preserve">stanovená najneskôr do </w:t>
      </w:r>
      <w:r w:rsidR="008C5B33" w:rsidRPr="008C5B33">
        <w:rPr>
          <w:bCs/>
          <w:i/>
        </w:rPr>
        <w:t>15. august</w:t>
      </w:r>
      <w:r>
        <w:rPr>
          <w:bCs/>
          <w:i/>
        </w:rPr>
        <w:t>a</w:t>
      </w:r>
      <w:r w:rsidR="008C5B33" w:rsidRPr="008C5B33">
        <w:rPr>
          <w:bCs/>
          <w:i/>
        </w:rPr>
        <w:t xml:space="preserve"> 2008</w:t>
      </w:r>
      <w:r>
        <w:rPr>
          <w:bCs/>
          <w:i/>
        </w:rPr>
        <w:t>.</w:t>
      </w:r>
    </w:p>
    <w:p w14:paraId="3AA34DA5" w14:textId="5EABE33E" w:rsidR="00B2233C" w:rsidRPr="00B2233C" w:rsidRDefault="00B2233C" w:rsidP="0082125B">
      <w:pPr>
        <w:pStyle w:val="Default"/>
        <w:jc w:val="both"/>
        <w:rPr>
          <w:bCs/>
        </w:rPr>
      </w:pPr>
    </w:p>
    <w:p w14:paraId="6E33CFDD" w14:textId="3553FBE5" w:rsidR="00B2233C" w:rsidRDefault="00B2233C" w:rsidP="00B2233C">
      <w:pPr>
        <w:pStyle w:val="Default"/>
        <w:ind w:left="709" w:hanging="283"/>
        <w:jc w:val="both"/>
        <w:rPr>
          <w:bCs/>
        </w:rPr>
      </w:pPr>
      <w:r w:rsidRPr="00B2233C">
        <w:rPr>
          <w:bCs/>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71F35CF3" w14:textId="2041D189" w:rsidR="008C5B33" w:rsidRDefault="008C5B33" w:rsidP="00B2233C">
      <w:pPr>
        <w:pStyle w:val="Default"/>
        <w:ind w:left="709" w:hanging="283"/>
        <w:jc w:val="both"/>
        <w:rPr>
          <w:bCs/>
        </w:rPr>
      </w:pPr>
    </w:p>
    <w:p w14:paraId="181046F8" w14:textId="3CAECD83" w:rsidR="008C5B33" w:rsidRPr="008C5B33" w:rsidRDefault="008C5B33" w:rsidP="008C5B33">
      <w:pPr>
        <w:pStyle w:val="Default"/>
        <w:ind w:left="709"/>
        <w:jc w:val="both"/>
        <w:rPr>
          <w:bCs/>
        </w:rPr>
      </w:pPr>
      <w:r w:rsidRPr="008C5B33">
        <w:rPr>
          <w:bCs/>
          <w:i/>
        </w:rPr>
        <w:t xml:space="preserve">Proti Slovenskej republike </w:t>
      </w:r>
      <w:r>
        <w:rPr>
          <w:bCs/>
          <w:i/>
        </w:rPr>
        <w:t>nie je</w:t>
      </w:r>
      <w:r w:rsidRPr="008C5B33">
        <w:rPr>
          <w:bCs/>
          <w:i/>
        </w:rPr>
        <w:t xml:space="preserve"> v súvislosti so smernicou 2006/5</w:t>
      </w:r>
      <w:r w:rsidR="000516A2">
        <w:rPr>
          <w:bCs/>
          <w:i/>
        </w:rPr>
        <w:t>4</w:t>
      </w:r>
      <w:r w:rsidRPr="008C5B33">
        <w:rPr>
          <w:bCs/>
          <w:i/>
        </w:rPr>
        <w:t xml:space="preserve">/ES </w:t>
      </w:r>
      <w:r>
        <w:rPr>
          <w:bCs/>
          <w:i/>
        </w:rPr>
        <w:t>vedené</w:t>
      </w:r>
      <w:r w:rsidRPr="008C5B33">
        <w:rPr>
          <w:bCs/>
          <w:i/>
        </w:rPr>
        <w:t xml:space="preserve"> konanie.</w:t>
      </w:r>
      <w:r w:rsidRPr="008C5B33">
        <w:rPr>
          <w:bCs/>
        </w:rPr>
        <w:t xml:space="preserve"> </w:t>
      </w:r>
    </w:p>
    <w:p w14:paraId="1489D303" w14:textId="3A3DAC82" w:rsidR="00B2233C" w:rsidRPr="00B2233C" w:rsidRDefault="00B2233C" w:rsidP="008C5B33">
      <w:pPr>
        <w:pStyle w:val="Default"/>
        <w:jc w:val="both"/>
        <w:rPr>
          <w:bCs/>
        </w:rPr>
      </w:pPr>
    </w:p>
    <w:p w14:paraId="45B7AFCF" w14:textId="69EF63FA" w:rsidR="007F6C0F" w:rsidRDefault="00B2233C" w:rsidP="00B2233C">
      <w:pPr>
        <w:pStyle w:val="Default"/>
        <w:ind w:left="709" w:hanging="283"/>
        <w:jc w:val="both"/>
        <w:rPr>
          <w:bCs/>
        </w:rPr>
      </w:pPr>
      <w:r w:rsidRPr="00B2233C">
        <w:rPr>
          <w:bCs/>
        </w:rPr>
        <w:t>c) uviesť informáciu o právnych predpisoch, v ktorých sú uvádzané právne akty Európskej únie už prebrané, spolu s uvedením rozsahu ich prebrania, príp. potreby prijatia ďalších úprav:</w:t>
      </w:r>
    </w:p>
    <w:p w14:paraId="1FDB4BA2" w14:textId="3AF14936" w:rsidR="0082125B" w:rsidRDefault="0082125B" w:rsidP="00B2233C">
      <w:pPr>
        <w:pStyle w:val="Default"/>
        <w:ind w:left="709" w:hanging="283"/>
        <w:jc w:val="both"/>
        <w:rPr>
          <w:bCs/>
        </w:rPr>
      </w:pPr>
    </w:p>
    <w:p w14:paraId="559281C5" w14:textId="48A9C80F" w:rsidR="0082125B" w:rsidRPr="000F5C9D" w:rsidRDefault="000516A2" w:rsidP="0082125B">
      <w:pPr>
        <w:pStyle w:val="Default"/>
        <w:ind w:left="709"/>
        <w:jc w:val="both"/>
        <w:rPr>
          <w:bCs/>
          <w:i/>
        </w:rPr>
      </w:pPr>
      <w:r>
        <w:rPr>
          <w:bCs/>
          <w:i/>
        </w:rPr>
        <w:t>Smernica 2006/</w:t>
      </w:r>
      <w:r w:rsidR="0082125B" w:rsidRPr="000F5C9D">
        <w:rPr>
          <w:bCs/>
          <w:i/>
        </w:rPr>
        <w:t>5</w:t>
      </w:r>
      <w:r>
        <w:rPr>
          <w:bCs/>
          <w:i/>
        </w:rPr>
        <w:t>4</w:t>
      </w:r>
      <w:r w:rsidR="0082125B" w:rsidRPr="000F5C9D">
        <w:rPr>
          <w:bCs/>
          <w:i/>
        </w:rPr>
        <w:t xml:space="preserve">/ES je transponovaná napr. v nasledujúcich právnych predpisoch: </w:t>
      </w:r>
    </w:p>
    <w:p w14:paraId="1F9F7D10" w14:textId="1B42B0DB" w:rsidR="0082125B" w:rsidRPr="000F5C9D" w:rsidRDefault="0082125B" w:rsidP="0082125B">
      <w:pPr>
        <w:pStyle w:val="Default"/>
        <w:ind w:left="1429"/>
        <w:jc w:val="both"/>
        <w:rPr>
          <w:bCs/>
          <w:i/>
        </w:rPr>
      </w:pPr>
      <w:r w:rsidRPr="000F5C9D">
        <w:rPr>
          <w:bCs/>
          <w:i/>
        </w:rPr>
        <w:t>- zákon č. 311/2001 Z. z. Zá</w:t>
      </w:r>
      <w:bookmarkStart w:id="0" w:name="_GoBack"/>
      <w:bookmarkEnd w:id="0"/>
      <w:r w:rsidRPr="000F5C9D">
        <w:rPr>
          <w:bCs/>
          <w:i/>
        </w:rPr>
        <w:t>konník práce,</w:t>
      </w:r>
    </w:p>
    <w:p w14:paraId="605C06C5" w14:textId="68878BCF" w:rsidR="0082125B" w:rsidRPr="000F5C9D" w:rsidRDefault="0082125B" w:rsidP="0082125B">
      <w:pPr>
        <w:pStyle w:val="Default"/>
        <w:ind w:left="1429"/>
        <w:jc w:val="both"/>
        <w:rPr>
          <w:bCs/>
          <w:i/>
        </w:rPr>
      </w:pPr>
      <w:r w:rsidRPr="000F5C9D">
        <w:rPr>
          <w:bCs/>
          <w:i/>
        </w:rPr>
        <w:t>- zákon č. 552/2003 Z. z. o výkone práce vo verejnom záujme,</w:t>
      </w:r>
    </w:p>
    <w:p w14:paraId="42571862" w14:textId="01A0F0C8" w:rsidR="0082125B" w:rsidRDefault="0082125B" w:rsidP="0082125B">
      <w:pPr>
        <w:pStyle w:val="Default"/>
        <w:ind w:left="1429"/>
        <w:jc w:val="both"/>
        <w:rPr>
          <w:bCs/>
          <w:i/>
        </w:rPr>
      </w:pPr>
      <w:r w:rsidRPr="000F5C9D">
        <w:rPr>
          <w:bCs/>
          <w:i/>
        </w:rPr>
        <w:t>- zákon č. 55/2017 Z. z. o štátnej službe a o zmene a doplnení niektorých zákonov</w:t>
      </w:r>
      <w:r w:rsidR="000F5C9D" w:rsidRPr="000F5C9D">
        <w:rPr>
          <w:bCs/>
          <w:i/>
        </w:rPr>
        <w:t>.</w:t>
      </w:r>
    </w:p>
    <w:p w14:paraId="0B301C1E" w14:textId="26C0F669" w:rsidR="000F5C9D" w:rsidRDefault="000F5C9D" w:rsidP="00E36039">
      <w:pPr>
        <w:pStyle w:val="Default"/>
        <w:jc w:val="both"/>
        <w:rPr>
          <w:bCs/>
          <w:i/>
        </w:rPr>
      </w:pPr>
    </w:p>
    <w:p w14:paraId="2DC86B1A" w14:textId="285AFA2E" w:rsidR="000F5C9D" w:rsidRDefault="000F5C9D" w:rsidP="000F5C9D">
      <w:pPr>
        <w:pStyle w:val="Default"/>
        <w:ind w:left="1429" w:hanging="1429"/>
        <w:jc w:val="both"/>
        <w:rPr>
          <w:b/>
          <w:bCs/>
        </w:rPr>
      </w:pPr>
      <w:r w:rsidRPr="000F5C9D">
        <w:rPr>
          <w:b/>
          <w:bCs/>
        </w:rPr>
        <w:t>5. Návrh zákona je zlučiteľný s právom Európskej únie:</w:t>
      </w:r>
    </w:p>
    <w:p w14:paraId="453C88D5" w14:textId="3E5A3037" w:rsidR="000F5C9D" w:rsidRDefault="000F5C9D" w:rsidP="000F5C9D">
      <w:pPr>
        <w:pStyle w:val="Default"/>
        <w:ind w:left="1429" w:hanging="1429"/>
        <w:jc w:val="both"/>
        <w:rPr>
          <w:b/>
          <w:bCs/>
        </w:rPr>
      </w:pPr>
    </w:p>
    <w:p w14:paraId="24F889D8" w14:textId="3309E06A" w:rsidR="000F5C9D" w:rsidRPr="000F5C9D" w:rsidRDefault="000F5C9D" w:rsidP="000F5C9D">
      <w:pPr>
        <w:pStyle w:val="Default"/>
        <w:ind w:left="709"/>
        <w:jc w:val="both"/>
        <w:rPr>
          <w:bCs/>
          <w:i/>
        </w:rPr>
      </w:pPr>
      <w:r w:rsidRPr="000F5C9D">
        <w:rPr>
          <w:bCs/>
          <w:i/>
        </w:rPr>
        <w:t>úplne</w:t>
      </w:r>
    </w:p>
    <w:p w14:paraId="6B555C31" w14:textId="77777777" w:rsidR="0082125B" w:rsidRDefault="0082125B" w:rsidP="0082125B">
      <w:pPr>
        <w:pStyle w:val="Default"/>
        <w:ind w:left="1429"/>
        <w:jc w:val="both"/>
        <w:rPr>
          <w:bCs/>
        </w:rPr>
      </w:pPr>
    </w:p>
    <w:p w14:paraId="352E6F5C" w14:textId="77777777" w:rsidR="0082125B" w:rsidRPr="00B2233C" w:rsidRDefault="0082125B" w:rsidP="0082125B">
      <w:pPr>
        <w:pStyle w:val="Default"/>
        <w:ind w:left="1429"/>
        <w:jc w:val="both"/>
      </w:pPr>
    </w:p>
    <w:p w14:paraId="32E066E0" w14:textId="77777777" w:rsidR="007F6C0F" w:rsidRPr="00C75F4B" w:rsidRDefault="007F6C0F" w:rsidP="007F6C0F">
      <w:pPr>
        <w:spacing w:after="0"/>
        <w:rPr>
          <w:rFonts w:ascii="Times New Roman" w:hAnsi="Times New Roman" w:cs="Times New Roman"/>
          <w:b/>
          <w:sz w:val="24"/>
          <w:szCs w:val="24"/>
        </w:rPr>
      </w:pPr>
    </w:p>
    <w:p w14:paraId="65D76E92" w14:textId="77777777" w:rsidR="007F6C0F" w:rsidRPr="00C75F4B" w:rsidRDefault="007F6C0F" w:rsidP="007F6C0F">
      <w:pPr>
        <w:spacing w:after="0"/>
        <w:rPr>
          <w:rFonts w:ascii="Times New Roman" w:hAnsi="Times New Roman" w:cs="Times New Roman"/>
          <w:b/>
          <w:sz w:val="24"/>
          <w:szCs w:val="24"/>
        </w:rPr>
      </w:pPr>
    </w:p>
    <w:p w14:paraId="14B9D705" w14:textId="77777777" w:rsidR="007F6C0F" w:rsidRPr="00C75F4B" w:rsidRDefault="007F6C0F" w:rsidP="007F6C0F">
      <w:pPr>
        <w:spacing w:after="0"/>
        <w:rPr>
          <w:rFonts w:ascii="Times New Roman" w:hAnsi="Times New Roman" w:cs="Times New Roman"/>
          <w:b/>
          <w:sz w:val="24"/>
          <w:szCs w:val="24"/>
        </w:rPr>
      </w:pPr>
    </w:p>
    <w:p w14:paraId="387A9796" w14:textId="77777777" w:rsidR="007F6C0F" w:rsidRDefault="007F6C0F" w:rsidP="007F6C0F">
      <w:pPr>
        <w:spacing w:after="0"/>
        <w:rPr>
          <w:rFonts w:ascii="Times New Roman" w:hAnsi="Times New Roman" w:cs="Times New Roman"/>
          <w:b/>
          <w:sz w:val="24"/>
          <w:szCs w:val="24"/>
        </w:rPr>
      </w:pPr>
    </w:p>
    <w:p w14:paraId="521614E1" w14:textId="77777777" w:rsidR="007F6C0F" w:rsidRDefault="007F6C0F" w:rsidP="007F6C0F">
      <w:pPr>
        <w:spacing w:after="0"/>
        <w:rPr>
          <w:rFonts w:ascii="Times New Roman" w:hAnsi="Times New Roman" w:cs="Times New Roman"/>
          <w:b/>
          <w:sz w:val="24"/>
          <w:szCs w:val="24"/>
        </w:rPr>
      </w:pPr>
    </w:p>
    <w:p w14:paraId="342BEF34" w14:textId="77777777" w:rsidR="007F6C0F" w:rsidRDefault="007F6C0F" w:rsidP="007F6C0F">
      <w:pPr>
        <w:spacing w:after="0"/>
        <w:rPr>
          <w:rFonts w:ascii="Times New Roman" w:hAnsi="Times New Roman" w:cs="Times New Roman"/>
          <w:b/>
          <w:sz w:val="24"/>
          <w:szCs w:val="24"/>
        </w:rPr>
      </w:pPr>
    </w:p>
    <w:p w14:paraId="14847436" w14:textId="77777777" w:rsidR="007F6C0F" w:rsidRDefault="007F6C0F" w:rsidP="007F6C0F">
      <w:pPr>
        <w:spacing w:after="0"/>
        <w:rPr>
          <w:rFonts w:ascii="Times New Roman" w:hAnsi="Times New Roman" w:cs="Times New Roman"/>
          <w:b/>
          <w:sz w:val="24"/>
          <w:szCs w:val="24"/>
        </w:rPr>
      </w:pPr>
    </w:p>
    <w:p w14:paraId="386AF8AF" w14:textId="77777777" w:rsidR="00F50FBC" w:rsidRDefault="00F50FBC"/>
    <w:sectPr w:rsidR="00F50FBC" w:rsidSect="00E0734C">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E9A8" w14:textId="77777777" w:rsidR="00F21159" w:rsidRDefault="00F21159" w:rsidP="00E02D25">
      <w:pPr>
        <w:spacing w:after="0" w:line="240" w:lineRule="auto"/>
      </w:pPr>
      <w:r>
        <w:separator/>
      </w:r>
    </w:p>
  </w:endnote>
  <w:endnote w:type="continuationSeparator" w:id="0">
    <w:p w14:paraId="571DF1FC" w14:textId="77777777" w:rsidR="00F21159" w:rsidRDefault="00F21159" w:rsidP="00E0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2EC7" w14:textId="77777777" w:rsidR="00F21159" w:rsidRDefault="00F21159" w:rsidP="00E02D25">
      <w:pPr>
        <w:spacing w:after="0" w:line="240" w:lineRule="auto"/>
      </w:pPr>
      <w:r>
        <w:separator/>
      </w:r>
    </w:p>
  </w:footnote>
  <w:footnote w:type="continuationSeparator" w:id="0">
    <w:p w14:paraId="6C3F61D3" w14:textId="77777777" w:rsidR="00F21159" w:rsidRDefault="00F21159" w:rsidP="00E02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BFC"/>
    <w:multiLevelType w:val="hybridMultilevel"/>
    <w:tmpl w:val="F998DC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6D6591"/>
    <w:multiLevelType w:val="hybridMultilevel"/>
    <w:tmpl w:val="6FE657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79104A"/>
    <w:multiLevelType w:val="hybridMultilevel"/>
    <w:tmpl w:val="FD5419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33745EFE">
      <w:start w:val="37"/>
      <w:numFmt w:val="bullet"/>
      <w:lvlText w:val="-"/>
      <w:lvlJc w:val="left"/>
      <w:pPr>
        <w:ind w:left="5040" w:hanging="360"/>
      </w:pPr>
      <w:rPr>
        <w:rFonts w:ascii="Times New Roman" w:eastAsiaTheme="minorHAnsi" w:hAnsi="Times New Roman" w:cs="Times New Roman"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2A74432"/>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3C6438"/>
    <w:multiLevelType w:val="hybridMultilevel"/>
    <w:tmpl w:val="2814CB7E"/>
    <w:lvl w:ilvl="0" w:tplc="34BC94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EEB504A"/>
    <w:multiLevelType w:val="hybridMultilevel"/>
    <w:tmpl w:val="C0700AE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0F"/>
    <w:rsid w:val="000516A2"/>
    <w:rsid w:val="000D7342"/>
    <w:rsid w:val="000F5C9D"/>
    <w:rsid w:val="002A5084"/>
    <w:rsid w:val="00315FD1"/>
    <w:rsid w:val="00382E97"/>
    <w:rsid w:val="004214DE"/>
    <w:rsid w:val="0042304F"/>
    <w:rsid w:val="004F0962"/>
    <w:rsid w:val="00512887"/>
    <w:rsid w:val="006760BB"/>
    <w:rsid w:val="006F6FDD"/>
    <w:rsid w:val="007F6C0F"/>
    <w:rsid w:val="0082125B"/>
    <w:rsid w:val="008C5B33"/>
    <w:rsid w:val="009D5A84"/>
    <w:rsid w:val="009F7128"/>
    <w:rsid w:val="00A53598"/>
    <w:rsid w:val="00AA2269"/>
    <w:rsid w:val="00B2233C"/>
    <w:rsid w:val="00B64579"/>
    <w:rsid w:val="00C0230B"/>
    <w:rsid w:val="00C44A5C"/>
    <w:rsid w:val="00C46698"/>
    <w:rsid w:val="00C80C48"/>
    <w:rsid w:val="00C82BE2"/>
    <w:rsid w:val="00E02D25"/>
    <w:rsid w:val="00E0734C"/>
    <w:rsid w:val="00E34753"/>
    <w:rsid w:val="00E36039"/>
    <w:rsid w:val="00F21159"/>
    <w:rsid w:val="00F50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EC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6C0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F6C0F"/>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7F6C0F"/>
    <w:rPr>
      <w:b/>
      <w:bCs/>
    </w:rPr>
  </w:style>
  <w:style w:type="paragraph" w:styleId="Odsekzoznamu">
    <w:name w:val="List Paragraph"/>
    <w:aliases w:val="Odsek zoznamu1,Odsek,body,Odsek zoznamu2"/>
    <w:basedOn w:val="Normlny"/>
    <w:link w:val="OdsekzoznamuChar"/>
    <w:uiPriority w:val="34"/>
    <w:qFormat/>
    <w:rsid w:val="007F6C0F"/>
    <w:pPr>
      <w:spacing w:after="160" w:line="259" w:lineRule="auto"/>
      <w:ind w:left="720"/>
      <w:contextualSpacing/>
    </w:pPr>
  </w:style>
  <w:style w:type="character" w:customStyle="1" w:styleId="OdsekzoznamuChar">
    <w:name w:val="Odsek zoznamu Char"/>
    <w:aliases w:val="Odsek zoznamu1 Char,Odsek Char,body Char,Odsek zoznamu2 Char"/>
    <w:link w:val="Odsekzoznamu"/>
    <w:uiPriority w:val="34"/>
    <w:locked/>
    <w:rsid w:val="007F6C0F"/>
  </w:style>
  <w:style w:type="character" w:styleId="Hypertextovprepojenie">
    <w:name w:val="Hyperlink"/>
    <w:basedOn w:val="Predvolenpsmoodseku"/>
    <w:uiPriority w:val="99"/>
    <w:unhideWhenUsed/>
    <w:rsid w:val="00B64579"/>
    <w:rPr>
      <w:color w:val="0563C1"/>
      <w:u w:val="single"/>
    </w:rPr>
  </w:style>
  <w:style w:type="character" w:styleId="PouitHypertextovPrepojenie">
    <w:name w:val="FollowedHyperlink"/>
    <w:basedOn w:val="Predvolenpsmoodseku"/>
    <w:uiPriority w:val="99"/>
    <w:semiHidden/>
    <w:unhideWhenUsed/>
    <w:rsid w:val="00B64579"/>
    <w:rPr>
      <w:color w:val="954F72" w:themeColor="followedHyperlink"/>
      <w:u w:val="single"/>
    </w:rPr>
  </w:style>
  <w:style w:type="paragraph" w:customStyle="1" w:styleId="Normlny1">
    <w:name w:val="Normálny1"/>
    <w:basedOn w:val="Normlny"/>
    <w:rsid w:val="00E0734C"/>
    <w:pPr>
      <w:spacing w:before="100" w:beforeAutospacing="1" w:after="100" w:afterAutospacing="1" w:line="240" w:lineRule="auto"/>
    </w:pPr>
    <w:rPr>
      <w:rFonts w:ascii="Times New Roman" w:hAnsi="Times New Roman" w:cs="Times New Roman"/>
      <w:sz w:val="24"/>
      <w:szCs w:val="24"/>
      <w:lang w:eastAsia="sk-SK"/>
    </w:rPr>
  </w:style>
  <w:style w:type="paragraph" w:styleId="Hlavika">
    <w:name w:val="header"/>
    <w:basedOn w:val="Normlny"/>
    <w:link w:val="HlavikaChar"/>
    <w:uiPriority w:val="99"/>
    <w:unhideWhenUsed/>
    <w:rsid w:val="00E02D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2D25"/>
  </w:style>
  <w:style w:type="paragraph" w:styleId="Pta">
    <w:name w:val="footer"/>
    <w:basedOn w:val="Normlny"/>
    <w:link w:val="PtaChar"/>
    <w:uiPriority w:val="99"/>
    <w:unhideWhenUsed/>
    <w:rsid w:val="00E02D25"/>
    <w:pPr>
      <w:tabs>
        <w:tab w:val="center" w:pos="4536"/>
        <w:tab w:val="right" w:pos="9072"/>
      </w:tabs>
      <w:spacing w:after="0" w:line="240" w:lineRule="auto"/>
    </w:pPr>
  </w:style>
  <w:style w:type="character" w:customStyle="1" w:styleId="PtaChar">
    <w:name w:val="Päta Char"/>
    <w:basedOn w:val="Predvolenpsmoodseku"/>
    <w:link w:val="Pta"/>
    <w:uiPriority w:val="99"/>
    <w:rsid w:val="00E02D25"/>
  </w:style>
  <w:style w:type="character" w:styleId="Zvraznenie">
    <w:name w:val="Emphasis"/>
    <w:basedOn w:val="Predvolenpsmoodseku"/>
    <w:uiPriority w:val="20"/>
    <w:qFormat/>
    <w:rsid w:val="00B22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136">
      <w:bodyDiv w:val="1"/>
      <w:marLeft w:val="0"/>
      <w:marRight w:val="0"/>
      <w:marTop w:val="0"/>
      <w:marBottom w:val="0"/>
      <w:divBdr>
        <w:top w:val="none" w:sz="0" w:space="0" w:color="auto"/>
        <w:left w:val="none" w:sz="0" w:space="0" w:color="auto"/>
        <w:bottom w:val="none" w:sz="0" w:space="0" w:color="auto"/>
        <w:right w:val="none" w:sz="0" w:space="0" w:color="auto"/>
      </w:divBdr>
    </w:div>
    <w:div w:id="883104605">
      <w:bodyDiv w:val="1"/>
      <w:marLeft w:val="0"/>
      <w:marRight w:val="0"/>
      <w:marTop w:val="0"/>
      <w:marBottom w:val="0"/>
      <w:divBdr>
        <w:top w:val="none" w:sz="0" w:space="0" w:color="auto"/>
        <w:left w:val="none" w:sz="0" w:space="0" w:color="auto"/>
        <w:bottom w:val="none" w:sz="0" w:space="0" w:color="auto"/>
        <w:right w:val="none" w:sz="0" w:space="0" w:color="auto"/>
      </w:divBdr>
    </w:div>
    <w:div w:id="1208562259">
      <w:bodyDiv w:val="1"/>
      <w:marLeft w:val="0"/>
      <w:marRight w:val="0"/>
      <w:marTop w:val="0"/>
      <w:marBottom w:val="0"/>
      <w:divBdr>
        <w:top w:val="none" w:sz="0" w:space="0" w:color="auto"/>
        <w:left w:val="none" w:sz="0" w:space="0" w:color="auto"/>
        <w:bottom w:val="none" w:sz="0" w:space="0" w:color="auto"/>
        <w:right w:val="none" w:sz="0" w:space="0" w:color="auto"/>
      </w:divBdr>
    </w:div>
    <w:div w:id="177451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185565&amp;pageIndex=0&amp;doclang=SK&amp;mode=lst&amp;dir=&amp;occ=first&amp;part=1&amp;cid=22476245" TargetMode="External"/><Relationship Id="rId13" Type="http://schemas.openxmlformats.org/officeDocument/2006/relationships/hyperlink" Target="https://curia.europa.eu/juris/document/document.jsf;jsessionid=C01BB211A32589650C2D255847E464B6?text=&amp;docid=251201&amp;pageIndex=0&amp;doclang=SK&amp;mode=lst&amp;dir=&amp;occ=first&amp;part=1&amp;cid=2651561" TargetMode="External"/><Relationship Id="rId3" Type="http://schemas.openxmlformats.org/officeDocument/2006/relationships/settings" Target="settings.xml"/><Relationship Id="rId7" Type="http://schemas.openxmlformats.org/officeDocument/2006/relationships/hyperlink" Target="https://curia.europa.eu/juris/document/document.jsf?text=&amp;docid=56252&amp;pageIndex=0&amp;doclang=sk&amp;mode=lst&amp;dir=&amp;occ=first&amp;part=1&amp;cid=810087" TargetMode="External"/><Relationship Id="rId12" Type="http://schemas.openxmlformats.org/officeDocument/2006/relationships/hyperlink" Target="https://curia.europa.eu/juris/document/document.jsf?text=&amp;docid=69308&amp;pageIndex=0&amp;doclang=sk&amp;mode=lst&amp;dir=&amp;occ=first&amp;part=1&amp;cid=270324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text=&amp;docid=70854&amp;pageIndex=0&amp;doclang=sk&amp;mode=lst&amp;dir=&amp;occ=first&amp;part=1&amp;cid=270322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uria.europa.eu/juris/document/document.jsf?text=&amp;docid=48670&amp;pageIndex=0&amp;doclang=SK&amp;mode=lst&amp;dir=&amp;occ=first&amp;part=1&amp;cid=27032082" TargetMode="External"/><Relationship Id="rId4" Type="http://schemas.openxmlformats.org/officeDocument/2006/relationships/webSettings" Target="webSettings.xml"/><Relationship Id="rId9" Type="http://schemas.openxmlformats.org/officeDocument/2006/relationships/hyperlink" Target="https://eur-lex.europa.eu/legal-content/SK/TXT/?uri=CELEX:62016CJ0673" TargetMode="External"/><Relationship Id="rId14" Type="http://schemas.openxmlformats.org/officeDocument/2006/relationships/hyperlink" Target="https://curia.europa.eu/juris/document/document.jsf?text=&amp;docid=202542&amp;doclang=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2025-02-10T13:04:00Z</dcterms:created>
  <dcterms:modified xsi:type="dcterms:W3CDTF">2025-02-10T13:04:00Z</dcterms:modified>
</cp:coreProperties>
</file>