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E7" w:rsidRDefault="00B142E7">
      <w:pPr>
        <w:pStyle w:val="Zkladntext"/>
        <w:spacing w:before="96"/>
        <w:rPr>
          <w:b/>
        </w:rPr>
      </w:pPr>
    </w:p>
    <w:p w:rsidR="001A67A5" w:rsidRDefault="001A67A5" w:rsidP="001A67A5">
      <w:pPr>
        <w:pStyle w:val="Nzov"/>
        <w:ind w:left="0"/>
        <w:jc w:val="center"/>
        <w:rPr>
          <w:spacing w:val="-6"/>
        </w:rPr>
      </w:pPr>
      <w:r>
        <w:rPr>
          <w:noProof/>
          <w:lang w:eastAsia="sk-SK"/>
        </w:rPr>
        <w:drawing>
          <wp:anchor distT="0" distB="0" distL="0" distR="0" simplePos="0" relativeHeight="251657728" behindDoc="1" locked="0" layoutInCell="1" allowOverlap="1" wp14:anchorId="44A20451" wp14:editId="168C7E28">
            <wp:simplePos x="0" y="0"/>
            <wp:positionH relativeFrom="page">
              <wp:posOffset>4032250</wp:posOffset>
            </wp:positionH>
            <wp:positionV relativeFrom="paragraph">
              <wp:posOffset>44830</wp:posOffset>
            </wp:positionV>
            <wp:extent cx="189229" cy="3346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TABUĽKA</w:t>
      </w:r>
      <w:r>
        <w:rPr>
          <w:spacing w:val="-3"/>
        </w:rPr>
        <w:t xml:space="preserve"> </w:t>
      </w:r>
      <w:r>
        <w:t>ZHODY</w:t>
      </w:r>
    </w:p>
    <w:p w:rsidR="00B142E7" w:rsidRPr="001A67A5" w:rsidRDefault="001A67A5" w:rsidP="001A67A5">
      <w:pPr>
        <w:pStyle w:val="Nzov"/>
        <w:ind w:left="142"/>
        <w:jc w:val="center"/>
      </w:pPr>
      <w:r>
        <w:t>návrhu</w:t>
      </w:r>
      <w:r>
        <w:rPr>
          <w:spacing w:val="-6"/>
        </w:rPr>
        <w:t xml:space="preserve"> </w:t>
      </w:r>
      <w:r w:rsidR="00344AB2">
        <w:rPr>
          <w:spacing w:val="-6"/>
        </w:rPr>
        <w:t>právneho predpisu</w:t>
      </w:r>
      <w:r>
        <w:rPr>
          <w:spacing w:val="-5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právom</w:t>
      </w:r>
      <w:r>
        <w:rPr>
          <w:spacing w:val="-9"/>
        </w:rPr>
        <w:t xml:space="preserve"> </w:t>
      </w:r>
      <w:r>
        <w:t>Európskej</w:t>
      </w:r>
      <w:r>
        <w:rPr>
          <w:spacing w:val="-4"/>
        </w:rPr>
        <w:t xml:space="preserve"> únie</w:t>
      </w:r>
    </w:p>
    <w:p w:rsidR="001A67A5" w:rsidRDefault="001A67A5">
      <w:pPr>
        <w:pStyle w:val="Zkladntext"/>
        <w:spacing w:before="1"/>
        <w:rPr>
          <w:b/>
        </w:rPr>
      </w:pPr>
    </w:p>
    <w:p w:rsidR="001A67A5" w:rsidRPr="009332C4" w:rsidRDefault="001A67A5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87"/>
        <w:gridCol w:w="711"/>
        <w:gridCol w:w="992"/>
        <w:gridCol w:w="852"/>
        <w:gridCol w:w="3826"/>
        <w:gridCol w:w="993"/>
        <w:gridCol w:w="849"/>
        <w:gridCol w:w="707"/>
        <w:gridCol w:w="851"/>
      </w:tblGrid>
      <w:tr w:rsidR="001A67A5" w:rsidRPr="009332C4" w:rsidTr="00731AFE">
        <w:trPr>
          <w:trHeight w:val="490"/>
        </w:trPr>
        <w:tc>
          <w:tcPr>
            <w:tcW w:w="6950" w:type="dxa"/>
            <w:gridSpan w:val="3"/>
          </w:tcPr>
          <w:p w:rsidR="001A67A5" w:rsidRPr="00F72F32" w:rsidRDefault="001A67A5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>Smernica</w:t>
            </w:r>
          </w:p>
        </w:tc>
        <w:tc>
          <w:tcPr>
            <w:tcW w:w="9070" w:type="dxa"/>
            <w:gridSpan w:val="7"/>
          </w:tcPr>
          <w:p w:rsidR="001A67A5" w:rsidRPr="009332C4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Právne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predpisy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Slovenskej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republiky</w:t>
            </w:r>
          </w:p>
        </w:tc>
      </w:tr>
      <w:tr w:rsidR="001A67A5" w:rsidRPr="009332C4" w:rsidTr="00731AFE">
        <w:trPr>
          <w:trHeight w:val="490"/>
        </w:trPr>
        <w:tc>
          <w:tcPr>
            <w:tcW w:w="6950" w:type="dxa"/>
            <w:gridSpan w:val="3"/>
          </w:tcPr>
          <w:p w:rsidR="001A67A5" w:rsidRPr="00843DBE" w:rsidRDefault="001A67A5" w:rsidP="00A94ED1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8012C8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mernica Európskeho parlamentu a Rady </w:t>
            </w:r>
            <w:r w:rsidR="00A94ED1" w:rsidRPr="00A94ED1">
              <w:rPr>
                <w:b/>
                <w:sz w:val="20"/>
                <w:szCs w:val="20"/>
              </w:rPr>
              <w:t>2014/53/EÚ</w:t>
            </w:r>
            <w:r w:rsidR="00A94ED1">
              <w:rPr>
                <w:b/>
                <w:sz w:val="20"/>
                <w:szCs w:val="20"/>
              </w:rPr>
              <w:t xml:space="preserve"> zo 16. apríla 2014 </w:t>
            </w:r>
            <w:r w:rsidR="00A94ED1" w:rsidRPr="00A94ED1">
              <w:rPr>
                <w:b/>
                <w:sz w:val="20"/>
                <w:szCs w:val="20"/>
              </w:rPr>
              <w:t>o harmonizácii právnych predpisov členských štátov týkajúcich sa sprístupňovania rádiových zariadení na trhu, ktorou sa zrušuje smernica 1999/5/ES</w:t>
            </w:r>
            <w:r w:rsidR="00A94ED1">
              <w:rPr>
                <w:b/>
                <w:sz w:val="20"/>
                <w:szCs w:val="20"/>
              </w:rPr>
              <w:t xml:space="preserve"> </w:t>
            </w:r>
            <w:r w:rsidR="00561E2C">
              <w:rPr>
                <w:b/>
                <w:sz w:val="20"/>
              </w:rPr>
              <w:t>(Ú. v. EÚ</w:t>
            </w:r>
            <w:r>
              <w:rPr>
                <w:b/>
                <w:sz w:val="20"/>
              </w:rPr>
              <w:t xml:space="preserve"> L </w:t>
            </w:r>
            <w:r w:rsidR="00843DBE">
              <w:rPr>
                <w:b/>
                <w:sz w:val="20"/>
              </w:rPr>
              <w:t>1</w:t>
            </w:r>
            <w:r w:rsidR="00A94ED1">
              <w:rPr>
                <w:b/>
                <w:sz w:val="20"/>
              </w:rPr>
              <w:t>53</w:t>
            </w:r>
            <w:r>
              <w:rPr>
                <w:b/>
                <w:sz w:val="20"/>
              </w:rPr>
              <w:t xml:space="preserve">, </w:t>
            </w:r>
            <w:r w:rsidR="00A94ED1">
              <w:rPr>
                <w:b/>
                <w:sz w:val="20"/>
              </w:rPr>
              <w:t>22</w:t>
            </w:r>
            <w:r>
              <w:rPr>
                <w:b/>
                <w:sz w:val="20"/>
              </w:rPr>
              <w:t>.</w:t>
            </w:r>
            <w:r w:rsidR="00843D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.201</w:t>
            </w:r>
            <w:r w:rsidR="00A94ED1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)</w:t>
            </w:r>
            <w:r w:rsidR="002E084B">
              <w:rPr>
                <w:b/>
                <w:sz w:val="20"/>
                <w:szCs w:val="20"/>
              </w:rPr>
              <w:t xml:space="preserve"> v platnom znení</w:t>
            </w:r>
          </w:p>
          <w:p w:rsidR="00A94ED1" w:rsidRPr="00A94ED1" w:rsidRDefault="00A94ED1" w:rsidP="00A94ED1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843DBE" w:rsidRPr="00F72F32" w:rsidRDefault="00843DBE" w:rsidP="00A94ED1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70" w:type="dxa"/>
            <w:gridSpan w:val="7"/>
          </w:tcPr>
          <w:p w:rsidR="001A67A5" w:rsidRDefault="001A67A5" w:rsidP="001A67A5">
            <w:pPr>
              <w:pStyle w:val="TableParagraph"/>
              <w:spacing w:line="259" w:lineRule="auto"/>
              <w:ind w:left="116" w:right="96" w:hanging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Návrh zákona, </w:t>
            </w:r>
            <w:r w:rsidRPr="008012C8">
              <w:rPr>
                <w:b/>
                <w:sz w:val="20"/>
              </w:rPr>
              <w:t>ktorým sa mení a dopĺňa zákon č. 55/2017 Z. z. o štátnej službe a o zmene a doplnení niektorých zákonov v znení neskorších predpisov a ktorým sa menia a dopĺňajú niektoré zákony</w:t>
            </w:r>
            <w:r>
              <w:rPr>
                <w:b/>
                <w:sz w:val="20"/>
              </w:rPr>
              <w:t xml:space="preserve"> (ďalej len „NZ“)</w:t>
            </w:r>
          </w:p>
          <w:p w:rsidR="001A67A5" w:rsidRPr="009332C4" w:rsidRDefault="001A67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67A5" w:rsidRPr="009332C4" w:rsidTr="00E3343C">
        <w:trPr>
          <w:trHeight w:val="490"/>
        </w:trPr>
        <w:tc>
          <w:tcPr>
            <w:tcW w:w="852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1A67A5" w:rsidRPr="001A67A5" w:rsidRDefault="001A67A5" w:rsidP="001A67A5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10</w:t>
            </w:r>
          </w:p>
        </w:tc>
      </w:tr>
      <w:tr w:rsidR="001A67A5" w:rsidRPr="009332C4" w:rsidTr="00E3343C">
        <w:trPr>
          <w:trHeight w:val="490"/>
        </w:trPr>
        <w:tc>
          <w:tcPr>
            <w:tcW w:w="852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Článok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(Č, O,</w:t>
            </w:r>
          </w:p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V, P)</w:t>
            </w:r>
          </w:p>
        </w:tc>
        <w:tc>
          <w:tcPr>
            <w:tcW w:w="5387" w:type="dxa"/>
          </w:tcPr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Text</w:t>
            </w:r>
          </w:p>
        </w:tc>
        <w:tc>
          <w:tcPr>
            <w:tcW w:w="711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Spôs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ob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trans</w:t>
            </w:r>
          </w:p>
          <w:p w:rsidR="001A67A5" w:rsidRPr="002D35A7" w:rsidRDefault="002D35A7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pozície</w:t>
            </w:r>
          </w:p>
        </w:tc>
        <w:tc>
          <w:tcPr>
            <w:tcW w:w="992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Číslo</w:t>
            </w:r>
          </w:p>
        </w:tc>
        <w:tc>
          <w:tcPr>
            <w:tcW w:w="852" w:type="dxa"/>
          </w:tcPr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Článok (Č, §, O, V, P)</w:t>
            </w:r>
          </w:p>
        </w:tc>
        <w:tc>
          <w:tcPr>
            <w:tcW w:w="3826" w:type="dxa"/>
          </w:tcPr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993" w:type="dxa"/>
          </w:tcPr>
          <w:p w:rsidR="001A67A5" w:rsidRPr="002D35A7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2D35A7">
              <w:rPr>
                <w:spacing w:val="-4"/>
                <w:sz w:val="20"/>
              </w:rPr>
              <w:t>Zhoda</w:t>
            </w:r>
          </w:p>
        </w:tc>
        <w:tc>
          <w:tcPr>
            <w:tcW w:w="849" w:type="dxa"/>
          </w:tcPr>
          <w:p w:rsidR="001A67A5" w:rsidRPr="001A67A5" w:rsidRDefault="001A67A5" w:rsidP="002D35A7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Pozná</w:t>
            </w:r>
          </w:p>
          <w:p w:rsidR="001A67A5" w:rsidRPr="009332C4" w:rsidRDefault="001A67A5" w:rsidP="002D35A7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mky</w:t>
            </w:r>
          </w:p>
        </w:tc>
        <w:tc>
          <w:tcPr>
            <w:tcW w:w="707" w:type="dxa"/>
          </w:tcPr>
          <w:p w:rsidR="001A67A5" w:rsidRPr="009332C4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Identi fikáci a goldp lating u</w:t>
            </w:r>
          </w:p>
        </w:tc>
        <w:tc>
          <w:tcPr>
            <w:tcW w:w="851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Identifi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kácia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oblasti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gold-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plating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u a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vyjadre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nie k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opodsta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tnenosti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goldpla</w:t>
            </w:r>
          </w:p>
          <w:p w:rsidR="001A67A5" w:rsidRPr="009332C4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tingu*</w:t>
            </w:r>
          </w:p>
        </w:tc>
      </w:tr>
      <w:tr w:rsidR="00B142E7" w:rsidRPr="009332C4" w:rsidTr="00E3343C">
        <w:trPr>
          <w:trHeight w:val="490"/>
        </w:trPr>
        <w:tc>
          <w:tcPr>
            <w:tcW w:w="852" w:type="dxa"/>
          </w:tcPr>
          <w:p w:rsidR="00F72F32" w:rsidRPr="00F72F32" w:rsidRDefault="00A94ED1" w:rsidP="00F72F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24</w:t>
            </w:r>
          </w:p>
          <w:p w:rsidR="00B142E7" w:rsidRPr="009332C4" w:rsidRDefault="00A94ED1" w:rsidP="00F72F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  <w:r w:rsidR="0017490A">
              <w:rPr>
                <w:sz w:val="20"/>
                <w:szCs w:val="20"/>
              </w:rPr>
              <w:t xml:space="preserve"> a 4</w:t>
            </w:r>
          </w:p>
        </w:tc>
        <w:tc>
          <w:tcPr>
            <w:tcW w:w="5387" w:type="dxa"/>
          </w:tcPr>
          <w:p w:rsidR="00843DBE" w:rsidRDefault="00A94ED1" w:rsidP="00F72F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94ED1">
              <w:rPr>
                <w:sz w:val="20"/>
                <w:szCs w:val="20"/>
              </w:rPr>
              <w:t>Notifikujúci orgán sa zriaďuje tak, aby nevznikali žiadne konflikty záujmov s orgánmi posudzovania zhody.</w:t>
            </w:r>
          </w:p>
          <w:p w:rsidR="0017490A" w:rsidRPr="009332C4" w:rsidRDefault="0017490A" w:rsidP="00F72F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7490A">
              <w:rPr>
                <w:sz w:val="20"/>
                <w:szCs w:val="20"/>
              </w:rPr>
              <w:t>Notifikujúci orgán neponúka ani neposkytuje žiadne činnosti, ktoré vykonávajú orgány posudzovania zhody, ani poradenské služby na komerčnom či konkurenčnom základe.</w:t>
            </w:r>
          </w:p>
        </w:tc>
        <w:tc>
          <w:tcPr>
            <w:tcW w:w="711" w:type="dxa"/>
          </w:tcPr>
          <w:p w:rsidR="00B142E7" w:rsidRPr="00F72F32" w:rsidRDefault="00F72F32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2F32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B142E7" w:rsidRPr="00F72F32" w:rsidRDefault="00F72F32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2F32">
              <w:rPr>
                <w:b/>
                <w:sz w:val="20"/>
                <w:szCs w:val="20"/>
              </w:rPr>
              <w:t>NZ čl.</w:t>
            </w:r>
          </w:p>
          <w:p w:rsidR="00F72F32" w:rsidRPr="00F72F32" w:rsidRDefault="00F72F32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72F32" w:rsidRPr="009332C4" w:rsidRDefault="00F72F32" w:rsidP="00F72F32">
            <w:pPr>
              <w:pStyle w:val="TableParagraph"/>
              <w:jc w:val="center"/>
              <w:rPr>
                <w:sz w:val="20"/>
                <w:szCs w:val="20"/>
              </w:rPr>
            </w:pPr>
            <w:r w:rsidRPr="00F72F3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52" w:type="dxa"/>
          </w:tcPr>
          <w:p w:rsidR="00843DBE" w:rsidRPr="009332C4" w:rsidRDefault="00A94ED1" w:rsidP="00F72F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112</w:t>
            </w:r>
          </w:p>
        </w:tc>
        <w:tc>
          <w:tcPr>
            <w:tcW w:w="3826" w:type="dxa"/>
          </w:tcPr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(1) </w:t>
            </w:r>
            <w:r w:rsidRPr="00554788">
              <w:rPr>
                <w:b/>
                <w:sz w:val="20"/>
                <w:szCs w:val="20"/>
              </w:rPr>
              <w:t>Štátny zamestnanec nesmie</w:t>
            </w:r>
          </w:p>
          <w:p w:rsidR="00554788" w:rsidRPr="000651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a</w:t>
            </w:r>
            <w:r w:rsidRPr="00065188">
              <w:rPr>
                <w:b/>
                <w:sz w:val="20"/>
                <w:szCs w:val="20"/>
              </w:rPr>
              <w:t>) vykonávať činnosť, alebo sa správať spôsobom, ktorými by mohol narušiť vážnosť a dôstojnosť štátnej služby,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065188">
              <w:rPr>
                <w:b/>
                <w:sz w:val="20"/>
                <w:szCs w:val="20"/>
              </w:rPr>
              <w:t>b) prijímať dary alebo iné výhody v</w:t>
            </w:r>
            <w:r w:rsidRPr="00554788">
              <w:rPr>
                <w:b/>
                <w:sz w:val="20"/>
                <w:szCs w:val="20"/>
              </w:rPr>
              <w:t xml:space="preserve"> súvislosti s vykonávaním štátnej služby okrem darov alebo iných výhod poskytovaných služobným úradom a darov poskytovaných pri oficiálnych rokovaniach alebo stretnutiach,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 xml:space="preserve">c) požadovať dary alebo iné výhody, alebo navádzať iného na poskytovanie darov </w:t>
            </w:r>
            <w:r w:rsidRPr="00554788">
              <w:rPr>
                <w:b/>
                <w:sz w:val="20"/>
                <w:szCs w:val="20"/>
              </w:rPr>
              <w:lastRenderedPageBreak/>
              <w:t xml:space="preserve">alebo iných výhod v súvislosti s vykonávaním štátnej služby,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d) nadobúdať majetok od štátu, obce, vyššieho územného celku alebo právnickej osoby podľa osobitného predpisu</w:t>
            </w:r>
            <w:r w:rsidRPr="00554788">
              <w:rPr>
                <w:b/>
                <w:sz w:val="20"/>
                <w:szCs w:val="20"/>
                <w:vertAlign w:val="superscript"/>
              </w:rPr>
              <w:t>40</w:t>
            </w:r>
            <w:r w:rsidRPr="00554788">
              <w:rPr>
                <w:b/>
                <w:sz w:val="20"/>
                <w:szCs w:val="20"/>
              </w:rPr>
              <w:t>) inak ako za podmienok ustanovených osobitnými predpismi,</w:t>
            </w:r>
            <w:r w:rsidRPr="00554788">
              <w:rPr>
                <w:b/>
                <w:sz w:val="20"/>
                <w:szCs w:val="20"/>
                <w:vertAlign w:val="superscript"/>
              </w:rPr>
              <w:t>41</w:t>
            </w:r>
            <w:r w:rsidRPr="00554788">
              <w:rPr>
                <w:b/>
                <w:sz w:val="20"/>
                <w:szCs w:val="20"/>
              </w:rPr>
              <w:t xml:space="preserve">)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 xml:space="preserve">e) používať symboly spojené s vykonávaním štátnej služby na osobný prospech,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 xml:space="preserve">f) zvýhodňovať blízke osoby pri vykonávaní štátnej služby,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 xml:space="preserve">g) vyhotovovať falzifikáty a nepravdivé dokumenty súvisiace s vykonávaním štátnej služby,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h) vedome šíriť a sprostredkúvať nepravdivé, pravdu skresľujúce alebo zavádzajúce informácie, ktoré by mohli poškodiť povesť služobného úradu alebo povesť ostatných štátnych zamestnancov.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(2) Štátny zamestnanec nesmie byť členom riadiacich, kontrolných alebo dozorných orgánov právnických osôb, ktoré vykonávajú podnikateľskú činnosť, okrem valného zhromaždenia a členskej schôdze.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 xml:space="preserve">(3) Obmedzenie podľa odseku 2 sa nevzťahuje na štátneho zamestnanca,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 xml:space="preserve">a) ktorý je do riadiaceho, kontrolného alebo dozorného orgánu právnickej osoby vyslaný vládou alebo služobným úradom,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b) s ktorého členstvom v riadiacom, kontrolnom alebo</w:t>
            </w:r>
            <w:r w:rsidR="00065188">
              <w:rPr>
                <w:b/>
                <w:sz w:val="20"/>
                <w:szCs w:val="20"/>
              </w:rPr>
              <w:t xml:space="preserve"> v</w:t>
            </w:r>
            <w:r w:rsidRPr="00554788">
              <w:rPr>
                <w:b/>
                <w:sz w:val="20"/>
                <w:szCs w:val="20"/>
              </w:rPr>
              <w:t xml:space="preserve"> dozornom orgáne právnickej osoby vysloví služobný úrad písomný súhlas; súhlas možno odvolať, ak je členstvo prekážkou riadneho plnenia povinností štátneho zamestnanca.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 xml:space="preserve">(4) Ak je predmetom činností podľa odseku 3 písm. b) plnenie úloh štátnej správy alebo vykonávanie štátnych záležitostí, môže služobný úrad umožniť ich vykonávanie štátnemu zamestnancovi aj v služobnom </w:t>
            </w:r>
            <w:r w:rsidRPr="00554788">
              <w:rPr>
                <w:b/>
                <w:sz w:val="20"/>
                <w:szCs w:val="20"/>
              </w:rPr>
              <w:lastRenderedPageBreak/>
              <w:t xml:space="preserve">čase. Ak sa majú tieto činnosti vykonávať mimo pravidelného miesta výkonu štátnej služby, môže služobný úrad vyslať štátneho zamestnanca na služobnú cestu.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(5) Štátny zamestnanec, ktorý je podľa odseku 3 členom riadiaceho, kontrolného alebo dozorného orgánu právnickej osoby, ktorá vykonáva podnikateľskú činnosť, nesmie od tejto právnickej osoby poberať odmenu.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(6) Štátny zamestnanec vo verejnej funkcii, štatutárny orgán, ktorý je vymenovaný podľa osobitného predpisu, veľvyslanec a riaditeľ kancelárie bezpečnostnej rady nesmie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a) podnikať,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b) vykonávať inú zárobkovú činnosť, ktorá je zhodná alebo obdobná s činnosťou, ktorú vykonáva v štátnej službe; tým nie je dotknuté ustanovenie písmena a).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(7) Štátny zamestnanec, na ktorého sa nevzťahuje odsek 6, nesmie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a) podnikať, ak ide o predmet podnikania zhodný alebo obdobný s činnosťou, ktorú vykonáva v štátnej službe,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b) vykonávať inú zárobkovú činnosť, ktorá je zhodná alebo obdobná s činnosťou, ktorú vykonáva v štátnej službe, bez písomného súhlasu služobného úradu; tým nie je dotknuté ustanovenie písmena a).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 xml:space="preserve">(8) Obmedzenie podľa odseku 6 písm. b) a odseku 7 písm. b) sa nevzťahuje na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a) vedeckú, pedagogickú, lektorskú, prednášateľskú, publikačnú, literárnu, umeleckú, športovú, znaleckú, tlmočnícku alebo prekladateľskú činnosť,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b)  činnosť v poradnom orgáne vlády,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c) činnosť člena poradného orgánu služobného úradu alebo komisie zriadenej služobným úradom,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lastRenderedPageBreak/>
              <w:t>d) vykonávanie funkcie člena volebnej komisie, komisie na vyhlásenie referenda, alebo komisie na ľudové hlasovanie o odvolaní prezidenta, alebo na činnosť zapisovateľa volebnej komisie,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e) činnosť poslanca obecného zastupiteľstva alebo poslanca zastupiteľstva vyššieho územného celku, ktorí nie sú dlhodobo uvoľnení na výkon funkcie,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f) činnosť hlavného kontrolóra obce alebo hlavného kontrolóra samosprávneho kraja,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g) činnosť člena poradného orgánu obce alebo vyššieho územného celku, alebo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h) činnosť osôb prizvaných na výkon dohľadu, kontroly alebo auditu podľa osobitného predpisu.</w:t>
            </w:r>
            <w:r w:rsidRPr="00554788">
              <w:rPr>
                <w:b/>
                <w:sz w:val="20"/>
                <w:szCs w:val="20"/>
                <w:vertAlign w:val="superscript"/>
              </w:rPr>
              <w:t>42</w:t>
            </w:r>
            <w:r w:rsidRPr="00554788">
              <w:rPr>
                <w:b/>
                <w:sz w:val="20"/>
                <w:szCs w:val="20"/>
              </w:rPr>
              <w:t>)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(9) Štátny zamestnanec podľa odseku 7 je povinný oznámiť služobnému úradu bez zbytočného odkladu vykonávanie, začatie, p</w:t>
            </w:r>
            <w:r w:rsidR="00065188">
              <w:rPr>
                <w:b/>
                <w:sz w:val="20"/>
                <w:szCs w:val="20"/>
              </w:rPr>
              <w:t>ozastav</w:t>
            </w:r>
            <w:r w:rsidRPr="00554788">
              <w:rPr>
                <w:b/>
                <w:sz w:val="20"/>
                <w:szCs w:val="20"/>
              </w:rPr>
              <w:t>enie,</w:t>
            </w:r>
            <w:r w:rsidRPr="00554788">
              <w:rPr>
                <w:b/>
                <w:sz w:val="20"/>
                <w:szCs w:val="20"/>
                <w:vertAlign w:val="superscript"/>
              </w:rPr>
              <w:t>44</w:t>
            </w:r>
            <w:r w:rsidRPr="00554788">
              <w:rPr>
                <w:b/>
                <w:sz w:val="20"/>
                <w:szCs w:val="20"/>
              </w:rPr>
              <w:t>) p</w:t>
            </w:r>
            <w:r w:rsidR="00065188">
              <w:rPr>
                <w:b/>
                <w:sz w:val="20"/>
                <w:szCs w:val="20"/>
              </w:rPr>
              <w:t>reruš</w:t>
            </w:r>
            <w:bookmarkStart w:id="0" w:name="_GoBack"/>
            <w:bookmarkEnd w:id="0"/>
            <w:r w:rsidRPr="00554788">
              <w:rPr>
                <w:b/>
                <w:sz w:val="20"/>
                <w:szCs w:val="20"/>
              </w:rPr>
              <w:t>enie</w:t>
            </w:r>
            <w:r w:rsidRPr="00554788">
              <w:rPr>
                <w:b/>
                <w:sz w:val="20"/>
                <w:szCs w:val="20"/>
                <w:vertAlign w:val="superscript"/>
              </w:rPr>
              <w:t>45</w:t>
            </w:r>
            <w:r w:rsidRPr="00554788">
              <w:rPr>
                <w:b/>
                <w:sz w:val="20"/>
                <w:szCs w:val="20"/>
              </w:rPr>
              <w:t xml:space="preserve">) alebo skončenie podnikania. 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 xml:space="preserve">(10) Štátny zamestnanec je povinný písomne požiadať služobný úrad o súhlas s vykonávaním inej zárobkovej činnosti podľa odseku 7 písm. b). Služobný úrad je povinný vyjadriť sa k </w:t>
            </w:r>
            <w:r w:rsidRPr="00065188">
              <w:rPr>
                <w:b/>
                <w:sz w:val="20"/>
                <w:szCs w:val="20"/>
              </w:rPr>
              <w:t>žiadosti do 30 dní</w:t>
            </w:r>
            <w:r w:rsidRPr="00554788">
              <w:rPr>
                <w:b/>
                <w:sz w:val="20"/>
                <w:szCs w:val="20"/>
              </w:rPr>
              <w:t xml:space="preserve"> od jej doručenia. Ak služobný úrad nesúhlasí s vykonávaním zárobkovej činnosti, poskytne štátnemu zamestnancovi odôvodnené písomné stanovisko. Neposkytnutie vyjadrenia v lehote podľa druhej vety sa považuje za súhlas služobného úradu s vykonávaním inej zárobkovej činnosti podľa odseku 7 písm. b).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(11) Štátny zamestnanec je povinný do 60 dní odo dňa vzniku štátnozamestnaneckého pomeru alebo od preloženia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 xml:space="preserve">a) skončiť členstvo v riadiacom, kontrolnom alebo </w:t>
            </w:r>
            <w:r w:rsidR="00065188">
              <w:rPr>
                <w:b/>
                <w:sz w:val="20"/>
                <w:szCs w:val="20"/>
              </w:rPr>
              <w:t xml:space="preserve">v </w:t>
            </w:r>
            <w:r w:rsidRPr="00554788">
              <w:rPr>
                <w:b/>
                <w:sz w:val="20"/>
                <w:szCs w:val="20"/>
              </w:rPr>
              <w:t>dozornom orgáne právnickej osoby, ktoré je v rozpore s odsekmi 2 až 4,</w:t>
            </w:r>
          </w:p>
          <w:p w:rsidR="00554788" w:rsidRPr="00554788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lastRenderedPageBreak/>
              <w:t>b) skončiť, prerušiť alebo pozastaviť podnikanie, ktoré je v rozpore s odsekom 6 alebo odsekom 7,</w:t>
            </w:r>
          </w:p>
          <w:p w:rsidR="00B142E7" w:rsidRPr="00A94ED1" w:rsidRDefault="00554788" w:rsidP="00554788">
            <w:pPr>
              <w:pStyle w:val="TableParagraph"/>
              <w:rPr>
                <w:b/>
                <w:sz w:val="20"/>
                <w:szCs w:val="20"/>
              </w:rPr>
            </w:pPr>
            <w:r w:rsidRPr="00554788">
              <w:rPr>
                <w:b/>
                <w:sz w:val="20"/>
                <w:szCs w:val="20"/>
              </w:rPr>
              <w:t>c) skončiť vykonávanie inej zárobkovej činnosti, ktoré je v rozpore s odsekmi 6 až 8.</w:t>
            </w:r>
          </w:p>
        </w:tc>
        <w:tc>
          <w:tcPr>
            <w:tcW w:w="993" w:type="dxa"/>
          </w:tcPr>
          <w:p w:rsidR="00B142E7" w:rsidRPr="00194BA5" w:rsidRDefault="00194BA5" w:rsidP="00194B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94BA5"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849" w:type="dxa"/>
          </w:tcPr>
          <w:p w:rsidR="00B142E7" w:rsidRPr="009332C4" w:rsidRDefault="00B142E7">
            <w:pPr>
              <w:pStyle w:val="TableParagraph"/>
              <w:spacing w:line="205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142E7" w:rsidRPr="009332C4" w:rsidRDefault="009515B6" w:rsidP="009515B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- N</w:t>
            </w:r>
          </w:p>
        </w:tc>
        <w:tc>
          <w:tcPr>
            <w:tcW w:w="851" w:type="dxa"/>
          </w:tcPr>
          <w:p w:rsidR="00B142E7" w:rsidRPr="009332C4" w:rsidRDefault="00B142E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142E7" w:rsidRDefault="00A96E56">
      <w:pPr>
        <w:pStyle w:val="Zkladntext"/>
        <w:ind w:left="1116"/>
      </w:pPr>
      <w:r>
        <w:lastRenderedPageBreak/>
        <w:t>*</w:t>
      </w:r>
      <w:r>
        <w:rPr>
          <w:spacing w:val="-6"/>
        </w:rPr>
        <w:t xml:space="preserve"> </w:t>
      </w:r>
      <w:r>
        <w:t>Vyjadrenie</w:t>
      </w:r>
      <w:r>
        <w:rPr>
          <w:spacing w:val="-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opodstatnenosti</w:t>
      </w:r>
      <w:r>
        <w:rPr>
          <w:spacing w:val="-6"/>
        </w:rPr>
        <w:t xml:space="preserve"> </w:t>
      </w:r>
      <w:r>
        <w:t>goldplatingu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rPr>
          <w:spacing w:val="-2"/>
        </w:rPr>
        <w:t>odôvodnenie:</w:t>
      </w:r>
    </w:p>
    <w:p w:rsidR="00B142E7" w:rsidRDefault="00B142E7">
      <w:pPr>
        <w:pStyle w:val="Zkladntext"/>
      </w:pPr>
    </w:p>
    <w:p w:rsidR="00B142E7" w:rsidRDefault="00B142E7">
      <w:pPr>
        <w:pStyle w:val="Zkladntext"/>
        <w:spacing w:before="87"/>
      </w:pPr>
    </w:p>
    <w:p w:rsidR="00B142E7" w:rsidRDefault="00A96E56">
      <w:pPr>
        <w:pStyle w:val="Zkladntext"/>
        <w:spacing w:before="1" w:after="38"/>
        <w:ind w:left="1116"/>
      </w:pPr>
      <w:r>
        <w:rPr>
          <w:spacing w:val="-2"/>
        </w:rPr>
        <w:t>LEGENDA:</w:t>
      </w:r>
    </w:p>
    <w:tbl>
      <w:tblPr>
        <w:tblStyle w:val="TableNormal"/>
        <w:tblW w:w="0" w:type="auto"/>
        <w:tblInd w:w="1145" w:type="dxa"/>
        <w:tblLayout w:type="fixed"/>
        <w:tblLook w:val="01E0" w:firstRow="1" w:lastRow="1" w:firstColumn="1" w:lastColumn="1" w:noHBand="0" w:noVBand="0"/>
      </w:tblPr>
      <w:tblGrid>
        <w:gridCol w:w="2028"/>
        <w:gridCol w:w="4244"/>
        <w:gridCol w:w="2306"/>
        <w:gridCol w:w="6486"/>
      </w:tblGrid>
      <w:tr w:rsidR="00B142E7">
        <w:trPr>
          <w:trHeight w:val="1526"/>
        </w:trPr>
        <w:tc>
          <w:tcPr>
            <w:tcW w:w="2028" w:type="dxa"/>
          </w:tcPr>
          <w:p w:rsidR="00B142E7" w:rsidRDefault="00A96E56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(1):</w:t>
            </w:r>
          </w:p>
          <w:p w:rsidR="00B142E7" w:rsidRDefault="00A96E56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(Čl.) –</w:t>
            </w:r>
            <w:r>
              <w:rPr>
                <w:spacing w:val="-2"/>
                <w:sz w:val="20"/>
              </w:rPr>
              <w:t xml:space="preserve"> článok</w:t>
            </w:r>
          </w:p>
          <w:p w:rsidR="00B142E7" w:rsidRDefault="00A96E56">
            <w:pPr>
              <w:pStyle w:val="TableParagraph"/>
              <w:spacing w:before="32" w:line="271" w:lineRule="auto"/>
              <w:ind w:left="50" w:right="56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(ods.)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odsek V – veta</w:t>
            </w:r>
          </w:p>
          <w:p w:rsidR="00B142E7" w:rsidRDefault="00A96E56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(číslo)</w:t>
            </w:r>
          </w:p>
        </w:tc>
        <w:tc>
          <w:tcPr>
            <w:tcW w:w="4244" w:type="dxa"/>
          </w:tcPr>
          <w:p w:rsidR="00B142E7" w:rsidRDefault="00A96E56">
            <w:pPr>
              <w:pStyle w:val="TableParagraph"/>
              <w:spacing w:line="221" w:lineRule="exact"/>
              <w:ind w:left="4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(3):</w:t>
            </w:r>
          </w:p>
          <w:p w:rsidR="00B142E7" w:rsidRDefault="00A96E56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bežná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transpozícia</w:t>
            </w:r>
          </w:p>
          <w:p w:rsidR="00B142E7" w:rsidRDefault="00A96E56">
            <w:pPr>
              <w:pStyle w:val="TableParagraph"/>
              <w:spacing w:before="32"/>
              <w:ind w:left="43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transpozícia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možnosťou</w:t>
            </w:r>
            <w:r>
              <w:rPr>
                <w:spacing w:val="-4"/>
                <w:sz w:val="20"/>
              </w:rPr>
              <w:t xml:space="preserve"> voľby</w:t>
            </w:r>
          </w:p>
          <w:p w:rsidR="00B142E7" w:rsidRDefault="00A96E56">
            <w:pPr>
              <w:pStyle w:val="TableParagraph"/>
              <w:spacing w:before="29"/>
              <w:ind w:left="431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transpozícia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podľa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úvahy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(dobrovoľná)</w:t>
            </w:r>
          </w:p>
          <w:p w:rsidR="00B142E7" w:rsidRDefault="00A96E56">
            <w:pPr>
              <w:pStyle w:val="TableParagraph"/>
              <w:spacing w:before="32"/>
              <w:ind w:left="431"/>
              <w:rPr>
                <w:sz w:val="20"/>
              </w:rPr>
            </w:pPr>
            <w:r>
              <w:rPr>
                <w:sz w:val="20"/>
              </w:rPr>
              <w:t>n.a.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transpozícia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neuskutočňuje</w:t>
            </w:r>
          </w:p>
        </w:tc>
        <w:tc>
          <w:tcPr>
            <w:tcW w:w="2306" w:type="dxa"/>
          </w:tcPr>
          <w:p w:rsidR="00B142E7" w:rsidRDefault="00A96E56">
            <w:pPr>
              <w:pStyle w:val="TableParagraph"/>
              <w:spacing w:line="221" w:lineRule="exact"/>
              <w:ind w:left="3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(5):</w:t>
            </w:r>
          </w:p>
          <w:p w:rsidR="00B142E7" w:rsidRDefault="00A96E56">
            <w:pPr>
              <w:pStyle w:val="TableParagraph"/>
              <w:spacing w:before="31"/>
              <w:ind w:left="328"/>
              <w:rPr>
                <w:sz w:val="20"/>
              </w:rPr>
            </w:pPr>
            <w:r>
              <w:rPr>
                <w:sz w:val="20"/>
              </w:rPr>
              <w:t>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(Čl.) –</w:t>
            </w:r>
            <w:r>
              <w:rPr>
                <w:spacing w:val="-2"/>
                <w:sz w:val="20"/>
              </w:rPr>
              <w:t xml:space="preserve"> článok</w:t>
            </w:r>
          </w:p>
          <w:p w:rsidR="00B142E7" w:rsidRDefault="00A96E56">
            <w:pPr>
              <w:pStyle w:val="TableParagraph"/>
              <w:spacing w:before="32"/>
              <w:ind w:left="328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paragraf</w:t>
            </w:r>
          </w:p>
          <w:p w:rsidR="00B142E7" w:rsidRDefault="00A96E56">
            <w:pPr>
              <w:pStyle w:val="TableParagraph"/>
              <w:spacing w:before="29" w:line="273" w:lineRule="auto"/>
              <w:ind w:left="328" w:right="6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(ods.)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odsek V – veta</w:t>
            </w:r>
          </w:p>
          <w:p w:rsidR="00B142E7" w:rsidRDefault="00A96E56">
            <w:pPr>
              <w:pStyle w:val="TableParagraph"/>
              <w:spacing w:line="209" w:lineRule="exact"/>
              <w:ind w:left="328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(číslo)</w:t>
            </w:r>
          </w:p>
        </w:tc>
        <w:tc>
          <w:tcPr>
            <w:tcW w:w="6486" w:type="dxa"/>
          </w:tcPr>
          <w:p w:rsidR="00B142E7" w:rsidRDefault="00A96E56">
            <w:pPr>
              <w:pStyle w:val="TableParagraph"/>
              <w:spacing w:line="221" w:lineRule="exact"/>
              <w:ind w:left="43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(7):</w:t>
            </w:r>
          </w:p>
          <w:p w:rsidR="00B142E7" w:rsidRDefault="00A96E56">
            <w:pPr>
              <w:pStyle w:val="TableParagraph"/>
              <w:spacing w:before="31"/>
              <w:ind w:left="432"/>
              <w:rPr>
                <w:sz w:val="20"/>
              </w:rPr>
            </w:pPr>
            <w:r>
              <w:rPr>
                <w:sz w:val="20"/>
              </w:rPr>
              <w:t>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zhoda</w:t>
            </w:r>
          </w:p>
          <w:p w:rsidR="00B142E7" w:rsidRDefault="00A96E56">
            <w:pPr>
              <w:pStyle w:val="TableParagraph"/>
              <w:spacing w:before="32"/>
              <w:ind w:left="432"/>
              <w:rPr>
                <w:sz w:val="20"/>
              </w:rPr>
            </w:pPr>
            <w:r>
              <w:rPr>
                <w:sz w:val="20"/>
              </w:rPr>
              <w:t>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čiastočná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zhoda</w:t>
            </w:r>
          </w:p>
          <w:p w:rsidR="00B142E7" w:rsidRDefault="00A96E56">
            <w:pPr>
              <w:pStyle w:val="TableParagraph"/>
              <w:spacing w:before="29"/>
              <w:ind w:left="432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príp.,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zatiaľ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transp.,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príde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budúcnosti</w:t>
            </w:r>
          </w:p>
          <w:p w:rsidR="00B142E7" w:rsidRDefault="00A96E56">
            <w:pPr>
              <w:pStyle w:val="TableParagraph"/>
              <w:spacing w:before="32"/>
              <w:ind w:left="432"/>
              <w:rPr>
                <w:sz w:val="20"/>
              </w:rPr>
            </w:pPr>
            <w:r>
              <w:rPr>
                <w:sz w:val="20"/>
              </w:rPr>
              <w:t>n.a.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neaplikovateľné</w:t>
            </w:r>
          </w:p>
        </w:tc>
      </w:tr>
    </w:tbl>
    <w:p w:rsidR="00B142E7" w:rsidRDefault="00B142E7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75D8A" w:rsidRDefault="00375D8A">
      <w:pPr>
        <w:pStyle w:val="Zkladntext"/>
        <w:spacing w:before="65" w:after="1"/>
      </w:pPr>
    </w:p>
    <w:p w:rsidR="00344AB2" w:rsidRDefault="00344AB2" w:rsidP="00344AB2"/>
    <w:sectPr w:rsidR="00344AB2">
      <w:footerReference w:type="default" r:id="rId8"/>
      <w:pgSz w:w="16840" w:h="11910" w:orient="landscape"/>
      <w:pgMar w:top="1340" w:right="22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4D" w:rsidRDefault="00DE7F4D" w:rsidP="0049668B">
      <w:r>
        <w:separator/>
      </w:r>
    </w:p>
  </w:endnote>
  <w:endnote w:type="continuationSeparator" w:id="0">
    <w:p w:rsidR="00DE7F4D" w:rsidRDefault="00DE7F4D" w:rsidP="0049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08635"/>
      <w:docPartObj>
        <w:docPartGallery w:val="Page Numbers (Bottom of Page)"/>
        <w:docPartUnique/>
      </w:docPartObj>
    </w:sdtPr>
    <w:sdtEndPr/>
    <w:sdtContent>
      <w:p w:rsidR="0049668B" w:rsidRDefault="0049668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88">
          <w:rPr>
            <w:noProof/>
          </w:rPr>
          <w:t>3</w:t>
        </w:r>
        <w:r>
          <w:fldChar w:fldCharType="end"/>
        </w:r>
      </w:p>
    </w:sdtContent>
  </w:sdt>
  <w:p w:rsidR="0049668B" w:rsidRDefault="004966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4D" w:rsidRDefault="00DE7F4D" w:rsidP="0049668B">
      <w:r>
        <w:separator/>
      </w:r>
    </w:p>
  </w:footnote>
  <w:footnote w:type="continuationSeparator" w:id="0">
    <w:p w:rsidR="00DE7F4D" w:rsidRDefault="00DE7F4D" w:rsidP="0049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380D"/>
    <w:multiLevelType w:val="hybridMultilevel"/>
    <w:tmpl w:val="1E40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D41"/>
    <w:multiLevelType w:val="hybridMultilevel"/>
    <w:tmpl w:val="095C6756"/>
    <w:lvl w:ilvl="0" w:tplc="EB8A95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54B"/>
    <w:multiLevelType w:val="hybridMultilevel"/>
    <w:tmpl w:val="CA7230C4"/>
    <w:lvl w:ilvl="0" w:tplc="3E48B5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42E7"/>
    <w:rsid w:val="00015BB6"/>
    <w:rsid w:val="00044366"/>
    <w:rsid w:val="00065188"/>
    <w:rsid w:val="000A5F33"/>
    <w:rsid w:val="001746F4"/>
    <w:rsid w:val="0017490A"/>
    <w:rsid w:val="00194BA5"/>
    <w:rsid w:val="001A67A5"/>
    <w:rsid w:val="00210B00"/>
    <w:rsid w:val="002D35A7"/>
    <w:rsid w:val="002E084B"/>
    <w:rsid w:val="00344AB2"/>
    <w:rsid w:val="00375D8A"/>
    <w:rsid w:val="00386762"/>
    <w:rsid w:val="00483528"/>
    <w:rsid w:val="0049668B"/>
    <w:rsid w:val="004B5E80"/>
    <w:rsid w:val="004D27E7"/>
    <w:rsid w:val="00554788"/>
    <w:rsid w:val="00561E2C"/>
    <w:rsid w:val="0059477E"/>
    <w:rsid w:val="006241FD"/>
    <w:rsid w:val="0063011A"/>
    <w:rsid w:val="00644FB5"/>
    <w:rsid w:val="006C57DC"/>
    <w:rsid w:val="0075286E"/>
    <w:rsid w:val="00776C32"/>
    <w:rsid w:val="008012C8"/>
    <w:rsid w:val="00843DBE"/>
    <w:rsid w:val="008565F6"/>
    <w:rsid w:val="00856DD6"/>
    <w:rsid w:val="009332C4"/>
    <w:rsid w:val="009515B6"/>
    <w:rsid w:val="00990C66"/>
    <w:rsid w:val="00A8540F"/>
    <w:rsid w:val="00A86F44"/>
    <w:rsid w:val="00A94ED1"/>
    <w:rsid w:val="00A96E56"/>
    <w:rsid w:val="00B142E7"/>
    <w:rsid w:val="00B56E5C"/>
    <w:rsid w:val="00B80752"/>
    <w:rsid w:val="00BF0004"/>
    <w:rsid w:val="00C32B65"/>
    <w:rsid w:val="00C46678"/>
    <w:rsid w:val="00DA6067"/>
    <w:rsid w:val="00DE7F4D"/>
    <w:rsid w:val="00E17AC0"/>
    <w:rsid w:val="00E24E4E"/>
    <w:rsid w:val="00E3343C"/>
    <w:rsid w:val="00E71528"/>
    <w:rsid w:val="00EC3E6F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1BE"/>
  <w15:docId w15:val="{5964B641-D74B-46F3-8225-84D7AAF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68"/>
      <w:ind w:left="5112"/>
    </w:pPr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4966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668B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4966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68B"/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B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BB6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Miroslava</dc:creator>
  <cp:lastModifiedBy>Tabaček Vratko</cp:lastModifiedBy>
  <cp:revision>36</cp:revision>
  <cp:lastPrinted>2025-02-10T17:17:00Z</cp:lastPrinted>
  <dcterms:created xsi:type="dcterms:W3CDTF">2025-02-10T15:07:00Z</dcterms:created>
  <dcterms:modified xsi:type="dcterms:W3CDTF">2025-02-21T10:18:00Z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