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22" w:rsidRPr="00E02210" w:rsidRDefault="00E02210" w:rsidP="00E022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bookmarkStart w:id="0" w:name="_GoBack"/>
      <w:bookmarkEnd w:id="0"/>
      <w:r w:rsidRPr="00E02210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Vyhodnotenie</w:t>
      </w:r>
      <w:r w:rsidR="00461B69" w:rsidRPr="00E02210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pripomienkového konania</w:t>
      </w:r>
      <w:r w:rsidR="00785E8D" w:rsidRPr="00E02210">
        <w:rPr>
          <w:rFonts w:ascii="Times New Roman" w:eastAsia="Times New Roman" w:hAnsi="Times New Roman" w:cs="Times New Roman"/>
          <w:b/>
          <w:sz w:val="24"/>
          <w:szCs w:val="20"/>
        </w:rPr>
        <w:br/>
      </w:r>
      <w:r w:rsidR="009D32B4" w:rsidRPr="00E02210">
        <w:rPr>
          <w:rFonts w:ascii="Times New Roman" w:eastAsia="Times New Roman" w:hAnsi="Times New Roman" w:cs="Times New Roman"/>
          <w:b/>
          <w:sz w:val="24"/>
          <w:szCs w:val="20"/>
        </w:rPr>
        <w:t>návrh nariadenia vlády Slovenskej republiky, ktorým sa dopĺňa nariadenie vlády Slovenskej republiky č. 436/2022 Z. z., ktorým sa ustanovujú pravidlá poskytovania podpory v poľnohospodárstve formou priamych platieb v znení neskorších predpisov</w:t>
      </w:r>
      <w:r w:rsidR="00917A99" w:rsidRPr="00E02210">
        <w:rPr>
          <w:rFonts w:ascii="Times New Roman" w:eastAsia="Times New Roman" w:hAnsi="Times New Roman" w:cs="Times New Roman"/>
          <w:b/>
          <w:sz w:val="24"/>
          <w:szCs w:val="20"/>
        </w:rPr>
        <w:br/>
      </w:r>
      <w:r w:rsidR="003F1216" w:rsidRPr="00E02210">
        <w:rPr>
          <w:rFonts w:ascii="Times New Roman" w:eastAsia="Times New Roman" w:hAnsi="Times New Roman" w:cs="Times New Roman"/>
          <w:bCs/>
          <w:sz w:val="24"/>
          <w:szCs w:val="20"/>
        </w:rPr>
        <w:t>LP/2025/51</w:t>
      </w:r>
    </w:p>
    <w:p w:rsidR="00E02210" w:rsidRDefault="00785E8D" w:rsidP="00E0221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2210">
        <w:rPr>
          <w:rFonts w:ascii="Times New Roman" w:eastAsia="Times New Roman" w:hAnsi="Times New Roman" w:cs="Times New Roman"/>
          <w:b/>
          <w:bCs/>
          <w:sz w:val="20"/>
          <w:szCs w:val="20"/>
        </w:rPr>
        <w:t>Spôsob pripomienkového konania</w:t>
      </w:r>
      <w:r w:rsidRPr="00E02210">
        <w:rPr>
          <w:rFonts w:ascii="Times New Roman" w:eastAsia="Times New Roman" w:hAnsi="Times New Roman" w:cs="Times New Roman"/>
          <w:sz w:val="20"/>
          <w:szCs w:val="20"/>
        </w:rPr>
        <w:br/>
        <w:t>Počet vznesených pripomienok</w:t>
      </w:r>
      <w:r w:rsidR="009275DB" w:rsidRPr="00E0221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275DB" w:rsidRPr="00E02210">
        <w:rPr>
          <w:rFonts w:ascii="Times New Roman" w:eastAsia="Times New Roman" w:hAnsi="Times New Roman" w:cs="Times New Roman"/>
          <w:sz w:val="20"/>
          <w:szCs w:val="20"/>
          <w:lang w:val="en-US"/>
        </w:rPr>
        <w:t>z toho zásadných:</w:t>
      </w:r>
      <w:r w:rsidR="00FC0831" w:rsidRPr="00E02210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="00FC0831" w:rsidRPr="00E02210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="00FC0831" w:rsidRPr="00E02210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="00AD6CAE" w:rsidRPr="00E02210">
        <w:rPr>
          <w:rFonts w:ascii="Times New Roman" w:eastAsia="Times New Roman" w:hAnsi="Times New Roman" w:cs="Times New Roman"/>
          <w:sz w:val="20"/>
          <w:szCs w:val="20"/>
          <w:lang w:val="en-US"/>
        </w:rPr>
        <w:t>15/0</w:t>
      </w:r>
      <w:r w:rsidRPr="00E02210">
        <w:rPr>
          <w:rFonts w:ascii="Times New Roman" w:eastAsia="Times New Roman" w:hAnsi="Times New Roman" w:cs="Times New Roman"/>
          <w:sz w:val="20"/>
          <w:szCs w:val="20"/>
        </w:rPr>
        <w:br/>
      </w:r>
      <w:r w:rsidR="009275DB" w:rsidRPr="00E02210">
        <w:rPr>
          <w:rFonts w:ascii="Times New Roman" w:eastAsia="Times New Roman" w:hAnsi="Times New Roman" w:cs="Times New Roman"/>
          <w:sz w:val="20"/>
          <w:szCs w:val="20"/>
          <w:lang w:val="en-US"/>
        </w:rPr>
        <w:t>Po</w:t>
      </w:r>
      <w:r w:rsidR="00677591" w:rsidRPr="00E02210">
        <w:rPr>
          <w:rFonts w:ascii="Times New Roman" w:eastAsia="Times New Roman" w:hAnsi="Times New Roman" w:cs="Times New Roman"/>
          <w:sz w:val="20"/>
          <w:szCs w:val="20"/>
        </w:rPr>
        <w:t>č</w:t>
      </w:r>
      <w:r w:rsidR="009275DB" w:rsidRPr="00E02210">
        <w:rPr>
          <w:rFonts w:ascii="Times New Roman" w:eastAsia="Times New Roman" w:hAnsi="Times New Roman" w:cs="Times New Roman"/>
          <w:sz w:val="20"/>
          <w:szCs w:val="20"/>
          <w:lang w:val="en-US"/>
        </w:rPr>
        <w:t>et vyhodnotených pripomienok:</w:t>
      </w:r>
      <w:r w:rsidR="00B41FEA" w:rsidRPr="00E02210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="00B41FEA" w:rsidRPr="00E02210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="00B41FEA" w:rsidRPr="00E02210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="00B41FEA" w:rsidRPr="00E02210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="00B41FEA" w:rsidRPr="00E02210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="00754CB0" w:rsidRPr="00E02210">
        <w:rPr>
          <w:rFonts w:ascii="Times New Roman" w:eastAsia="Times New Roman" w:hAnsi="Times New Roman" w:cs="Times New Roman"/>
          <w:sz w:val="20"/>
          <w:szCs w:val="20"/>
        </w:rPr>
        <w:t>15</w:t>
      </w:r>
      <w:r w:rsidR="00677591" w:rsidRPr="00E02210">
        <w:rPr>
          <w:rFonts w:ascii="Times New Roman" w:hAnsi="Times New Roman" w:cs="Times New Roman"/>
          <w:sz w:val="20"/>
          <w:szCs w:val="20"/>
        </w:rPr>
        <w:br/>
      </w:r>
      <w:r w:rsidR="00677591" w:rsidRPr="00E02210">
        <w:rPr>
          <w:rFonts w:ascii="Times New Roman" w:hAnsi="Times New Roman" w:cs="Times New Roman"/>
          <w:sz w:val="20"/>
          <w:szCs w:val="20"/>
        </w:rPr>
        <w:br/>
      </w:r>
      <w:r w:rsidR="009275DB" w:rsidRPr="00E02210">
        <w:rPr>
          <w:rFonts w:ascii="Times New Roman" w:eastAsia="Times New Roman" w:hAnsi="Times New Roman" w:cs="Times New Roman"/>
          <w:sz w:val="20"/>
          <w:szCs w:val="20"/>
          <w:lang w:val="en-US"/>
        </w:rPr>
        <w:t>Po</w:t>
      </w:r>
      <w:r w:rsidR="00677591" w:rsidRPr="00E02210">
        <w:rPr>
          <w:rFonts w:ascii="Times New Roman" w:eastAsia="Times New Roman" w:hAnsi="Times New Roman" w:cs="Times New Roman"/>
          <w:sz w:val="20"/>
          <w:szCs w:val="20"/>
        </w:rPr>
        <w:t>č</w:t>
      </w:r>
      <w:r w:rsidR="009275DB" w:rsidRPr="00E02210">
        <w:rPr>
          <w:rFonts w:ascii="Times New Roman" w:eastAsia="Times New Roman" w:hAnsi="Times New Roman" w:cs="Times New Roman"/>
          <w:sz w:val="20"/>
          <w:szCs w:val="20"/>
          <w:lang w:val="en-US"/>
        </w:rPr>
        <w:t>et akceptovaných pripomienok, z toho zásadných</w:t>
      </w:r>
      <w:r w:rsidRPr="00E02210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E02210">
        <w:rPr>
          <w:rFonts w:ascii="Times New Roman" w:eastAsia="Times New Roman" w:hAnsi="Times New Roman" w:cs="Times New Roman"/>
          <w:sz w:val="20"/>
          <w:szCs w:val="20"/>
        </w:rPr>
        <w:tab/>
      </w:r>
      <w:r w:rsidR="009275DB" w:rsidRPr="00E02210">
        <w:rPr>
          <w:rFonts w:ascii="Times New Roman" w:eastAsia="Times New Roman" w:hAnsi="Times New Roman" w:cs="Times New Roman"/>
          <w:sz w:val="20"/>
          <w:szCs w:val="20"/>
        </w:rPr>
        <w:tab/>
      </w:r>
      <w:r w:rsidR="00273DAE" w:rsidRPr="00E02210">
        <w:rPr>
          <w:rFonts w:ascii="Times New Roman" w:eastAsia="Times New Roman" w:hAnsi="Times New Roman" w:cs="Times New Roman"/>
          <w:sz w:val="20"/>
          <w:szCs w:val="20"/>
        </w:rPr>
        <w:t>10</w:t>
      </w:r>
      <w:r w:rsidR="00754CB0" w:rsidRPr="00E02210">
        <w:rPr>
          <w:rFonts w:ascii="Times New Roman" w:eastAsia="Times New Roman" w:hAnsi="Times New Roman" w:cs="Times New Roman"/>
          <w:sz w:val="20"/>
          <w:szCs w:val="20"/>
        </w:rPr>
        <w:t>/0</w:t>
      </w:r>
      <w:r w:rsidR="009275DB" w:rsidRPr="00E02210">
        <w:rPr>
          <w:rFonts w:ascii="Times New Roman" w:hAnsi="Times New Roman" w:cs="Times New Roman"/>
          <w:sz w:val="20"/>
          <w:szCs w:val="20"/>
        </w:rPr>
        <w:br/>
      </w:r>
      <w:r w:rsidR="009275DB" w:rsidRPr="00E02210">
        <w:rPr>
          <w:rFonts w:ascii="Times New Roman" w:eastAsia="Times New Roman" w:hAnsi="Times New Roman" w:cs="Times New Roman"/>
          <w:sz w:val="20"/>
          <w:szCs w:val="20"/>
        </w:rPr>
        <w:t>Po</w:t>
      </w:r>
      <w:r w:rsidR="00677591" w:rsidRPr="00E02210">
        <w:rPr>
          <w:rFonts w:ascii="Times New Roman" w:eastAsia="Times New Roman" w:hAnsi="Times New Roman" w:cs="Times New Roman"/>
          <w:sz w:val="20"/>
          <w:szCs w:val="20"/>
        </w:rPr>
        <w:t>č</w:t>
      </w:r>
      <w:r w:rsidR="009275DB" w:rsidRPr="00E02210">
        <w:rPr>
          <w:rFonts w:ascii="Times New Roman" w:eastAsia="Times New Roman" w:hAnsi="Times New Roman" w:cs="Times New Roman"/>
          <w:sz w:val="20"/>
          <w:szCs w:val="20"/>
        </w:rPr>
        <w:t>et čiasto</w:t>
      </w:r>
      <w:r w:rsidR="00677591" w:rsidRPr="00E02210">
        <w:rPr>
          <w:rFonts w:ascii="Times New Roman" w:eastAsia="Times New Roman" w:hAnsi="Times New Roman" w:cs="Times New Roman"/>
          <w:sz w:val="20"/>
          <w:szCs w:val="20"/>
        </w:rPr>
        <w:t>č</w:t>
      </w:r>
      <w:r w:rsidR="009275DB" w:rsidRPr="00E02210">
        <w:rPr>
          <w:rFonts w:ascii="Times New Roman" w:eastAsia="Times New Roman" w:hAnsi="Times New Roman" w:cs="Times New Roman"/>
          <w:sz w:val="20"/>
          <w:szCs w:val="20"/>
        </w:rPr>
        <w:t>ne akceptovaných pripomienok, z toho zásadných</w:t>
      </w:r>
      <w:r w:rsidRPr="00E02210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E02210">
        <w:rPr>
          <w:rFonts w:ascii="Times New Roman" w:eastAsia="Times New Roman" w:hAnsi="Times New Roman" w:cs="Times New Roman"/>
          <w:sz w:val="20"/>
          <w:szCs w:val="20"/>
        </w:rPr>
        <w:tab/>
      </w:r>
      <w:r w:rsidR="00AD6CAE" w:rsidRPr="00E02210">
        <w:rPr>
          <w:rFonts w:ascii="Times New Roman" w:eastAsia="Times New Roman" w:hAnsi="Times New Roman" w:cs="Times New Roman"/>
          <w:sz w:val="20"/>
          <w:szCs w:val="20"/>
        </w:rPr>
        <w:t>3/</w:t>
      </w:r>
      <w:r w:rsidR="008E0404" w:rsidRPr="00E02210">
        <w:rPr>
          <w:rFonts w:ascii="Times New Roman" w:eastAsia="Times New Roman" w:hAnsi="Times New Roman" w:cs="Times New Roman"/>
          <w:sz w:val="20"/>
          <w:szCs w:val="20"/>
        </w:rPr>
        <w:t xml:space="preserve">0 </w:t>
      </w:r>
      <w:r w:rsidR="009275DB" w:rsidRPr="00E02210">
        <w:rPr>
          <w:rFonts w:ascii="Times New Roman" w:eastAsia="Times New Roman" w:hAnsi="Times New Roman" w:cs="Times New Roman"/>
          <w:sz w:val="20"/>
          <w:szCs w:val="20"/>
        </w:rPr>
        <w:br/>
      </w:r>
      <w:r w:rsidR="009275DB" w:rsidRPr="00E02210">
        <w:rPr>
          <w:rFonts w:ascii="Times New Roman" w:hAnsi="Times New Roman" w:cs="Times New Roman"/>
          <w:sz w:val="20"/>
          <w:szCs w:val="20"/>
        </w:rPr>
        <w:t>Po</w:t>
      </w:r>
      <w:r w:rsidR="00677591" w:rsidRPr="00E02210">
        <w:rPr>
          <w:rFonts w:ascii="Times New Roman" w:eastAsia="Times New Roman" w:hAnsi="Times New Roman" w:cs="Times New Roman"/>
          <w:sz w:val="20"/>
          <w:szCs w:val="20"/>
        </w:rPr>
        <w:t>č</w:t>
      </w:r>
      <w:r w:rsidR="009275DB" w:rsidRPr="00E02210">
        <w:rPr>
          <w:rFonts w:ascii="Times New Roman" w:hAnsi="Times New Roman" w:cs="Times New Roman"/>
          <w:sz w:val="20"/>
          <w:szCs w:val="20"/>
        </w:rPr>
        <w:t>et neakceptovaných pripomienok, z toho zásadných:</w:t>
      </w:r>
      <w:r w:rsidR="00AE09D4" w:rsidRPr="00E02210">
        <w:rPr>
          <w:rFonts w:ascii="Times New Roman" w:hAnsi="Times New Roman" w:cs="Times New Roman"/>
          <w:sz w:val="20"/>
          <w:szCs w:val="20"/>
        </w:rPr>
        <w:tab/>
      </w:r>
      <w:r w:rsidR="00AE09D4" w:rsidRPr="00E02210">
        <w:rPr>
          <w:rFonts w:ascii="Times New Roman" w:hAnsi="Times New Roman" w:cs="Times New Roman"/>
          <w:sz w:val="20"/>
          <w:szCs w:val="20"/>
        </w:rPr>
        <w:tab/>
      </w:r>
      <w:r w:rsidR="00AD6CAE" w:rsidRPr="00E02210">
        <w:rPr>
          <w:rFonts w:ascii="Times New Roman" w:eastAsia="Times New Roman" w:hAnsi="Times New Roman" w:cs="Times New Roman"/>
          <w:sz w:val="20"/>
          <w:szCs w:val="20"/>
        </w:rPr>
        <w:t>2</w:t>
      </w:r>
      <w:r w:rsidR="004A48F0" w:rsidRPr="00E02210">
        <w:rPr>
          <w:rFonts w:ascii="Times New Roman" w:eastAsia="Times New Roman" w:hAnsi="Times New Roman" w:cs="Times New Roman"/>
          <w:sz w:val="20"/>
          <w:szCs w:val="20"/>
        </w:rPr>
        <w:t>/0</w:t>
      </w:r>
      <w:r w:rsidR="00677591" w:rsidRPr="00E02210">
        <w:rPr>
          <w:rFonts w:ascii="Times New Roman" w:hAnsi="Times New Roman" w:cs="Times New Roman"/>
          <w:sz w:val="20"/>
          <w:szCs w:val="20"/>
        </w:rPr>
        <w:br/>
      </w:r>
      <w:r w:rsidR="00677591" w:rsidRPr="00E02210">
        <w:rPr>
          <w:rFonts w:ascii="Times New Roman" w:hAnsi="Times New Roman" w:cs="Times New Roman"/>
          <w:sz w:val="20"/>
          <w:szCs w:val="20"/>
        </w:rPr>
        <w:br/>
      </w:r>
      <w:r w:rsidR="009275DB" w:rsidRPr="00E02210">
        <w:rPr>
          <w:rFonts w:ascii="Times New Roman" w:eastAsia="Times New Roman" w:hAnsi="Times New Roman" w:cs="Times New Roman"/>
          <w:sz w:val="20"/>
          <w:szCs w:val="20"/>
        </w:rPr>
        <w:t>Po</w:t>
      </w:r>
      <w:r w:rsidR="00677591" w:rsidRPr="00E02210">
        <w:rPr>
          <w:rFonts w:ascii="Times New Roman" w:eastAsia="Times New Roman" w:hAnsi="Times New Roman" w:cs="Times New Roman"/>
          <w:sz w:val="20"/>
          <w:szCs w:val="20"/>
        </w:rPr>
        <w:t>č</w:t>
      </w:r>
      <w:r w:rsidR="009275DB" w:rsidRPr="00E02210">
        <w:rPr>
          <w:rFonts w:ascii="Times New Roman" w:eastAsia="Times New Roman" w:hAnsi="Times New Roman" w:cs="Times New Roman"/>
          <w:sz w:val="20"/>
          <w:szCs w:val="20"/>
        </w:rPr>
        <w:t>et vznesených hromadných pripomienok:</w:t>
      </w:r>
      <w:r w:rsidR="00B41FEA" w:rsidRPr="00E02210">
        <w:rPr>
          <w:rFonts w:ascii="Times New Roman" w:eastAsia="Times New Roman" w:hAnsi="Times New Roman" w:cs="Times New Roman"/>
          <w:sz w:val="20"/>
          <w:szCs w:val="20"/>
        </w:rPr>
        <w:tab/>
      </w:r>
      <w:r w:rsidR="00B41FEA" w:rsidRPr="00E02210">
        <w:rPr>
          <w:rFonts w:ascii="Times New Roman" w:eastAsia="Times New Roman" w:hAnsi="Times New Roman" w:cs="Times New Roman"/>
          <w:sz w:val="20"/>
          <w:szCs w:val="20"/>
        </w:rPr>
        <w:tab/>
      </w:r>
      <w:r w:rsidR="00B41FEA" w:rsidRPr="00E02210">
        <w:rPr>
          <w:rFonts w:ascii="Times New Roman" w:eastAsia="Times New Roman" w:hAnsi="Times New Roman" w:cs="Times New Roman"/>
          <w:sz w:val="20"/>
          <w:szCs w:val="20"/>
        </w:rPr>
        <w:tab/>
      </w:r>
      <w:r w:rsidR="00011D51" w:rsidRPr="00E02210">
        <w:rPr>
          <w:rFonts w:ascii="Times New Roman" w:eastAsia="Times New Roman" w:hAnsi="Times New Roman" w:cs="Times New Roman"/>
          <w:sz w:val="20"/>
          <w:szCs w:val="20"/>
        </w:rPr>
        <w:t>0</w:t>
      </w:r>
      <w:r w:rsidR="009275DB" w:rsidRPr="00E02210">
        <w:rPr>
          <w:rFonts w:ascii="Times New Roman" w:eastAsia="Times New Roman" w:hAnsi="Times New Roman" w:cs="Times New Roman"/>
          <w:sz w:val="20"/>
          <w:szCs w:val="20"/>
        </w:rPr>
        <w:br/>
        <w:t>Po</w:t>
      </w:r>
      <w:r w:rsidR="00677591" w:rsidRPr="00E02210">
        <w:rPr>
          <w:rFonts w:ascii="Times New Roman" w:eastAsia="Times New Roman" w:hAnsi="Times New Roman" w:cs="Times New Roman"/>
          <w:sz w:val="20"/>
          <w:szCs w:val="20"/>
        </w:rPr>
        <w:t>č</w:t>
      </w:r>
      <w:r w:rsidR="009275DB" w:rsidRPr="00E02210">
        <w:rPr>
          <w:rFonts w:ascii="Times New Roman" w:eastAsia="Times New Roman" w:hAnsi="Times New Roman" w:cs="Times New Roman"/>
          <w:sz w:val="20"/>
          <w:szCs w:val="20"/>
        </w:rPr>
        <w:t>et vyhodnotených hromadných pripomienok:</w:t>
      </w:r>
      <w:r w:rsidR="00B41FEA" w:rsidRPr="00E02210">
        <w:rPr>
          <w:rFonts w:ascii="Times New Roman" w:eastAsia="Times New Roman" w:hAnsi="Times New Roman" w:cs="Times New Roman"/>
          <w:sz w:val="20"/>
          <w:szCs w:val="20"/>
        </w:rPr>
        <w:tab/>
      </w:r>
      <w:r w:rsidR="00B41FEA" w:rsidRPr="00E02210">
        <w:rPr>
          <w:rFonts w:ascii="Times New Roman" w:eastAsia="Times New Roman" w:hAnsi="Times New Roman" w:cs="Times New Roman"/>
          <w:sz w:val="20"/>
          <w:szCs w:val="20"/>
        </w:rPr>
        <w:tab/>
      </w:r>
      <w:r w:rsidR="00B41FEA" w:rsidRPr="00E02210">
        <w:rPr>
          <w:rFonts w:ascii="Times New Roman" w:eastAsia="Times New Roman" w:hAnsi="Times New Roman" w:cs="Times New Roman"/>
          <w:sz w:val="20"/>
          <w:szCs w:val="20"/>
        </w:rPr>
        <w:tab/>
      </w:r>
      <w:r w:rsidR="00AD6CAE" w:rsidRPr="00E02210">
        <w:rPr>
          <w:rFonts w:ascii="Times New Roman" w:hAnsi="Times New Roman" w:cs="Times New Roman"/>
          <w:sz w:val="20"/>
          <w:szCs w:val="20"/>
        </w:rPr>
        <w:t>0</w:t>
      </w:r>
      <w:r w:rsidR="00677591" w:rsidRPr="00E02210">
        <w:rPr>
          <w:rFonts w:ascii="Times New Roman" w:hAnsi="Times New Roman" w:cs="Times New Roman"/>
          <w:sz w:val="20"/>
          <w:szCs w:val="20"/>
        </w:rPr>
        <w:br/>
      </w:r>
      <w:r w:rsidR="00677591" w:rsidRPr="00E02210">
        <w:rPr>
          <w:rFonts w:ascii="Times New Roman" w:hAnsi="Times New Roman" w:cs="Times New Roman"/>
          <w:sz w:val="20"/>
          <w:szCs w:val="20"/>
        </w:rPr>
        <w:br/>
      </w:r>
      <w:r w:rsidR="009275DB" w:rsidRPr="00E02210">
        <w:rPr>
          <w:rFonts w:ascii="Times New Roman" w:eastAsia="Times New Roman" w:hAnsi="Times New Roman" w:cs="Times New Roman"/>
          <w:sz w:val="20"/>
          <w:szCs w:val="20"/>
        </w:rPr>
        <w:t>Po</w:t>
      </w:r>
      <w:r w:rsidR="00677591" w:rsidRPr="00E02210">
        <w:rPr>
          <w:rFonts w:ascii="Times New Roman" w:eastAsia="Times New Roman" w:hAnsi="Times New Roman" w:cs="Times New Roman"/>
          <w:sz w:val="20"/>
          <w:szCs w:val="20"/>
        </w:rPr>
        <w:t>č</w:t>
      </w:r>
      <w:r w:rsidR="009275DB" w:rsidRPr="00E02210">
        <w:rPr>
          <w:rFonts w:ascii="Times New Roman" w:eastAsia="Times New Roman" w:hAnsi="Times New Roman" w:cs="Times New Roman"/>
          <w:sz w:val="20"/>
          <w:szCs w:val="20"/>
        </w:rPr>
        <w:t>et akceptovaných hromadných pripomienok:</w:t>
      </w:r>
      <w:r w:rsidR="00B41FEA" w:rsidRPr="00E02210">
        <w:rPr>
          <w:rFonts w:ascii="Times New Roman" w:eastAsia="Times New Roman" w:hAnsi="Times New Roman" w:cs="Times New Roman"/>
          <w:sz w:val="20"/>
          <w:szCs w:val="20"/>
        </w:rPr>
        <w:tab/>
      </w:r>
      <w:r w:rsidR="00B41FEA" w:rsidRPr="00E02210">
        <w:rPr>
          <w:rFonts w:ascii="Times New Roman" w:eastAsia="Times New Roman" w:hAnsi="Times New Roman" w:cs="Times New Roman"/>
          <w:sz w:val="20"/>
          <w:szCs w:val="20"/>
        </w:rPr>
        <w:tab/>
      </w:r>
      <w:r w:rsidR="00B41FEA" w:rsidRPr="00E02210">
        <w:rPr>
          <w:rFonts w:ascii="Times New Roman" w:eastAsia="Times New Roman" w:hAnsi="Times New Roman" w:cs="Times New Roman"/>
          <w:sz w:val="20"/>
          <w:szCs w:val="20"/>
        </w:rPr>
        <w:tab/>
      </w:r>
      <w:r w:rsidR="00AD6CAE" w:rsidRPr="00E02210">
        <w:rPr>
          <w:rFonts w:ascii="Times New Roman" w:eastAsia="Times New Roman" w:hAnsi="Times New Roman" w:cs="Times New Roman"/>
          <w:sz w:val="20"/>
          <w:szCs w:val="20"/>
        </w:rPr>
        <w:t>0</w:t>
      </w:r>
      <w:r w:rsidR="009275DB" w:rsidRPr="00E02210">
        <w:rPr>
          <w:rFonts w:ascii="Times New Roman" w:hAnsi="Times New Roman" w:cs="Times New Roman"/>
          <w:sz w:val="20"/>
          <w:szCs w:val="20"/>
        </w:rPr>
        <w:br/>
      </w:r>
      <w:r w:rsidR="009275DB" w:rsidRPr="00E02210">
        <w:rPr>
          <w:rFonts w:ascii="Times New Roman" w:eastAsia="Times New Roman" w:hAnsi="Times New Roman" w:cs="Times New Roman"/>
          <w:sz w:val="20"/>
          <w:szCs w:val="20"/>
        </w:rPr>
        <w:t>Po</w:t>
      </w:r>
      <w:r w:rsidR="00677591" w:rsidRPr="00E02210">
        <w:rPr>
          <w:rFonts w:ascii="Times New Roman" w:eastAsia="Times New Roman" w:hAnsi="Times New Roman" w:cs="Times New Roman"/>
          <w:sz w:val="20"/>
          <w:szCs w:val="20"/>
        </w:rPr>
        <w:t>č</w:t>
      </w:r>
      <w:r w:rsidR="009275DB" w:rsidRPr="00E02210">
        <w:rPr>
          <w:rFonts w:ascii="Times New Roman" w:eastAsia="Times New Roman" w:hAnsi="Times New Roman" w:cs="Times New Roman"/>
          <w:sz w:val="20"/>
          <w:szCs w:val="20"/>
        </w:rPr>
        <w:t>et čiasto</w:t>
      </w:r>
      <w:r w:rsidR="00677591" w:rsidRPr="00E02210">
        <w:rPr>
          <w:rFonts w:ascii="Times New Roman" w:eastAsia="Times New Roman" w:hAnsi="Times New Roman" w:cs="Times New Roman"/>
          <w:sz w:val="20"/>
          <w:szCs w:val="20"/>
        </w:rPr>
        <w:t>č</w:t>
      </w:r>
      <w:r w:rsidR="009275DB" w:rsidRPr="00E02210">
        <w:rPr>
          <w:rFonts w:ascii="Times New Roman" w:eastAsia="Times New Roman" w:hAnsi="Times New Roman" w:cs="Times New Roman"/>
          <w:sz w:val="20"/>
          <w:szCs w:val="20"/>
        </w:rPr>
        <w:t>ne akceptovaných hromadných pripomienok:</w:t>
      </w:r>
      <w:r w:rsidR="00B41FEA" w:rsidRPr="00E02210">
        <w:rPr>
          <w:rFonts w:ascii="Times New Roman" w:eastAsia="Times New Roman" w:hAnsi="Times New Roman" w:cs="Times New Roman"/>
          <w:sz w:val="20"/>
          <w:szCs w:val="20"/>
        </w:rPr>
        <w:tab/>
      </w:r>
      <w:r w:rsidR="00B41FEA" w:rsidRPr="00E02210">
        <w:rPr>
          <w:rFonts w:ascii="Times New Roman" w:eastAsia="Times New Roman" w:hAnsi="Times New Roman" w:cs="Times New Roman"/>
          <w:sz w:val="20"/>
          <w:szCs w:val="20"/>
        </w:rPr>
        <w:tab/>
      </w:r>
      <w:r w:rsidR="00AD6CAE" w:rsidRPr="00E02210">
        <w:rPr>
          <w:rFonts w:ascii="Times New Roman" w:eastAsia="Times New Roman" w:hAnsi="Times New Roman" w:cs="Times New Roman"/>
          <w:sz w:val="20"/>
          <w:szCs w:val="20"/>
        </w:rPr>
        <w:t>0</w:t>
      </w:r>
      <w:r w:rsidR="009275DB" w:rsidRPr="00E02210">
        <w:rPr>
          <w:rFonts w:ascii="Times New Roman" w:hAnsi="Times New Roman" w:cs="Times New Roman"/>
          <w:sz w:val="20"/>
          <w:szCs w:val="20"/>
        </w:rPr>
        <w:br/>
      </w:r>
      <w:r w:rsidR="009275DB" w:rsidRPr="00E02210">
        <w:rPr>
          <w:rFonts w:ascii="Times New Roman" w:eastAsia="Times New Roman" w:hAnsi="Times New Roman" w:cs="Times New Roman"/>
          <w:sz w:val="20"/>
          <w:szCs w:val="20"/>
        </w:rPr>
        <w:t>Po</w:t>
      </w:r>
      <w:r w:rsidR="00677591" w:rsidRPr="00E02210">
        <w:rPr>
          <w:rFonts w:ascii="Times New Roman" w:eastAsia="Times New Roman" w:hAnsi="Times New Roman" w:cs="Times New Roman"/>
          <w:sz w:val="20"/>
          <w:szCs w:val="20"/>
        </w:rPr>
        <w:t>č</w:t>
      </w:r>
      <w:r w:rsidR="009275DB" w:rsidRPr="00E02210">
        <w:rPr>
          <w:rFonts w:ascii="Times New Roman" w:eastAsia="Times New Roman" w:hAnsi="Times New Roman" w:cs="Times New Roman"/>
          <w:sz w:val="20"/>
          <w:szCs w:val="20"/>
        </w:rPr>
        <w:t>et neakceptovaných hromadných pripomienok:</w:t>
      </w:r>
      <w:r w:rsidR="00B41FEA" w:rsidRPr="00E02210">
        <w:rPr>
          <w:rFonts w:ascii="Times New Roman" w:eastAsia="Times New Roman" w:hAnsi="Times New Roman" w:cs="Times New Roman"/>
          <w:sz w:val="20"/>
          <w:szCs w:val="20"/>
        </w:rPr>
        <w:tab/>
      </w:r>
      <w:r w:rsidR="00B41FEA" w:rsidRPr="00E02210">
        <w:rPr>
          <w:rFonts w:ascii="Times New Roman" w:eastAsia="Times New Roman" w:hAnsi="Times New Roman" w:cs="Times New Roman"/>
          <w:sz w:val="20"/>
          <w:szCs w:val="20"/>
        </w:rPr>
        <w:tab/>
      </w:r>
      <w:r w:rsidR="00B41FEA" w:rsidRPr="00E02210">
        <w:rPr>
          <w:rFonts w:ascii="Times New Roman" w:eastAsia="Times New Roman" w:hAnsi="Times New Roman" w:cs="Times New Roman"/>
          <w:sz w:val="20"/>
          <w:szCs w:val="20"/>
        </w:rPr>
        <w:tab/>
      </w:r>
      <w:r w:rsidR="00AD6CAE" w:rsidRPr="00E02210">
        <w:rPr>
          <w:rFonts w:ascii="Times New Roman" w:eastAsia="Times New Roman" w:hAnsi="Times New Roman" w:cs="Times New Roman"/>
          <w:sz w:val="20"/>
          <w:szCs w:val="20"/>
        </w:rPr>
        <w:t>0</w:t>
      </w:r>
      <w:r w:rsidR="00362D69" w:rsidRPr="00E02210">
        <w:rPr>
          <w:rFonts w:ascii="Times New Roman" w:hAnsi="Times New Roman" w:cs="Times New Roman"/>
          <w:sz w:val="20"/>
          <w:szCs w:val="20"/>
        </w:rPr>
        <w:tab/>
      </w:r>
    </w:p>
    <w:p w:rsidR="00E02210" w:rsidRDefault="00E02210" w:rsidP="00E0221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7591" w:rsidRPr="00E02210" w:rsidRDefault="00677591" w:rsidP="00E022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2210">
        <w:rPr>
          <w:rFonts w:ascii="Times New Roman" w:eastAsia="Times New Roman" w:hAnsi="Times New Roman" w:cs="Times New Roman"/>
          <w:sz w:val="20"/>
          <w:szCs w:val="20"/>
        </w:rPr>
        <w:t>Vysvetlivky k použitým skratkám v tabu</w:t>
      </w:r>
      <w:r w:rsidR="00A6034C" w:rsidRPr="00E02210">
        <w:rPr>
          <w:rFonts w:ascii="Times New Roman" w:eastAsia="Times New Roman" w:hAnsi="Times New Roman" w:cs="Times New Roman"/>
          <w:sz w:val="20"/>
          <w:szCs w:val="20"/>
        </w:rPr>
        <w:t>ľ</w:t>
      </w:r>
      <w:r w:rsidRPr="00E02210">
        <w:rPr>
          <w:rFonts w:ascii="Times New Roman" w:eastAsia="Times New Roman" w:hAnsi="Times New Roman" w:cs="Times New Roman"/>
          <w:sz w:val="20"/>
          <w:szCs w:val="20"/>
        </w:rPr>
        <w:t>kách:</w:t>
      </w:r>
    </w:p>
    <w:p w:rsidR="00677591" w:rsidRPr="00E02210" w:rsidRDefault="00677591" w:rsidP="00E022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2210">
        <w:rPr>
          <w:rFonts w:ascii="Times New Roman" w:eastAsia="Times New Roman" w:hAnsi="Times New Roman" w:cs="Times New Roman"/>
          <w:sz w:val="20"/>
          <w:szCs w:val="20"/>
        </w:rPr>
        <w:t>O – obyčajná</w:t>
      </w:r>
      <w:r w:rsidRPr="00E02210">
        <w:rPr>
          <w:rFonts w:ascii="Times New Roman" w:eastAsia="Times New Roman" w:hAnsi="Times New Roman" w:cs="Times New Roman"/>
          <w:sz w:val="20"/>
          <w:szCs w:val="20"/>
        </w:rPr>
        <w:tab/>
        <w:t>A – akceptovaná</w:t>
      </w:r>
      <w:r w:rsidRPr="00E02210">
        <w:rPr>
          <w:rFonts w:ascii="Times New Roman" w:eastAsia="Times New Roman" w:hAnsi="Times New Roman" w:cs="Times New Roman"/>
          <w:sz w:val="20"/>
          <w:szCs w:val="20"/>
        </w:rPr>
        <w:br/>
        <w:t>Z – zásadná</w:t>
      </w:r>
      <w:r w:rsidRPr="00E02210">
        <w:rPr>
          <w:rFonts w:ascii="Times New Roman" w:eastAsia="Times New Roman" w:hAnsi="Times New Roman" w:cs="Times New Roman"/>
          <w:sz w:val="20"/>
          <w:szCs w:val="20"/>
        </w:rPr>
        <w:tab/>
        <w:t>N – neakceptovaná</w:t>
      </w:r>
      <w:r w:rsidRPr="00E02210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ČA – čiastočne akceptovaná</w:t>
      </w:r>
      <w:r w:rsidRPr="00E02210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NEP – neprihliada sa</w:t>
      </w:r>
    </w:p>
    <w:p w:rsidR="00E02210" w:rsidRDefault="00E02210" w:rsidP="00E022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7591" w:rsidRPr="00E02210" w:rsidRDefault="00677591" w:rsidP="00E022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2210">
        <w:rPr>
          <w:rFonts w:ascii="Times New Roman" w:eastAsia="Times New Roman" w:hAnsi="Times New Roman" w:cs="Times New Roman"/>
          <w:sz w:val="20"/>
          <w:szCs w:val="20"/>
        </w:rPr>
        <w:t>Vyhodnotenie vecných pripomienok</w:t>
      </w:r>
    </w:p>
    <w:p w:rsidR="007C1A93" w:rsidRPr="00E02210" w:rsidRDefault="00E66622" w:rsidP="00E022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2210">
        <w:rPr>
          <w:rFonts w:ascii="Times New Roman" w:eastAsia="Times New Roman" w:hAnsi="Times New Roman" w:cs="Times New Roman"/>
          <w:sz w:val="20"/>
          <w:szCs w:val="20"/>
        </w:rPr>
        <w:t>Vznesené pripomienky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6804"/>
        <w:gridCol w:w="567"/>
        <w:gridCol w:w="3037"/>
      </w:tblGrid>
      <w:tr w:rsidR="000B16EA" w:rsidRPr="00E02210" w:rsidTr="00E02210">
        <w:trPr>
          <w:jc w:val="center"/>
        </w:trPr>
        <w:tc>
          <w:tcPr>
            <w:tcW w:w="1985" w:type="dxa"/>
            <w:vAlign w:val="center"/>
          </w:tcPr>
          <w:p w:rsidR="000B16EA" w:rsidRPr="00E02210" w:rsidRDefault="000B16EA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Subjekt</w:t>
            </w:r>
          </w:p>
        </w:tc>
        <w:tc>
          <w:tcPr>
            <w:tcW w:w="567" w:type="dxa"/>
            <w:vAlign w:val="center"/>
          </w:tcPr>
          <w:p w:rsidR="000B16EA" w:rsidRPr="00E02210" w:rsidRDefault="000B16EA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6804" w:type="dxa"/>
            <w:vAlign w:val="center"/>
          </w:tcPr>
          <w:p w:rsidR="000B16EA" w:rsidRPr="00E02210" w:rsidRDefault="000B16EA" w:rsidP="00E02210">
            <w:pPr>
              <w:widowControl w:val="0"/>
              <w:spacing w:after="0" w:line="240" w:lineRule="auto"/>
              <w:ind w:left="-21" w:firstLine="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Pripomienka</w:t>
            </w:r>
          </w:p>
        </w:tc>
        <w:tc>
          <w:tcPr>
            <w:tcW w:w="567" w:type="dxa"/>
            <w:vAlign w:val="center"/>
          </w:tcPr>
          <w:p w:rsidR="000B16EA" w:rsidRPr="00E02210" w:rsidRDefault="000B16EA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Vyh.</w:t>
            </w:r>
          </w:p>
        </w:tc>
        <w:tc>
          <w:tcPr>
            <w:tcW w:w="3037" w:type="dxa"/>
            <w:vAlign w:val="center"/>
          </w:tcPr>
          <w:p w:rsidR="000B16EA" w:rsidRPr="00E02210" w:rsidRDefault="000B16EA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Spôsob vyhodnotenia</w:t>
            </w:r>
          </w:p>
        </w:tc>
      </w:tr>
      <w:tr w:rsidR="00B61A08" w:rsidRPr="00E02210" w:rsidTr="00E02210">
        <w:trPr>
          <w:jc w:val="center"/>
        </w:trPr>
        <w:tc>
          <w:tcPr>
            <w:tcW w:w="1985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GPSR</w:t>
            </w: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Generálna prokuratúra Slovenskej republiky</w:t>
            </w:r>
          </w:p>
        </w:tc>
        <w:tc>
          <w:tcPr>
            <w:tcW w:w="567" w:type="dxa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6804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 čl. I (§ 14 ods. 2) – O:</w:t>
            </w: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Slová „pôda ležiaca“ odporúčame nahradiť slovami „pôdu ležiacu“ (gramatická úprava).</w:t>
            </w:r>
          </w:p>
        </w:tc>
        <w:tc>
          <w:tcPr>
            <w:tcW w:w="567" w:type="dxa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3037" w:type="dxa"/>
          </w:tcPr>
          <w:p w:rsidR="00B61A08" w:rsidRPr="00E02210" w:rsidRDefault="00B61A08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08" w:rsidRPr="00E02210" w:rsidTr="00E02210">
        <w:trPr>
          <w:jc w:val="center"/>
        </w:trPr>
        <w:tc>
          <w:tcPr>
            <w:tcW w:w="1985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MDSR</w:t>
            </w: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Ministerstvo dopravy Slovenskej republiky</w:t>
            </w:r>
          </w:p>
        </w:tc>
        <w:tc>
          <w:tcPr>
            <w:tcW w:w="567" w:type="dxa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6804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Čl. I úvodná veta</w:t>
            </w: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 čl. I odporúčame rozpísať úvodnú vetu, vzhľadom na to, že predmetné nariadenie vlády bolo niekoľko krát novelizované (v znení nariadenia č. 121/2023 Z. z., č. 516/2023 Z. z. a č 413/2024 Z. z.) a vypustiť slová „mení a“.</w:t>
            </w:r>
          </w:p>
        </w:tc>
        <w:tc>
          <w:tcPr>
            <w:tcW w:w="567" w:type="dxa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3037" w:type="dxa"/>
          </w:tcPr>
          <w:p w:rsidR="00B61A08" w:rsidRPr="00E02210" w:rsidRDefault="00B61A08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08" w:rsidRPr="00E02210" w:rsidTr="00E02210">
        <w:trPr>
          <w:jc w:val="center"/>
        </w:trPr>
        <w:tc>
          <w:tcPr>
            <w:tcW w:w="1985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MDSR</w:t>
            </w: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Ministerstvo dopravy Slovenskej republiky</w:t>
            </w:r>
          </w:p>
        </w:tc>
        <w:tc>
          <w:tcPr>
            <w:tcW w:w="567" w:type="dxa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6804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Čl. I § 14 ods. 2</w:t>
            </w: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 čl. I odporúčame upraviť takto: „V § 14 ods. 2 sa za slová „č. 1d“ vkladá čiarka a slová „pôdu ležiacu úhorom s porastom,“.</w:t>
            </w:r>
          </w:p>
        </w:tc>
        <w:tc>
          <w:tcPr>
            <w:tcW w:w="567" w:type="dxa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ČA</w:t>
            </w:r>
          </w:p>
        </w:tc>
        <w:tc>
          <w:tcPr>
            <w:tcW w:w="3037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Text je upravený podľa inej pripomienky.</w:t>
            </w:r>
          </w:p>
        </w:tc>
      </w:tr>
      <w:tr w:rsidR="00B61A08" w:rsidRPr="00E02210" w:rsidTr="00E02210">
        <w:trPr>
          <w:jc w:val="center"/>
        </w:trPr>
        <w:tc>
          <w:tcPr>
            <w:tcW w:w="1985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MFSR</w:t>
            </w: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Ministerstvo financií 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Slovenskej republiky</w:t>
            </w:r>
          </w:p>
        </w:tc>
        <w:tc>
          <w:tcPr>
            <w:tcW w:w="567" w:type="dxa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O</w:t>
            </w:r>
          </w:p>
        </w:tc>
        <w:tc>
          <w:tcPr>
            <w:tcW w:w="6804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Celému materiálu</w:t>
            </w: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Návrh je potrebné zosúladiť s prílohou č. 1 Legislatívnych pravidiel vlády SR (v 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čl. I úvodnej vete slová „neskorších predpisov sa mení a“ nahradiť slovami „nariadenia vlády Slovenskej republiky č. 121/2023 Z. z., nariadenia vlády Slovenskej republiky č. 516/2023 Z. z. a nariadenia vlády Slovenskej republiky č. 413/2024 Z. z. sa“, v čl. I jedinom novelizačnom bode slová „č. 1d“ nahradiť slovami „prílohy č. 1d“ a slová „pôda ležiaca“ nahradiť slovami „pôdu ležiacu“).</w:t>
            </w:r>
          </w:p>
        </w:tc>
        <w:tc>
          <w:tcPr>
            <w:tcW w:w="567" w:type="dxa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</w:t>
            </w:r>
          </w:p>
        </w:tc>
        <w:tc>
          <w:tcPr>
            <w:tcW w:w="3037" w:type="dxa"/>
          </w:tcPr>
          <w:p w:rsidR="00B61A08" w:rsidRPr="00E02210" w:rsidRDefault="00B61A08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08" w:rsidRPr="00E02210" w:rsidTr="00E02210">
        <w:trPr>
          <w:jc w:val="center"/>
        </w:trPr>
        <w:tc>
          <w:tcPr>
            <w:tcW w:w="1985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MINCRS</w:t>
            </w: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Ministerstvo cestovného ruchu a športu Slovenskej republiky</w:t>
            </w:r>
          </w:p>
        </w:tc>
        <w:tc>
          <w:tcPr>
            <w:tcW w:w="567" w:type="dxa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6804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 čl. I</w:t>
            </w: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 čl. I úvodnej vete navrhujeme namiesto slov „v znení neskorších predpisov“ výslovne uviesť nariadenia č. 121/2023 Z. z., č. 516/2023 Z. z. a č 413/2024 Z. z.</w:t>
            </w:r>
          </w:p>
        </w:tc>
        <w:tc>
          <w:tcPr>
            <w:tcW w:w="567" w:type="dxa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3037" w:type="dxa"/>
          </w:tcPr>
          <w:p w:rsidR="00B61A08" w:rsidRPr="00E02210" w:rsidRDefault="00B61A08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08" w:rsidRPr="00E02210" w:rsidTr="00E02210">
        <w:trPr>
          <w:jc w:val="center"/>
        </w:trPr>
        <w:tc>
          <w:tcPr>
            <w:tcW w:w="1985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MINCRS</w:t>
            </w: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Ministerstvo cestovného ruchu a športu Slovenskej republiky</w:t>
            </w:r>
          </w:p>
        </w:tc>
        <w:tc>
          <w:tcPr>
            <w:tcW w:w="567" w:type="dxa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6804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 čl. I</w:t>
            </w: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 čl. I úvodnej vete navrhujeme vypustiť slová „mení a“.</w:t>
            </w:r>
          </w:p>
        </w:tc>
        <w:tc>
          <w:tcPr>
            <w:tcW w:w="567" w:type="dxa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3037" w:type="dxa"/>
          </w:tcPr>
          <w:p w:rsidR="00B61A08" w:rsidRPr="00E02210" w:rsidRDefault="00B61A08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08" w:rsidRPr="00E02210" w:rsidTr="00E02210">
        <w:trPr>
          <w:jc w:val="center"/>
        </w:trPr>
        <w:tc>
          <w:tcPr>
            <w:tcW w:w="1985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MINCRS</w:t>
            </w: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Ministerstvo cestovného ruchu a športu Slovenskej republiky</w:t>
            </w:r>
          </w:p>
        </w:tc>
        <w:tc>
          <w:tcPr>
            <w:tcW w:w="567" w:type="dxa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6804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 čl. I</w:t>
            </w: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 čl. I navrhujeme slová „pôda ležiaca úhorom s porastom“ uviesť v správnom gramatickom tvare, keďže má ísť o akuzatív.</w:t>
            </w:r>
          </w:p>
        </w:tc>
        <w:tc>
          <w:tcPr>
            <w:tcW w:w="567" w:type="dxa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3037" w:type="dxa"/>
          </w:tcPr>
          <w:p w:rsidR="00B61A08" w:rsidRPr="00E02210" w:rsidRDefault="00B61A08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08" w:rsidRPr="00E02210" w:rsidTr="00E02210">
        <w:trPr>
          <w:jc w:val="center"/>
        </w:trPr>
        <w:tc>
          <w:tcPr>
            <w:tcW w:w="1985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MINCRS</w:t>
            </w: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Ministerstvo cestovného ruchu a športu Slovenskej republiky</w:t>
            </w:r>
          </w:p>
        </w:tc>
        <w:tc>
          <w:tcPr>
            <w:tcW w:w="567" w:type="dxa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6804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 čl. I</w:t>
            </w: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 čl. I dávame na zváženie, či vložením slov „pôda ležiaca úhorom s porastom“ v správnom gramatickom tvare nenastane  pri vypočítavaní neproduktívnej plochy duplicita so slovom „biopásy“. Podľa  § 15 ods. 2 písm. e) predmetného nariadenia vlády je totiž každý biopás súvisle tvorený pôdou ležiacou úhorom s porastom, z čoho vyplýva, že biopás je podmnožinou pôdy ležiacej úhorom s porastom, a teda relevancia slova „biopásy“ v ustanovení § 14 ods. 2 sa stáva otáznou. Z rovnakého dôvodu môže nastať nejasnosť v otázke, či sa biopásu kosenému po 31.07. pridelí v zmysle prílohy č. 1e predmetného nariadenia vlády váhový faktor 1,5 alebo váhový faktor 1 (určený pre pôdu ležiacu úhorom s porastom), keďže v každom prípade ide vždy o pôdu ležiacu úhorom s porastom a nariadenie vlády neobsahuje ustanovenie o tom, ako postupovať v prípade , že pre tú istú plochu sú priradené dva rôzne váhové faktory.</w:t>
            </w:r>
          </w:p>
        </w:tc>
        <w:tc>
          <w:tcPr>
            <w:tcW w:w="567" w:type="dxa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3037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Biopásy síce tvorí plocha úhoru s porastom, ale je to členiaci prvok podľa § 15. Biopásy majú obhospodarovanie, ktoré je nad rámec obhospodarovania "obyčajnej" pôdy ležiacej úhorom s porastom (napr. je ich možné mulčovať alebo kosiť max. 2 x ročne, odstrániť pokosenú hmotu do 14 dní). Zároveň na biopásy nadväzuje mechanizmus krátenia za členenie najväčšej súvislej plochy ornej pôdy podľa § 15 nariadenia vlády č. 120/2022 Z. z. Pokiaľ ide o váhový faktor, biopásy síce tvorí plocha pôdy ležiaca úhorom s porastom, ale je to osobitný prvok so špecifickým obhospodarovaním, pričom pokiaľ má vyšší váhový faktor, kosí sa po 31.7., pričom tento osobitý spôsob obhospodarovania nemá žiadna iná neproduktívna plocha alebo prvok.</w:t>
            </w:r>
          </w:p>
        </w:tc>
      </w:tr>
      <w:tr w:rsidR="00B61A08" w:rsidRPr="00E02210" w:rsidTr="00E02210">
        <w:trPr>
          <w:jc w:val="center"/>
        </w:trPr>
        <w:tc>
          <w:tcPr>
            <w:tcW w:w="1985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MINCRS</w:t>
            </w: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Ministerstvo cestovného ruchu a športu Slovenskej republiky</w:t>
            </w:r>
          </w:p>
        </w:tc>
        <w:tc>
          <w:tcPr>
            <w:tcW w:w="567" w:type="dxa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6804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 čl. I</w:t>
            </w: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 čl. I navrhujeme slová „pôda ležiaca úhorom s porastom“ v správnom gramatickom tvare uviesť ešte pred slová „ostatné neproduktívne prvky podľa prílohy č. 1d,“ a nie až za ne. Z dôvodovej správy totiž vyplýva, že pôda ležiaca úhorom s porastom je neproduktívny prvok. Z tohto dôvodu je vhodnejšie a systematickejšie najprv uviesť tento neproduktívny prvok (pôda ležiaca úhorom s porastom) a až následne uvádzať „ostatné“ neproduktívne prvky.</w:t>
            </w:r>
          </w:p>
        </w:tc>
        <w:tc>
          <w:tcPr>
            <w:tcW w:w="567" w:type="dxa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3037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 je potrebné meniť poradie slov. Prvky podľa osobitného predpisu a časť z ostatných neproduktívnych prvkov PPA má vyznačené vo svojom elektronickom systéme GSSA, takže nemôže dôjsť k zámene. Ostatné neproduktívne prvky predstavujú samostatnú kategóriu.</w:t>
            </w:r>
          </w:p>
        </w:tc>
      </w:tr>
      <w:tr w:rsidR="00B61A08" w:rsidRPr="00E02210" w:rsidTr="00E02210">
        <w:trPr>
          <w:jc w:val="center"/>
        </w:trPr>
        <w:tc>
          <w:tcPr>
            <w:tcW w:w="1985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MKSR</w:t>
            </w: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Ministerstvo kultúry Slovenskej republiky</w:t>
            </w:r>
          </w:p>
        </w:tc>
        <w:tc>
          <w:tcPr>
            <w:tcW w:w="567" w:type="dxa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6804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 vlastnému materiálu</w:t>
            </w: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 vlastnému materiálu 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V Čl. I úvodnej vete odporúčame slová „neskorších predpisov sa mení a“ nahradiť slovami „nariadenia vlády Slovenskej republiky č. 121/2023 Z. z., nariadenia vlády Slovenskej republiky č. 516/2023 Z. z. a nariadenia vlády Slovenskej republiky č. 413/2024 Z. z. sa“.   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V novelizačnom bode odporúčame z jazykového hľadiska slová „pôda ležiaca“ nahradiť slovami „pôdu ležiacu“. 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Odôvodnenie: Legislatívne pripomienky za účelom zosúladenia predloženého materiálu s Legislatívnymi pravidlami vlády SR.</w:t>
            </w:r>
          </w:p>
        </w:tc>
        <w:tc>
          <w:tcPr>
            <w:tcW w:w="567" w:type="dxa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3037" w:type="dxa"/>
          </w:tcPr>
          <w:p w:rsidR="00B61A08" w:rsidRPr="00E02210" w:rsidRDefault="00B61A08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08" w:rsidRPr="00E02210" w:rsidTr="00E02210">
        <w:trPr>
          <w:jc w:val="center"/>
        </w:trPr>
        <w:tc>
          <w:tcPr>
            <w:tcW w:w="1985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MPSVRSR</w:t>
            </w: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Ministerstvo práce, sociálnych vecí a rodiny Slovenskej republiky</w:t>
            </w:r>
          </w:p>
        </w:tc>
        <w:tc>
          <w:tcPr>
            <w:tcW w:w="567" w:type="dxa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6804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 čl. I úvodnej vete</w:t>
            </w: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Odporúčame v čl. I úvodnej vete slová „neskorších predpisov sa mení a“ nahradiť slovami 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„nariadenia vlády Slovenskej republiky č. 121/2023 Z. z., nariadenia vlády Slovenskej republiky č. 516/2023 Z. z. a nariadenia vlády Slovenskej republiky č. 413/2024 Z. z. sa“.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Odôvodnenie: Legislatívno-technická pripomienka.</w:t>
            </w:r>
          </w:p>
        </w:tc>
        <w:tc>
          <w:tcPr>
            <w:tcW w:w="567" w:type="dxa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3037" w:type="dxa"/>
          </w:tcPr>
          <w:p w:rsidR="00B61A08" w:rsidRPr="00E02210" w:rsidRDefault="00B61A08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08" w:rsidRPr="00E02210" w:rsidTr="00E02210">
        <w:trPr>
          <w:jc w:val="center"/>
        </w:trPr>
        <w:tc>
          <w:tcPr>
            <w:tcW w:w="1985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MPSVRSR</w:t>
            </w: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Ministerstvo práce, sociálnych vecí a rodiny Slovenskej republiky</w:t>
            </w:r>
          </w:p>
        </w:tc>
        <w:tc>
          <w:tcPr>
            <w:tcW w:w="567" w:type="dxa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6804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 čl. I</w:t>
            </w: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Odporúčame v čl. I  slová „pôda ležiaca“ uviesť v tvare „pôdu ležiacu“.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Odôvodnenie: Legislatívno-technická pripomienka.</w:t>
            </w:r>
          </w:p>
        </w:tc>
        <w:tc>
          <w:tcPr>
            <w:tcW w:w="567" w:type="dxa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3037" w:type="dxa"/>
          </w:tcPr>
          <w:p w:rsidR="00B61A08" w:rsidRPr="00E02210" w:rsidRDefault="00B61A08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08" w:rsidRPr="00E02210" w:rsidTr="00E02210">
        <w:trPr>
          <w:jc w:val="center"/>
        </w:trPr>
        <w:tc>
          <w:tcPr>
            <w:tcW w:w="1985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MZSR</w:t>
            </w: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Ministerstvo zdravotníctva Slovenskej republiky</w:t>
            </w:r>
          </w:p>
        </w:tc>
        <w:tc>
          <w:tcPr>
            <w:tcW w:w="567" w:type="dxa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6804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Obal materiálu</w:t>
            </w: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Odporúčame na obale materiálu odstrániť akademický titul pred menom predkladateľa a to 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podľa čl. 5 ods. 1 písm. g) Smernice na prípravu a predkladanie materiálov na rokovanie vlády 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Slovenskej republiky.</w:t>
            </w:r>
          </w:p>
        </w:tc>
        <w:tc>
          <w:tcPr>
            <w:tcW w:w="567" w:type="dxa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ČA</w:t>
            </w:r>
          </w:p>
        </w:tc>
        <w:tc>
          <w:tcPr>
            <w:tcW w:w="3037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Znenie obalu generuje slovlex. Obal materiálu na LRV a na rokovanie vlády nebude obsahovať titul.</w:t>
            </w:r>
          </w:p>
        </w:tc>
      </w:tr>
      <w:tr w:rsidR="00B61A08" w:rsidRPr="00E02210" w:rsidTr="00E02210">
        <w:trPr>
          <w:jc w:val="center"/>
        </w:trPr>
        <w:tc>
          <w:tcPr>
            <w:tcW w:w="1985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MZSR</w:t>
            </w: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Ministerstvo zdravotníctva Slovenskej republiky</w:t>
            </w:r>
          </w:p>
        </w:tc>
        <w:tc>
          <w:tcPr>
            <w:tcW w:w="567" w:type="dxa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6804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Obal materiálu</w:t>
            </w: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Odporúčame na obale materiálu uviesť funkciu ministra s malým začiatočným písmenom. 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Odôvodnenie: Zosúladenie s pravidlami slovenského pravopisu.</w:t>
            </w:r>
          </w:p>
        </w:tc>
        <w:tc>
          <w:tcPr>
            <w:tcW w:w="567" w:type="dxa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ČA</w:t>
            </w:r>
          </w:p>
        </w:tc>
        <w:tc>
          <w:tcPr>
            <w:tcW w:w="3037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Znenie obalu generuje slovlex. Obal materiálu na LRV a na rokovanie vlády bude sa malým ministrom.</w:t>
            </w:r>
          </w:p>
        </w:tc>
      </w:tr>
      <w:tr w:rsidR="00B61A08" w:rsidRPr="00E02210" w:rsidTr="00E02210">
        <w:trPr>
          <w:jc w:val="center"/>
        </w:trPr>
        <w:tc>
          <w:tcPr>
            <w:tcW w:w="1985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OAPSVLÚVSR</w:t>
            </w: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Odbor aproximácie práva sekcie vládnej legislatívy Úradu vlády SR</w:t>
            </w:r>
          </w:p>
        </w:tc>
        <w:tc>
          <w:tcPr>
            <w:tcW w:w="567" w:type="dxa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O</w:t>
            </w:r>
          </w:p>
        </w:tc>
        <w:tc>
          <w:tcPr>
            <w:tcW w:w="6804" w:type="dxa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 doložke vybraných vplyvov</w:t>
            </w: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V doložke vybraných vplyvov je potrebné pri „Charakter predkladaného materiálu“ označiť krížikom Transpozícia/implementácia práva EÚ a vypustiť odtiaľ vykonávacie rozhodnutie Komisie z 20. 11. 2024, ktorým sa schvaľuje zmena strategického plánu SPP Slovenskej republiky na roky 2023 – 2027 týkajúceho sa únijnej podpory financovanej z Európskeho poľnohospodárskeho záručného fondu a Európskeho poľnohospodárskeho fondu pre rozvoj vidieka Spoločný identifikačný kód (CCI): 2023SK06AFSP001 (C2024)7969 final) a uviesť nariadenie (EÚ) 2021/2115 v platnom znení, na základe ktorého bolo uvedené vykonávacie rozhodnutie Komisie vydané.</w:t>
            </w:r>
          </w:p>
        </w:tc>
        <w:tc>
          <w:tcPr>
            <w:tcW w:w="567" w:type="dxa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</w:t>
            </w:r>
          </w:p>
        </w:tc>
        <w:tc>
          <w:tcPr>
            <w:tcW w:w="3037" w:type="dxa"/>
          </w:tcPr>
          <w:p w:rsidR="00B61A08" w:rsidRPr="00E02210" w:rsidRDefault="00B61A08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2D78" w:rsidRPr="00E02210" w:rsidRDefault="000B2D78" w:rsidP="00E0221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6622" w:rsidRPr="00E02210" w:rsidRDefault="00E66622" w:rsidP="00E0221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2210">
        <w:rPr>
          <w:rFonts w:ascii="Times New Roman" w:eastAsia="Times New Roman" w:hAnsi="Times New Roman" w:cs="Times New Roman"/>
          <w:sz w:val="20"/>
          <w:szCs w:val="20"/>
        </w:rPr>
        <w:t>Vznesené hromadné pripomienky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296"/>
        <w:gridCol w:w="6480"/>
        <w:gridCol w:w="778"/>
        <w:gridCol w:w="2462"/>
      </w:tblGrid>
      <w:tr w:rsidR="000B16EA" w:rsidRPr="00E02210" w:rsidTr="00E02210">
        <w:trPr>
          <w:jc w:val="center"/>
        </w:trPr>
        <w:tc>
          <w:tcPr>
            <w:tcW w:w="1944" w:type="dxa"/>
            <w:vAlign w:val="center"/>
          </w:tcPr>
          <w:p w:rsidR="000B16EA" w:rsidRPr="00E02210" w:rsidRDefault="000B16EA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Subjekt</w:t>
            </w:r>
          </w:p>
        </w:tc>
        <w:tc>
          <w:tcPr>
            <w:tcW w:w="1296" w:type="dxa"/>
            <w:vAlign w:val="center"/>
          </w:tcPr>
          <w:p w:rsidR="000B16EA" w:rsidRPr="00E02210" w:rsidRDefault="000B16EA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Podporo-</w:t>
            </w:r>
            <w:r w:rsidRPr="00E02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vatelia</w:t>
            </w:r>
          </w:p>
        </w:tc>
        <w:tc>
          <w:tcPr>
            <w:tcW w:w="6480" w:type="dxa"/>
            <w:vAlign w:val="center"/>
          </w:tcPr>
          <w:p w:rsidR="000B16EA" w:rsidRPr="00E02210" w:rsidRDefault="000B16EA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Pripomienka</w:t>
            </w:r>
          </w:p>
        </w:tc>
        <w:tc>
          <w:tcPr>
            <w:tcW w:w="778" w:type="dxa"/>
            <w:vAlign w:val="center"/>
          </w:tcPr>
          <w:p w:rsidR="000B16EA" w:rsidRPr="00E02210" w:rsidRDefault="000B16EA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Vyh.</w:t>
            </w:r>
          </w:p>
        </w:tc>
        <w:tc>
          <w:tcPr>
            <w:tcW w:w="2462" w:type="dxa"/>
            <w:vAlign w:val="center"/>
          </w:tcPr>
          <w:p w:rsidR="000B16EA" w:rsidRPr="00E02210" w:rsidRDefault="000B16EA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Spôsob vyhodnotenia</w:t>
            </w:r>
          </w:p>
        </w:tc>
      </w:tr>
      <w:tr w:rsidR="00E02210" w:rsidRPr="00E02210" w:rsidTr="00E02210">
        <w:trPr>
          <w:jc w:val="center"/>
        </w:trPr>
        <w:tc>
          <w:tcPr>
            <w:tcW w:w="12960" w:type="dxa"/>
            <w:gridSpan w:val="5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 materiálu neboli pridané hromadné pripomienky.</w:t>
            </w:r>
          </w:p>
        </w:tc>
      </w:tr>
    </w:tbl>
    <w:p w:rsidR="00E66622" w:rsidRPr="00E02210" w:rsidRDefault="00E66622" w:rsidP="00E0221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7591" w:rsidRPr="00E02210" w:rsidRDefault="00677591" w:rsidP="00E0221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02210">
        <w:rPr>
          <w:rFonts w:ascii="Times New Roman" w:hAnsi="Times New Roman" w:cs="Times New Roman"/>
          <w:sz w:val="20"/>
          <w:szCs w:val="20"/>
        </w:rPr>
        <w:t>Sumarizácia vznesených pripomienok pod</w:t>
      </w:r>
      <w:r w:rsidRPr="00E02210">
        <w:rPr>
          <w:rFonts w:ascii="Times New Roman" w:hAnsi="Times New Roman" w:cs="Times New Roman"/>
          <w:sz w:val="20"/>
          <w:szCs w:val="20"/>
          <w:lang w:val="en-US"/>
        </w:rPr>
        <w:t>ľa subjektov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6428"/>
        <w:gridCol w:w="1993"/>
        <w:gridCol w:w="1977"/>
        <w:gridCol w:w="1756"/>
        <w:gridCol w:w="1338"/>
      </w:tblGrid>
      <w:tr w:rsidR="00634468" w:rsidRPr="00E02210" w:rsidTr="00E02210">
        <w:trPr>
          <w:jc w:val="center"/>
        </w:trPr>
        <w:tc>
          <w:tcPr>
            <w:tcW w:w="0" w:type="auto"/>
            <w:tcBorders>
              <w:right w:val="single" w:sz="2" w:space="0" w:color="auto"/>
            </w:tcBorders>
            <w:vAlign w:val="center"/>
          </w:tcPr>
          <w:p w:rsidR="00634468" w:rsidRPr="00E02210" w:rsidRDefault="0063446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4468" w:rsidRPr="00E02210" w:rsidRDefault="00A80C4C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Subjekt</w:t>
            </w:r>
          </w:p>
        </w:tc>
        <w:tc>
          <w:tcPr>
            <w:tcW w:w="0" w:type="auto"/>
            <w:tcBorders>
              <w:left w:val="single" w:sz="2" w:space="0" w:color="auto"/>
            </w:tcBorders>
            <w:vAlign w:val="center"/>
          </w:tcPr>
          <w:p w:rsidR="00634468" w:rsidRPr="00E02210" w:rsidRDefault="00A80C4C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Pripomienky do termínu</w:t>
            </w:r>
          </w:p>
        </w:tc>
        <w:tc>
          <w:tcPr>
            <w:tcW w:w="0" w:type="auto"/>
            <w:vAlign w:val="center"/>
          </w:tcPr>
          <w:p w:rsidR="00634468" w:rsidRPr="00E02210" w:rsidRDefault="00A80C4C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02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Pripomienky po termíne</w:t>
            </w:r>
          </w:p>
        </w:tc>
        <w:tc>
          <w:tcPr>
            <w:tcW w:w="0" w:type="auto"/>
            <w:vAlign w:val="center"/>
          </w:tcPr>
          <w:p w:rsidR="00634468" w:rsidRPr="00E02210" w:rsidRDefault="0063446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Nemali pripomienky</w:t>
            </w:r>
          </w:p>
        </w:tc>
        <w:tc>
          <w:tcPr>
            <w:tcW w:w="0" w:type="auto"/>
            <w:vAlign w:val="center"/>
          </w:tcPr>
          <w:p w:rsidR="00634468" w:rsidRPr="00E02210" w:rsidRDefault="00A80C4C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Vôbec neza</w:t>
            </w:r>
            <w:r w:rsidR="0001352E" w:rsidRPr="00E02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slali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APZD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Asociácia priemyselných zväzov a dopravy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AZZZ SR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Asociácia zamestnávatelských zväzov a združení Slovenskej republiky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BBSK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Banskobystrický samosprávny kraj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BSK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BRATISLAVSKÝ SAMOSPRÁVNY KRAJ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GPSR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Generálna prokuratúra Slovenskej republiky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(1o,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KBS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Konferencia biskupov Slovenska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KOZSR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Konfederácia odborových zväzov Slovenskej republiky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KSK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Košický samosprávny kraj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Klub 500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Klub 500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MDSR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Ministerstvo dopravy Slovenskej republiky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(2o,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MFSR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Ministerstvo financií Slovenskej republiky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(1o,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MHSR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Ministerstvo hospodárstva Slovenskej republiky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MINCRS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Ministerstvo cestovného ruchu a športu Slovenskej republiky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(5o,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MIRRI SR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Ministerstvo investícií, regionálneho rozvoja a informatizácie Slovenskej republiky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MKSR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Ministerstvo kultúry Slovenskej republiky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(1o,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MOSR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Ministerstvo obrany Slovenskej republiky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MPRVSR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Ministerstvo pôdohospodárstva a rozvoja vidieka Slovenskej republiky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MPSVRSR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Ministerstvo práce, sociálnych vecí a rodiny Slovenskej republiky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(2o,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MSSR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Ministerstvo spravodlivosti Slovenskej republiky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MVSR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Ministerstvo vnútra Slovenskej republiky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MZSR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Ministerstvo zdravotníctva Slovenskej republiky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(2o,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MZVEZ SR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Ministerstvo zahraničných vecí a európskych záležitostí Slovenskej republiky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MŠVVaMSR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Ministerstva školstva, výskumu, vývoja a mládeže Slovenskej republiky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MŽPSR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Ministerstvo životného prostredia Slovenskej republiky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NBS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Národná banka Slovenska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NBÚ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Národný bezpečnostný úrad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NKÚSR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Najvyšší kontrolný úrad Slovenskej republiky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NSK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Nitriansky samosprávny kraj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NSSR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Najvyšší súd Slovenskej republiky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OAPSVLÚVSR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Odbor aproximácie práva sekcie vládnej legislatívy Úradu vlády SR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(1o,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PMÚSR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Protimonopolný úrad Slovenskej republiky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PSK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Prešovský samosprávny kraj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RÚZSR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Republiková únia zamestnávateľov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SK8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Samosprávne kraje Slovenska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SPPK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Slovenská poľnohospodárska a potravinárska komora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SVSLPRK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Splnomocnenec vlády Slovenskej republiky pre rómske komunity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SŠHRSR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Správa štátnych hmotných rezerv Slovenskej republiky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TSK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Trenčiansky samosprávny kraj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TTSK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Trnavský samosprávny kraj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UOOU SR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Úrad na ochranu osobných údajov Slovenskej republiky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UPVSR POaZE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Úrad podpredsedu vlády Slovenskej republiky pre Plán obnovy a znalostnú ekonomiku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URSO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Úrad pre reguláciu sieťových odvetví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UpUPaVSR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Úrad pre územné plánovanie a výstavbu Slovenskej republiky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ZMOS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Združenie miest a obcí Slovenska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hlavné mesto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Hlavné mesto Slovenskej republiky Bratislava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ÚDZS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Úrad pre dohľad nad zdravotnou starostlivosťou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ÚGKKSR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Úrad geodézie, kartografie a katastra Slovenskej republiky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ÚJDSR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Úrad jadrového dozoru Slovenskej republiky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ÚMS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Únia miest Slovenska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ÚNMSSR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Úrad pre normalizáciu,  metrológiu a skúšobníctvo Slovenskej republiky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ÚPVSR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Úrad priemyselného vlastníctva Slovenskej republiky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ÚVO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Úrad pre verejné obstarávanie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ÚVSR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Úrad vlády Slovenskej republiky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Ústavný súd SR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Kancelária Ústavného súdu Slovenskej republiky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ŠÚSR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Štatistický úrad Slovenskej republiky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ŽSK</w:t>
            </w: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Žilinský samosprávny kraj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61A08" w:rsidRPr="00E02210" w:rsidTr="00E02210">
        <w:trPr>
          <w:jc w:val="center"/>
        </w:trPr>
        <w:tc>
          <w:tcPr>
            <w:tcW w:w="0" w:type="auto"/>
          </w:tcPr>
          <w:p w:rsidR="00B61A08" w:rsidRPr="00E02210" w:rsidRDefault="00B61A08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Spolu</w:t>
            </w:r>
          </w:p>
        </w:tc>
        <w:tc>
          <w:tcPr>
            <w:tcW w:w="0" w:type="auto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 (15o, 0z)</w:t>
            </w:r>
          </w:p>
        </w:tc>
        <w:tc>
          <w:tcPr>
            <w:tcW w:w="0" w:type="auto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 (0o, 0z)</w:t>
            </w:r>
          </w:p>
        </w:tc>
        <w:tc>
          <w:tcPr>
            <w:tcW w:w="0" w:type="auto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B61A08" w:rsidRPr="00E02210" w:rsidRDefault="00E02210" w:rsidP="00E02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</w:tr>
    </w:tbl>
    <w:p w:rsidR="008960F8" w:rsidRPr="00E02210" w:rsidRDefault="008960F8" w:rsidP="00E0221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8960F8" w:rsidRPr="00E02210" w:rsidSect="00164549">
      <w:footerReference w:type="default" r:id="rId7"/>
      <w:footerReference w:type="first" r:id="rId8"/>
      <w:pgSz w:w="16838" w:h="11906" w:orient="landscape" w:code="9"/>
      <w:pgMar w:top="851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1F" w:rsidRPr="00785E8D" w:rsidRDefault="006D051F" w:rsidP="00E66622">
      <w:pPr>
        <w:spacing w:after="0" w:line="240" w:lineRule="auto"/>
      </w:pPr>
      <w:r w:rsidRPr="00785E8D">
        <w:separator/>
      </w:r>
    </w:p>
  </w:endnote>
  <w:endnote w:type="continuationSeparator" w:id="0">
    <w:p w:rsidR="006D051F" w:rsidRPr="00785E8D" w:rsidRDefault="006D051F" w:rsidP="00E66622">
      <w:pPr>
        <w:spacing w:after="0" w:line="240" w:lineRule="auto"/>
      </w:pPr>
      <w:r w:rsidRPr="00785E8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716439746"/>
      <w:docPartObj>
        <w:docPartGallery w:val="Page Numbers (Bottom of Page)"/>
        <w:docPartUnique/>
      </w:docPartObj>
    </w:sdtPr>
    <w:sdtEndPr/>
    <w:sdtContent>
      <w:p w:rsidR="00E02210" w:rsidRPr="00E02210" w:rsidRDefault="00E02210" w:rsidP="00E02210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E02210">
          <w:rPr>
            <w:rFonts w:ascii="Times New Roman" w:hAnsi="Times New Roman" w:cs="Times New Roman"/>
            <w:sz w:val="24"/>
          </w:rPr>
          <w:fldChar w:fldCharType="begin"/>
        </w:r>
        <w:r w:rsidRPr="00E02210">
          <w:rPr>
            <w:rFonts w:ascii="Times New Roman" w:hAnsi="Times New Roman" w:cs="Times New Roman"/>
            <w:sz w:val="24"/>
          </w:rPr>
          <w:instrText>PAGE   \* MERGEFORMAT</w:instrText>
        </w:r>
        <w:r w:rsidRPr="00E02210">
          <w:rPr>
            <w:rFonts w:ascii="Times New Roman" w:hAnsi="Times New Roman" w:cs="Times New Roman"/>
            <w:sz w:val="24"/>
          </w:rPr>
          <w:fldChar w:fldCharType="separate"/>
        </w:r>
        <w:r w:rsidR="00164549">
          <w:rPr>
            <w:rFonts w:ascii="Times New Roman" w:hAnsi="Times New Roman" w:cs="Times New Roman"/>
            <w:sz w:val="24"/>
          </w:rPr>
          <w:t>5</w:t>
        </w:r>
        <w:r w:rsidRPr="00E0221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7091464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362D69" w:rsidRPr="003E3F51" w:rsidRDefault="00362D69">
        <w:pPr>
          <w:pStyle w:val="Pta"/>
          <w:jc w:val="center"/>
          <w:rPr>
            <w:rFonts w:ascii="Times New Roman" w:hAnsi="Times New Roman" w:cs="Times New Roman"/>
          </w:rPr>
        </w:pPr>
        <w:r w:rsidRPr="003E3F51">
          <w:rPr>
            <w:rFonts w:ascii="Times New Roman" w:hAnsi="Times New Roman" w:cs="Times New Roman"/>
            <w:noProof w:val="0"/>
          </w:rPr>
          <w:fldChar w:fldCharType="begin"/>
        </w:r>
        <w:r w:rsidRPr="003E3F51">
          <w:rPr>
            <w:rFonts w:ascii="Times New Roman" w:hAnsi="Times New Roman" w:cs="Times New Roman"/>
          </w:rPr>
          <w:instrText xml:space="preserve"> PAGE   \* MERGEFORMAT </w:instrText>
        </w:r>
        <w:r w:rsidRPr="003E3F51">
          <w:rPr>
            <w:rFonts w:ascii="Times New Roman" w:hAnsi="Times New Roman" w:cs="Times New Roman"/>
            <w:noProof w:val="0"/>
          </w:rPr>
          <w:fldChar w:fldCharType="separate"/>
        </w:r>
        <w:r w:rsidRPr="003E3F51">
          <w:rPr>
            <w:rFonts w:ascii="Times New Roman" w:hAnsi="Times New Roman" w:cs="Times New Roman"/>
          </w:rPr>
          <w:t>2</w:t>
        </w:r>
        <w:r w:rsidRPr="003E3F51">
          <w:rPr>
            <w:rFonts w:ascii="Times New Roman" w:hAnsi="Times New Roman" w:cs="Times New Roman"/>
          </w:rPr>
          <w:fldChar w:fldCharType="end"/>
        </w:r>
      </w:p>
    </w:sdtContent>
  </w:sdt>
  <w:p w:rsidR="00362D69" w:rsidRDefault="00362D69" w:rsidP="00FD38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1F" w:rsidRPr="00785E8D" w:rsidRDefault="006D051F" w:rsidP="00E66622">
      <w:pPr>
        <w:spacing w:after="0" w:line="240" w:lineRule="auto"/>
      </w:pPr>
      <w:r w:rsidRPr="00785E8D">
        <w:separator/>
      </w:r>
    </w:p>
  </w:footnote>
  <w:footnote w:type="continuationSeparator" w:id="0">
    <w:p w:rsidR="006D051F" w:rsidRPr="00785E8D" w:rsidRDefault="006D051F" w:rsidP="00E66622">
      <w:pPr>
        <w:spacing w:after="0" w:line="240" w:lineRule="auto"/>
      </w:pPr>
      <w:r w:rsidRPr="00785E8D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93"/>
    <w:rsid w:val="00011D51"/>
    <w:rsid w:val="0001352E"/>
    <w:rsid w:val="00047E84"/>
    <w:rsid w:val="00050137"/>
    <w:rsid w:val="0006133B"/>
    <w:rsid w:val="000A2F5F"/>
    <w:rsid w:val="000B16EA"/>
    <w:rsid w:val="000B2D78"/>
    <w:rsid w:val="000C172E"/>
    <w:rsid w:val="000D3CA3"/>
    <w:rsid w:val="000D5402"/>
    <w:rsid w:val="001228AD"/>
    <w:rsid w:val="00131490"/>
    <w:rsid w:val="00131742"/>
    <w:rsid w:val="001433FA"/>
    <w:rsid w:val="00146A7D"/>
    <w:rsid w:val="00164549"/>
    <w:rsid w:val="00176679"/>
    <w:rsid w:val="0019276A"/>
    <w:rsid w:val="001B1BE3"/>
    <w:rsid w:val="001D2B4E"/>
    <w:rsid w:val="001E50FA"/>
    <w:rsid w:val="001E6254"/>
    <w:rsid w:val="001F2C94"/>
    <w:rsid w:val="001F5D28"/>
    <w:rsid w:val="001F777F"/>
    <w:rsid w:val="00215E64"/>
    <w:rsid w:val="00231554"/>
    <w:rsid w:val="00237490"/>
    <w:rsid w:val="00245F36"/>
    <w:rsid w:val="0026614F"/>
    <w:rsid w:val="002715E0"/>
    <w:rsid w:val="00273DAE"/>
    <w:rsid w:val="0029170C"/>
    <w:rsid w:val="00295E6A"/>
    <w:rsid w:val="002A0A58"/>
    <w:rsid w:val="002A4482"/>
    <w:rsid w:val="002D3B5E"/>
    <w:rsid w:val="002E17D6"/>
    <w:rsid w:val="002F4660"/>
    <w:rsid w:val="002F717D"/>
    <w:rsid w:val="003034A4"/>
    <w:rsid w:val="00303CA7"/>
    <w:rsid w:val="00335FFB"/>
    <w:rsid w:val="00343965"/>
    <w:rsid w:val="00362D69"/>
    <w:rsid w:val="003640A5"/>
    <w:rsid w:val="003A59FA"/>
    <w:rsid w:val="003C31D4"/>
    <w:rsid w:val="003E3F51"/>
    <w:rsid w:val="003E641E"/>
    <w:rsid w:val="003E7146"/>
    <w:rsid w:val="003F1216"/>
    <w:rsid w:val="003F37C1"/>
    <w:rsid w:val="004050CF"/>
    <w:rsid w:val="00405348"/>
    <w:rsid w:val="00434080"/>
    <w:rsid w:val="00461B69"/>
    <w:rsid w:val="0048545F"/>
    <w:rsid w:val="004A12EE"/>
    <w:rsid w:val="004A48F0"/>
    <w:rsid w:val="004A62B8"/>
    <w:rsid w:val="004B4188"/>
    <w:rsid w:val="004C6C3C"/>
    <w:rsid w:val="004E0BF7"/>
    <w:rsid w:val="004F10FF"/>
    <w:rsid w:val="004F4092"/>
    <w:rsid w:val="00500EBD"/>
    <w:rsid w:val="00506E0B"/>
    <w:rsid w:val="00511A3C"/>
    <w:rsid w:val="00513767"/>
    <w:rsid w:val="005146CA"/>
    <w:rsid w:val="005259A1"/>
    <w:rsid w:val="0053699B"/>
    <w:rsid w:val="00550D13"/>
    <w:rsid w:val="00583F11"/>
    <w:rsid w:val="0059287B"/>
    <w:rsid w:val="005B618C"/>
    <w:rsid w:val="005C0A7E"/>
    <w:rsid w:val="005C4CF5"/>
    <w:rsid w:val="005E6A45"/>
    <w:rsid w:val="005F3B1C"/>
    <w:rsid w:val="005F3E6F"/>
    <w:rsid w:val="005F5908"/>
    <w:rsid w:val="00602231"/>
    <w:rsid w:val="006031E3"/>
    <w:rsid w:val="00634468"/>
    <w:rsid w:val="006371D1"/>
    <w:rsid w:val="00641DD8"/>
    <w:rsid w:val="006434AC"/>
    <w:rsid w:val="00664F3B"/>
    <w:rsid w:val="00677591"/>
    <w:rsid w:val="00695857"/>
    <w:rsid w:val="006C2D6E"/>
    <w:rsid w:val="006D051F"/>
    <w:rsid w:val="0070694E"/>
    <w:rsid w:val="00707B3A"/>
    <w:rsid w:val="0072062B"/>
    <w:rsid w:val="00724A0E"/>
    <w:rsid w:val="00726A34"/>
    <w:rsid w:val="00727704"/>
    <w:rsid w:val="00745443"/>
    <w:rsid w:val="00754CB0"/>
    <w:rsid w:val="0077472A"/>
    <w:rsid w:val="00774ED8"/>
    <w:rsid w:val="00776E62"/>
    <w:rsid w:val="00784062"/>
    <w:rsid w:val="00785E8D"/>
    <w:rsid w:val="00796E02"/>
    <w:rsid w:val="00796EBE"/>
    <w:rsid w:val="007C1A93"/>
    <w:rsid w:val="007C678D"/>
    <w:rsid w:val="007E7C38"/>
    <w:rsid w:val="007E7E01"/>
    <w:rsid w:val="007F53D4"/>
    <w:rsid w:val="0084532B"/>
    <w:rsid w:val="0087153C"/>
    <w:rsid w:val="008741FE"/>
    <w:rsid w:val="00876D47"/>
    <w:rsid w:val="008960F8"/>
    <w:rsid w:val="008C2612"/>
    <w:rsid w:val="008C63F3"/>
    <w:rsid w:val="008D299D"/>
    <w:rsid w:val="008E0404"/>
    <w:rsid w:val="008F1FF3"/>
    <w:rsid w:val="00913D14"/>
    <w:rsid w:val="00917A99"/>
    <w:rsid w:val="00925ABD"/>
    <w:rsid w:val="009275DB"/>
    <w:rsid w:val="00932936"/>
    <w:rsid w:val="00947810"/>
    <w:rsid w:val="00980D7A"/>
    <w:rsid w:val="009912BF"/>
    <w:rsid w:val="00995007"/>
    <w:rsid w:val="009B0C1F"/>
    <w:rsid w:val="009B1491"/>
    <w:rsid w:val="009D152C"/>
    <w:rsid w:val="009D32B4"/>
    <w:rsid w:val="009D3FBE"/>
    <w:rsid w:val="009F35D2"/>
    <w:rsid w:val="00A070EB"/>
    <w:rsid w:val="00A6034C"/>
    <w:rsid w:val="00A61348"/>
    <w:rsid w:val="00A80C4C"/>
    <w:rsid w:val="00A81039"/>
    <w:rsid w:val="00AD6CAE"/>
    <w:rsid w:val="00AE09D4"/>
    <w:rsid w:val="00AF678C"/>
    <w:rsid w:val="00B02EF2"/>
    <w:rsid w:val="00B0310C"/>
    <w:rsid w:val="00B11932"/>
    <w:rsid w:val="00B13C0C"/>
    <w:rsid w:val="00B41FEA"/>
    <w:rsid w:val="00B60148"/>
    <w:rsid w:val="00B61A08"/>
    <w:rsid w:val="00B74B69"/>
    <w:rsid w:val="00B8742A"/>
    <w:rsid w:val="00B946A0"/>
    <w:rsid w:val="00BD7F55"/>
    <w:rsid w:val="00BE323C"/>
    <w:rsid w:val="00BF207A"/>
    <w:rsid w:val="00C00CF3"/>
    <w:rsid w:val="00C42676"/>
    <w:rsid w:val="00C43D79"/>
    <w:rsid w:val="00C53F43"/>
    <w:rsid w:val="00C62C70"/>
    <w:rsid w:val="00C84A5B"/>
    <w:rsid w:val="00CD7313"/>
    <w:rsid w:val="00D40591"/>
    <w:rsid w:val="00D44E47"/>
    <w:rsid w:val="00D466F6"/>
    <w:rsid w:val="00D50310"/>
    <w:rsid w:val="00D610D0"/>
    <w:rsid w:val="00D91683"/>
    <w:rsid w:val="00DA267A"/>
    <w:rsid w:val="00DD2850"/>
    <w:rsid w:val="00DD302E"/>
    <w:rsid w:val="00DD7CB5"/>
    <w:rsid w:val="00DE3F5A"/>
    <w:rsid w:val="00E02210"/>
    <w:rsid w:val="00E06854"/>
    <w:rsid w:val="00E07639"/>
    <w:rsid w:val="00E078E8"/>
    <w:rsid w:val="00E11D16"/>
    <w:rsid w:val="00E245BC"/>
    <w:rsid w:val="00E37A37"/>
    <w:rsid w:val="00E41A2D"/>
    <w:rsid w:val="00E66622"/>
    <w:rsid w:val="00E741B6"/>
    <w:rsid w:val="00E92A50"/>
    <w:rsid w:val="00EA23A2"/>
    <w:rsid w:val="00EB4CEF"/>
    <w:rsid w:val="00ED6E83"/>
    <w:rsid w:val="00EE00C6"/>
    <w:rsid w:val="00F23986"/>
    <w:rsid w:val="00F273EE"/>
    <w:rsid w:val="00F456DC"/>
    <w:rsid w:val="00F727C3"/>
    <w:rsid w:val="00F758C6"/>
    <w:rsid w:val="00F8431B"/>
    <w:rsid w:val="00F85AB8"/>
    <w:rsid w:val="00F907A2"/>
    <w:rsid w:val="00FA016F"/>
    <w:rsid w:val="00FA0A5A"/>
    <w:rsid w:val="00FA40AE"/>
    <w:rsid w:val="00FC0831"/>
    <w:rsid w:val="00FD38D1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00A4F65-FABE-47DB-AF8A-6E31DFCA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60F8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6622"/>
  </w:style>
  <w:style w:type="paragraph" w:styleId="Pta">
    <w:name w:val="footer"/>
    <w:basedOn w:val="Normlny"/>
    <w:link w:val="PtaChar"/>
    <w:uiPriority w:val="99"/>
    <w:unhideWhenUsed/>
    <w:rsid w:val="00E6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6622"/>
  </w:style>
  <w:style w:type="paragraph" w:styleId="Textbubliny">
    <w:name w:val="Balloon Text"/>
    <w:basedOn w:val="Normlny"/>
    <w:link w:val="TextbublinyChar"/>
    <w:uiPriority w:val="99"/>
    <w:semiHidden/>
    <w:unhideWhenUsed/>
    <w:rsid w:val="00164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549"/>
    <w:rPr>
      <w:rFonts w:ascii="Segoe UI" w:hAnsi="Segoe UI" w:cs="Segoe UI"/>
      <w:noProof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C1CC5-0D81-4F35-B115-13384643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1953</Words>
  <Characters>11137</Characters>
  <Application>Microsoft Office Word</Application>
  <DocSecurity>0</DocSecurity>
  <Lines>92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Illáš Martin</cp:lastModifiedBy>
  <cp:revision>82</cp:revision>
  <cp:lastPrinted>2025-02-25T15:32:00Z</cp:lastPrinted>
  <dcterms:created xsi:type="dcterms:W3CDTF">2024-12-11T14:15:00Z</dcterms:created>
  <dcterms:modified xsi:type="dcterms:W3CDTF">2025-02-25T15:32:00Z</dcterms:modified>
</cp:coreProperties>
</file>