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0AE02" w14:textId="77777777" w:rsidR="002E7825" w:rsidRPr="00B41D59" w:rsidRDefault="002E7825" w:rsidP="002E7825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B41D59">
        <w:rPr>
          <w:b/>
          <w:color w:val="000000" w:themeColor="text1"/>
          <w:sz w:val="20"/>
          <w:szCs w:val="20"/>
        </w:rPr>
        <w:t>TABUĽKA ZHODY</w:t>
      </w:r>
    </w:p>
    <w:p w14:paraId="004038FB" w14:textId="1F3DF400" w:rsidR="002E7825" w:rsidRPr="00B41D59" w:rsidRDefault="00CD297F" w:rsidP="002E7825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B41D59">
        <w:rPr>
          <w:b/>
          <w:color w:val="000000" w:themeColor="text1"/>
          <w:sz w:val="20"/>
          <w:szCs w:val="20"/>
        </w:rPr>
        <w:t>n</w:t>
      </w:r>
      <w:r w:rsidR="002E7825" w:rsidRPr="00B41D59">
        <w:rPr>
          <w:b/>
          <w:color w:val="000000" w:themeColor="text1"/>
          <w:sz w:val="20"/>
          <w:szCs w:val="20"/>
        </w:rPr>
        <w:t>ávrhu právneho predpisu s právom Európskej únie</w:t>
      </w:r>
    </w:p>
    <w:p w14:paraId="3AD695C7" w14:textId="77777777" w:rsidR="002E7825" w:rsidRPr="00B41D59" w:rsidRDefault="002E7825" w:rsidP="002E7825">
      <w:pPr>
        <w:pStyle w:val="Default"/>
        <w:rPr>
          <w:color w:val="000000" w:themeColor="text1"/>
          <w:sz w:val="20"/>
          <w:szCs w:val="20"/>
        </w:rPr>
      </w:pPr>
    </w:p>
    <w:p w14:paraId="553CCDA8" w14:textId="77777777" w:rsidR="002E7825" w:rsidRPr="00B41D59" w:rsidRDefault="002E7825" w:rsidP="002E7825">
      <w:pPr>
        <w:pStyle w:val="Default"/>
        <w:jc w:val="right"/>
        <w:rPr>
          <w:color w:val="000000" w:themeColor="text1"/>
          <w:sz w:val="20"/>
          <w:szCs w:val="20"/>
        </w:rPr>
      </w:pPr>
    </w:p>
    <w:tbl>
      <w:tblPr>
        <w:tblW w:w="155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567"/>
        <w:gridCol w:w="851"/>
        <w:gridCol w:w="708"/>
        <w:gridCol w:w="4678"/>
        <w:gridCol w:w="425"/>
        <w:gridCol w:w="709"/>
        <w:gridCol w:w="567"/>
        <w:gridCol w:w="709"/>
      </w:tblGrid>
      <w:tr w:rsidR="00B41D59" w:rsidRPr="00B41D59" w14:paraId="4218D0C6" w14:textId="06D2C0B2" w:rsidTr="000B6FEB">
        <w:trPr>
          <w:trHeight w:val="56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F6000" w14:textId="6ABF071A" w:rsidR="000B6FEB" w:rsidRPr="007756E4" w:rsidRDefault="00AF5605" w:rsidP="0081045A">
            <w:pPr>
              <w:pStyle w:val="Zkladntext3"/>
              <w:spacing w:line="240" w:lineRule="exact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7756E4">
              <w:rPr>
                <w:b/>
                <w:bCs/>
                <w:color w:val="000000" w:themeColor="text1"/>
                <w:shd w:val="clear" w:color="auto" w:fill="FFFFFF"/>
              </w:rPr>
              <w:t>Smernica</w:t>
            </w:r>
          </w:p>
          <w:p w14:paraId="1DF5CAD4" w14:textId="77777777" w:rsidR="000B6FEB" w:rsidRPr="007756E4" w:rsidRDefault="000B6FEB" w:rsidP="0081045A">
            <w:pPr>
              <w:pStyle w:val="Zkladntext3"/>
              <w:spacing w:line="240" w:lineRule="exact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14:paraId="3A627FF8" w14:textId="344D87B2" w:rsidR="000B6FEB" w:rsidRPr="007756E4" w:rsidRDefault="00AF5605" w:rsidP="00AF5605">
            <w:pPr>
              <w:ind w:right="97"/>
              <w:jc w:val="both"/>
              <w:rPr>
                <w:b/>
                <w:color w:val="000000" w:themeColor="text1"/>
              </w:rPr>
            </w:pPr>
            <w:r w:rsidRPr="007756E4">
              <w:rPr>
                <w:b/>
                <w:color w:val="000000" w:themeColor="text1"/>
                <w:shd w:val="clear" w:color="auto" w:fill="FFFFFF"/>
              </w:rPr>
              <w:t>SMERNICA EURÓPSKEHO PARLAMENTU A RADY (EÚ) 2024/1174 z 11. apríla 2024, ktorou sa mení smernica 2014/59/EÚ a nariadenie (EÚ) č. 806/2014, pokiaľ ide o určité aspekty minimálnej požiadavky na vlastné zdroje a oprávnené záväzky</w:t>
            </w:r>
            <w:r w:rsidR="00EA392A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EA392A" w:rsidRPr="00E70131">
              <w:rPr>
                <w:b/>
                <w:color w:val="000000" w:themeColor="text1"/>
                <w:shd w:val="clear" w:color="auto" w:fill="FFFFFF"/>
              </w:rPr>
              <w:t>(</w:t>
            </w:r>
            <w:r w:rsidR="00EA392A" w:rsidRPr="00E70131">
              <w:rPr>
                <w:rStyle w:val="Zvraznenie"/>
                <w:b/>
                <w:i w:val="0"/>
                <w:color w:val="333333"/>
                <w:shd w:val="clear" w:color="auto" w:fill="FFFFFF"/>
              </w:rPr>
              <w:t>Ú. v. EÚ L, 2024/1174, 22.4.2024)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C8DDA6" w14:textId="77777777" w:rsidR="000B6FEB" w:rsidRPr="007756E4" w:rsidRDefault="000B6FEB" w:rsidP="002E7825">
            <w:pPr>
              <w:pStyle w:val="Nadpis4"/>
              <w:spacing w:before="120"/>
              <w:jc w:val="left"/>
              <w:rPr>
                <w:color w:val="000000" w:themeColor="text1"/>
                <w:sz w:val="24"/>
                <w:szCs w:val="24"/>
              </w:rPr>
            </w:pPr>
            <w:r w:rsidRPr="007756E4">
              <w:rPr>
                <w:color w:val="000000" w:themeColor="text1"/>
                <w:sz w:val="24"/>
                <w:szCs w:val="24"/>
              </w:rPr>
              <w:t>Právne predpisy Slovenskej republiky</w:t>
            </w:r>
          </w:p>
          <w:p w14:paraId="1FEC15BA" w14:textId="77777777" w:rsidR="000B6FEB" w:rsidRPr="007756E4" w:rsidRDefault="000B6FEB" w:rsidP="002E7825">
            <w:pPr>
              <w:rPr>
                <w:color w:val="000000" w:themeColor="text1"/>
              </w:rPr>
            </w:pPr>
          </w:p>
          <w:p w14:paraId="3F0A540A" w14:textId="6B4B72A4" w:rsidR="000B6FEB" w:rsidRPr="007756E4" w:rsidRDefault="000B6FEB" w:rsidP="00152401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  <w:r w:rsidRPr="007756E4">
              <w:rPr>
                <w:b/>
                <w:color w:val="000000" w:themeColor="text1"/>
              </w:rPr>
              <w:t>Návrh zákona, ktorým sa mení a dopĺňa zákon č. 371/2014 Z. z. o riešení krízových situácií na finančnom trhu a o zmene a doplnení niektorých zákonov v znení neskorších predpisov</w:t>
            </w:r>
            <w:r w:rsidR="00CD6707" w:rsidRPr="007756E4">
              <w:rPr>
                <w:b/>
                <w:color w:val="000000" w:themeColor="text1"/>
              </w:rPr>
              <w:t xml:space="preserve"> </w:t>
            </w:r>
            <w:r w:rsidRPr="007756E4">
              <w:rPr>
                <w:b/>
                <w:bCs/>
                <w:color w:val="000000" w:themeColor="text1"/>
              </w:rPr>
              <w:t>(ďalej „návrh zákona“)</w:t>
            </w:r>
            <w:r w:rsidRPr="007756E4">
              <w:rPr>
                <w:b/>
                <w:color w:val="000000" w:themeColor="text1"/>
              </w:rPr>
              <w:t xml:space="preserve"> </w:t>
            </w:r>
          </w:p>
          <w:p w14:paraId="0A46EAD0" w14:textId="77777777" w:rsidR="000B6FEB" w:rsidRPr="007756E4" w:rsidRDefault="000B6FEB" w:rsidP="00152401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</w:p>
          <w:p w14:paraId="5DAAE59B" w14:textId="77777777" w:rsidR="000B6FEB" w:rsidRPr="007756E4" w:rsidRDefault="000B6FEB" w:rsidP="00152401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  <w:r w:rsidRPr="007756E4">
              <w:rPr>
                <w:color w:val="000000" w:themeColor="text1"/>
              </w:rPr>
              <w:t xml:space="preserve">Zákon č. 371/2014 Z. z. o riešení krízových situácií na finančnom trhu a o zmene a doplnení niektorých zákonov v znení neskorších predpisov </w:t>
            </w:r>
            <w:r w:rsidRPr="007756E4">
              <w:rPr>
                <w:bCs/>
                <w:color w:val="000000" w:themeColor="text1"/>
              </w:rPr>
              <w:t>(ďalej „371/2014“)</w:t>
            </w:r>
          </w:p>
          <w:p w14:paraId="0037666C" w14:textId="77777777" w:rsidR="000B6FEB" w:rsidRPr="007756E4" w:rsidRDefault="000B6FEB" w:rsidP="00152401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</w:p>
          <w:p w14:paraId="07976DD5" w14:textId="13C0A241" w:rsidR="00B61C68" w:rsidRPr="007756E4" w:rsidRDefault="00B61C68" w:rsidP="004F7B52">
            <w:pPr>
              <w:tabs>
                <w:tab w:val="left" w:pos="0"/>
              </w:tabs>
              <w:jc w:val="both"/>
              <w:rPr>
                <w:bCs/>
                <w:color w:val="000000" w:themeColor="text1"/>
              </w:rPr>
            </w:pPr>
            <w:r w:rsidRPr="00E70131">
              <w:rPr>
                <w:bCs/>
                <w:color w:val="000000" w:themeColor="text1"/>
              </w:rPr>
              <w:t xml:space="preserve">Zákon č. 575/2001 Z. z. </w:t>
            </w:r>
            <w:r w:rsidRPr="00E70131">
              <w:rPr>
                <w:bCs/>
                <w:color w:val="000000" w:themeColor="text1"/>
                <w:shd w:val="clear" w:color="auto" w:fill="FFFFFF"/>
              </w:rPr>
              <w:t xml:space="preserve">o organizácii činnosti vlády a organizácii ústrednej štátnej správy </w:t>
            </w:r>
            <w:r w:rsidRPr="00E70131">
              <w:rPr>
                <w:bCs/>
                <w:color w:val="000000" w:themeColor="text1"/>
              </w:rPr>
              <w:t>v znení neskorších predpisov (ďalej „575/2001“)</w:t>
            </w:r>
          </w:p>
          <w:p w14:paraId="5E3724DC" w14:textId="1EF4B913" w:rsidR="000B6FEB" w:rsidRPr="007756E4" w:rsidRDefault="000B6FEB" w:rsidP="002E7825">
            <w:pPr>
              <w:pStyle w:val="Nadpis4"/>
              <w:spacing w:before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41D59" w:rsidRPr="00B41D59" w14:paraId="1914E6B2" w14:textId="048DEE9B" w:rsidTr="00286F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0E214F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453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CC8B7" w14:textId="77777777" w:rsidR="000B6FEB" w:rsidRPr="00B41D59" w:rsidRDefault="000B6FEB" w:rsidP="00953B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CCFAE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65B" w14:textId="77777777" w:rsidR="000B6FEB" w:rsidRPr="00B41D59" w:rsidRDefault="000B6FEB" w:rsidP="002B00DC">
            <w:pPr>
              <w:pStyle w:val="Zkladntext2"/>
              <w:spacing w:line="240" w:lineRule="exact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7FA" w14:textId="77777777" w:rsidR="000B6FEB" w:rsidRPr="00B41D59" w:rsidRDefault="000B6FEB" w:rsidP="002B00DC">
            <w:pPr>
              <w:pStyle w:val="Zkladntext2"/>
              <w:spacing w:line="240" w:lineRule="exact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745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04006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556" w14:textId="6DB27D59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076C40" w14:textId="089AD8C4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B41D59" w:rsidRPr="00B41D59" w14:paraId="437405D6" w14:textId="3BD0B914" w:rsidTr="00286F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2FD33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Článok</w:t>
            </w:r>
          </w:p>
          <w:p w14:paraId="0C1872C2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(Č, O,</w:t>
            </w:r>
          </w:p>
          <w:p w14:paraId="20F73F2A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B0F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24F42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Spôsob transpozície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76487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Číslo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8CF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Článok (Č, §,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7E7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66E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Zhoda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187CF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Poznámky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572" w14:textId="77777777" w:rsidR="00555713" w:rsidRPr="00B41D59" w:rsidRDefault="00555713" w:rsidP="0055571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Identifikácia </w:t>
            </w: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goldplatingu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F2BDE21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D4F670B" w14:textId="77777777" w:rsidR="00555713" w:rsidRPr="00B41D59" w:rsidRDefault="00555713" w:rsidP="0055571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Identifikácia oblasti </w:t>
            </w: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gold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platingu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 xml:space="preserve"> a vyjadrenie k </w:t>
            </w:r>
          </w:p>
          <w:p w14:paraId="51590856" w14:textId="3A30C2C0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 xml:space="preserve">opodstatnenosti </w:t>
            </w:r>
            <w:proofErr w:type="spellStart"/>
            <w:r w:rsidRPr="00B41D59">
              <w:rPr>
                <w:color w:val="000000" w:themeColor="text1"/>
              </w:rPr>
              <w:t>goldplatingu</w:t>
            </w:r>
            <w:proofErr w:type="spellEnd"/>
          </w:p>
        </w:tc>
      </w:tr>
      <w:tr w:rsidR="00B41D59" w:rsidRPr="00B41D59" w14:paraId="0D3D905C" w14:textId="5FA19D70" w:rsidTr="00286F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0E7E" w14:textId="2F5895C5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čl.</w:t>
            </w:r>
            <w:r w:rsidR="00AF5605">
              <w:rPr>
                <w:color w:val="000000" w:themeColor="text1"/>
                <w:sz w:val="20"/>
                <w:szCs w:val="20"/>
              </w:rPr>
              <w:t>1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O:1</w:t>
            </w:r>
          </w:p>
          <w:p w14:paraId="29C0E6CD" w14:textId="77777777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45A65BF7" w14:textId="31F6274F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(Čl. </w:t>
            </w:r>
            <w:r w:rsidR="00AF5605">
              <w:rPr>
                <w:color w:val="000000" w:themeColor="text1"/>
                <w:sz w:val="20"/>
                <w:szCs w:val="20"/>
              </w:rPr>
              <w:t>2</w:t>
            </w:r>
          </w:p>
          <w:p w14:paraId="44E1DC56" w14:textId="6CB4676D" w:rsidR="00555713" w:rsidRPr="00B41D59" w:rsidRDefault="00555713" w:rsidP="00AF5605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O </w:t>
            </w:r>
            <w:r w:rsidR="00AF5605">
              <w:rPr>
                <w:color w:val="000000" w:themeColor="text1"/>
                <w:sz w:val="20"/>
                <w:szCs w:val="20"/>
              </w:rPr>
              <w:t>2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86EC" w14:textId="6E9188A2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Článok </w:t>
            </w:r>
            <w:r w:rsidR="00AF5605">
              <w:rPr>
                <w:color w:val="000000" w:themeColor="text1"/>
                <w:sz w:val="20"/>
                <w:szCs w:val="20"/>
              </w:rPr>
              <w:t>1</w:t>
            </w:r>
          </w:p>
          <w:p w14:paraId="3F8DCD1E" w14:textId="77777777" w:rsidR="00AF5605" w:rsidRPr="009C7830" w:rsidRDefault="00AF5605" w:rsidP="00AF560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C7830">
              <w:rPr>
                <w:bCs/>
                <w:color w:val="000000" w:themeColor="text1"/>
                <w:sz w:val="20"/>
                <w:szCs w:val="20"/>
              </w:rPr>
              <w:t>Smernica 2014/59/EÚ sa mení takto:</w:t>
            </w:r>
          </w:p>
          <w:p w14:paraId="3E02DDE0" w14:textId="77777777" w:rsidR="00AF5605" w:rsidRPr="009C7830" w:rsidRDefault="00AF5605" w:rsidP="00AF560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0F06BC62" w14:textId="77777777" w:rsidR="00AF5605" w:rsidRPr="009C7830" w:rsidRDefault="00AF5605" w:rsidP="00AF560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C7830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  <w:p w14:paraId="1075C58F" w14:textId="77777777" w:rsidR="00AF5605" w:rsidRPr="009C7830" w:rsidRDefault="00AF5605" w:rsidP="00AF560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128BD25" w14:textId="77777777" w:rsidR="00AF5605" w:rsidRPr="009C7830" w:rsidRDefault="00AF5605" w:rsidP="00AF560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C7830">
              <w:rPr>
                <w:bCs/>
                <w:color w:val="000000" w:themeColor="text1"/>
                <w:sz w:val="20"/>
                <w:szCs w:val="20"/>
              </w:rPr>
              <w:t>V článku 2 ods. 1 sa vkladá tento bod:</w:t>
            </w:r>
          </w:p>
          <w:p w14:paraId="62ECDEC6" w14:textId="77777777" w:rsidR="00AF5605" w:rsidRPr="009C7830" w:rsidRDefault="00AF5605" w:rsidP="00AF5605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27CE9B39" w14:textId="7913CE45" w:rsidR="00555713" w:rsidRPr="00AF5605" w:rsidRDefault="00AF5605" w:rsidP="0056350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7830">
              <w:rPr>
                <w:bCs/>
                <w:color w:val="000000" w:themeColor="text1"/>
                <w:sz w:val="20"/>
                <w:szCs w:val="20"/>
              </w:rPr>
              <w:t xml:space="preserve">(83aa) likvidačný subjekt je právnická osoba usadená v Únii, v súvislosti s ktorou sa v pláne riešenia krízovej situácie na úrovni skupiny, alebo v </w:t>
            </w:r>
            <w:r w:rsidRPr="009C7830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prípade subjektov, ktoré nie sú súčasťou skupiny, v pláne riešenia krízovej situácie stanovuje, že subjekt sa má zlikvidovať v rámci bežného </w:t>
            </w:r>
            <w:proofErr w:type="spellStart"/>
            <w:r w:rsidRPr="009C7830">
              <w:rPr>
                <w:bCs/>
                <w:color w:val="000000" w:themeColor="text1"/>
                <w:sz w:val="20"/>
                <w:szCs w:val="20"/>
              </w:rPr>
              <w:t>insolvenčného</w:t>
            </w:r>
            <w:proofErr w:type="spellEnd"/>
            <w:r w:rsidRPr="009C7830">
              <w:rPr>
                <w:bCs/>
                <w:color w:val="000000" w:themeColor="text1"/>
                <w:sz w:val="20"/>
                <w:szCs w:val="20"/>
              </w:rPr>
              <w:t xml:space="preserve"> konania, alebo subjekt v rámci skupiny, ktorej krízová situácia sa rieši, ktorý nie je subjektom, ktorého krízová situácia sa rieši a v súvislosti s ktorým sa v pláne riešenia krízovej situácie na úrovni skupiny neustanovuje výkon právomocí na odpísanie a konverziu;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8492CE" w14:textId="20148178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lastRenderedPageBreak/>
              <w:t>N</w:t>
            </w:r>
          </w:p>
          <w:p w14:paraId="1F5AD757" w14:textId="77777777" w:rsidR="00555713" w:rsidRPr="00B41D59" w:rsidRDefault="00555713" w:rsidP="0055571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5394874" w14:textId="77777777" w:rsidR="00555713" w:rsidRPr="00B41D59" w:rsidRDefault="00555713" w:rsidP="0055571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C25943A" w14:textId="5D3DC19B" w:rsidR="00555713" w:rsidRPr="00B41D59" w:rsidRDefault="00555713" w:rsidP="0055571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4998" w14:textId="1D3E2730" w:rsidR="00555713" w:rsidRPr="00B41D59" w:rsidRDefault="00555713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371/2014a</w:t>
            </w:r>
            <w:r w:rsidRPr="00B41D59">
              <w:rPr>
                <w:b/>
                <w:color w:val="000000" w:themeColor="text1"/>
                <w:sz w:val="20"/>
                <w:szCs w:val="20"/>
              </w:rPr>
              <w:t xml:space="preserve"> Návrh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4BAA" w14:textId="1EE88731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§</w:t>
            </w:r>
            <w:r w:rsidR="00A702ED">
              <w:rPr>
                <w:color w:val="000000" w:themeColor="text1"/>
              </w:rPr>
              <w:t>2</w:t>
            </w:r>
            <w:r w:rsidRPr="00B41D59">
              <w:rPr>
                <w:color w:val="000000" w:themeColor="text1"/>
              </w:rPr>
              <w:t xml:space="preserve"> </w:t>
            </w:r>
          </w:p>
          <w:p w14:paraId="0777FB81" w14:textId="415BBB53" w:rsidR="00555713" w:rsidRPr="00B41D59" w:rsidRDefault="00A702ED" w:rsidP="00A702ED">
            <w:pPr>
              <w:pStyle w:val="Normlny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555713" w:rsidRPr="00B41D5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52BB" w14:textId="656C4451" w:rsidR="009A6702" w:rsidRPr="00E70131" w:rsidRDefault="009A6702" w:rsidP="00A702ED">
            <w:pPr>
              <w:pStyle w:val="Odsekzoznamu"/>
              <w:shd w:val="clear" w:color="auto" w:fill="FFFFFF"/>
              <w:ind w:left="57"/>
              <w:jc w:val="both"/>
              <w:rPr>
                <w:color w:val="000000" w:themeColor="text1"/>
                <w:sz w:val="20"/>
                <w:szCs w:val="20"/>
              </w:rPr>
            </w:pPr>
            <w:r w:rsidRPr="00E70131">
              <w:rPr>
                <w:color w:val="000000" w:themeColor="text1"/>
                <w:sz w:val="20"/>
                <w:szCs w:val="20"/>
              </w:rPr>
              <w:t>Na účely tohto zákona sa rozumie</w:t>
            </w:r>
          </w:p>
          <w:p w14:paraId="4CF6FF50" w14:textId="6153096D" w:rsidR="00555713" w:rsidRDefault="00A702ED" w:rsidP="00CD3D45">
            <w:pPr>
              <w:pStyle w:val="Odsekzoznamu"/>
              <w:shd w:val="clear" w:color="auto" w:fill="FFFFFF"/>
              <w:ind w:left="5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at) likvidačným subjektom </w:t>
            </w:r>
            <w:r w:rsidR="00775E37">
              <w:rPr>
                <w:b/>
                <w:color w:val="000000" w:themeColor="text1"/>
                <w:sz w:val="20"/>
                <w:szCs w:val="20"/>
              </w:rPr>
              <w:t xml:space="preserve">osoba 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>podľa § 1 ods. 3, v súvislosti s ktorou sa v pláne riešenia krízovej situácie na úrovni skupiny, alebo ak nie je súčasťou skupiny, v pláne riešenia krízovej situácie určuje, že sa má zrušiť v rámci konkurzného konania podľa osobitného predpisu</w:t>
            </w:r>
            <w:r w:rsidR="00CD3D45" w:rsidRPr="00E70131">
              <w:rPr>
                <w:b/>
                <w:color w:val="000000" w:themeColor="text1"/>
                <w:sz w:val="20"/>
                <w:szCs w:val="20"/>
                <w:vertAlign w:val="superscript"/>
              </w:rPr>
              <w:t>62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>) alebo likvidáciou podľa osobitných predpisov,</w:t>
            </w:r>
            <w:r w:rsidR="00CD3D45" w:rsidRPr="00E70131">
              <w:rPr>
                <w:b/>
                <w:color w:val="000000" w:themeColor="text1"/>
                <w:sz w:val="20"/>
                <w:szCs w:val="20"/>
                <w:vertAlign w:val="superscript"/>
              </w:rPr>
              <w:t>70t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 xml:space="preserve">) alebo osoba podľa § 1 ods. 3 v rámci rezolučnej skupiny, ktorá sama nie je 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lastRenderedPageBreak/>
              <w:t>rezolučným subjektom a v súvislosti s ktorou sa v pláne riešenia krízovej situácie na úrovni skupiny neurčuje výkon právomocí odpísania a konverzie podľa § 70.</w:t>
            </w:r>
          </w:p>
          <w:p w14:paraId="20F82895" w14:textId="29BCD9A9" w:rsidR="00CD3D45" w:rsidRPr="00A702ED" w:rsidRDefault="00CD3D45" w:rsidP="00CD3D45">
            <w:pPr>
              <w:pStyle w:val="Odsekzoznamu"/>
              <w:shd w:val="clear" w:color="auto" w:fill="FFFFFF"/>
              <w:ind w:left="5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8FC1" w14:textId="66B5563C" w:rsidR="00555713" w:rsidRPr="00B41D59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4CBEB9" w14:textId="77777777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249" w14:textId="739CC69C" w:rsidR="00555713" w:rsidRPr="00B41D59" w:rsidRDefault="00555713" w:rsidP="00555713">
            <w:pPr>
              <w:pStyle w:val="Nadpis1"/>
              <w:jc w:val="lef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41D59">
              <w:rPr>
                <w:b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21B57E" w14:textId="10F576B4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B41D59" w:rsidRPr="00B41D59" w14:paraId="339328C8" w14:textId="3DC1B835" w:rsidTr="00286F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85BC" w14:textId="43DF2FA4" w:rsidR="00555713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čl.</w:t>
            </w:r>
            <w:r w:rsidR="00AF5605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B41D59">
              <w:rPr>
                <w:color w:val="000000" w:themeColor="text1"/>
                <w:sz w:val="20"/>
                <w:szCs w:val="20"/>
              </w:rPr>
              <w:t>O:</w:t>
            </w:r>
            <w:r w:rsidR="00AF5605">
              <w:rPr>
                <w:color w:val="000000" w:themeColor="text1"/>
                <w:sz w:val="20"/>
                <w:szCs w:val="20"/>
              </w:rPr>
              <w:t>2</w:t>
            </w:r>
          </w:p>
          <w:p w14:paraId="64337361" w14:textId="3CE3377E" w:rsidR="00AF5605" w:rsidRPr="00B41D59" w:rsidRDefault="00AF5605" w:rsidP="005557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 </w:t>
            </w:r>
            <w:r w:rsidR="009C7830">
              <w:rPr>
                <w:color w:val="000000" w:themeColor="text1"/>
                <w:sz w:val="20"/>
                <w:szCs w:val="20"/>
              </w:rPr>
              <w:t xml:space="preserve">a) a </w:t>
            </w:r>
            <w:r>
              <w:rPr>
                <w:color w:val="000000" w:themeColor="text1"/>
                <w:sz w:val="20"/>
                <w:szCs w:val="20"/>
              </w:rPr>
              <w:t>b)</w:t>
            </w:r>
          </w:p>
          <w:p w14:paraId="32F47A3A" w14:textId="1DE62BD1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0E031770" w14:textId="57F5A889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B41D59">
              <w:rPr>
                <w:color w:val="000000" w:themeColor="text1"/>
                <w:sz w:val="20"/>
                <w:szCs w:val="20"/>
              </w:rPr>
              <w:t>Čl.</w:t>
            </w:r>
          </w:p>
          <w:p w14:paraId="2FE80286" w14:textId="78977088" w:rsidR="00555713" w:rsidRPr="00B41D59" w:rsidRDefault="00555713" w:rsidP="00AF5605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45</w:t>
            </w:r>
            <w:r w:rsidR="00AF5605">
              <w:rPr>
                <w:color w:val="000000" w:themeColor="text1"/>
                <w:sz w:val="20"/>
                <w:szCs w:val="20"/>
              </w:rPr>
              <w:t>c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O:2</w:t>
            </w:r>
            <w:r w:rsidR="00AF5605">
              <w:rPr>
                <w:color w:val="000000" w:themeColor="text1"/>
                <w:sz w:val="20"/>
                <w:szCs w:val="20"/>
              </w:rPr>
              <w:t>a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DD15" w14:textId="5154C7F6" w:rsidR="009A6702" w:rsidRPr="009A6702" w:rsidRDefault="009A6702" w:rsidP="009A6702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E70131">
              <w:rPr>
                <w:color w:val="333333"/>
                <w:sz w:val="20"/>
                <w:szCs w:val="20"/>
                <w:shd w:val="clear" w:color="auto" w:fill="FFFFFF"/>
              </w:rPr>
              <w:t>2. Článok 45c sa mení takto:</w:t>
            </w:r>
          </w:p>
          <w:p w14:paraId="2A1C4DFD" w14:textId="0F5E1A1F" w:rsidR="009C7830" w:rsidRDefault="009A6702" w:rsidP="009A6702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a) </w:t>
            </w:r>
            <w:r w:rsidR="009C7830" w:rsidRPr="00AF5605">
              <w:rPr>
                <w:color w:val="000000" w:themeColor="text1"/>
                <w:sz w:val="20"/>
                <w:szCs w:val="20"/>
              </w:rPr>
              <w:t xml:space="preserve">V odseku 2 sa vypúšťa druhý a tretí </w:t>
            </w:r>
            <w:proofErr w:type="spellStart"/>
            <w:r w:rsidR="009C7830" w:rsidRPr="00AF5605">
              <w:rPr>
                <w:color w:val="000000" w:themeColor="text1"/>
                <w:sz w:val="20"/>
                <w:szCs w:val="20"/>
              </w:rPr>
              <w:t>pododsek</w:t>
            </w:r>
            <w:proofErr w:type="spellEnd"/>
            <w:r w:rsidR="009C7830" w:rsidRPr="00AF5605">
              <w:rPr>
                <w:color w:val="000000" w:themeColor="text1"/>
                <w:sz w:val="20"/>
                <w:szCs w:val="20"/>
              </w:rPr>
              <w:t>.</w:t>
            </w:r>
          </w:p>
          <w:p w14:paraId="380EA6B0" w14:textId="01349552" w:rsidR="00AF5605" w:rsidRPr="00AF5605" w:rsidRDefault="009A6702" w:rsidP="009A6702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b) </w:t>
            </w:r>
            <w:r w:rsidR="00AF5605" w:rsidRPr="00AF5605">
              <w:rPr>
                <w:color w:val="000000" w:themeColor="text1"/>
                <w:sz w:val="20"/>
                <w:szCs w:val="20"/>
              </w:rPr>
              <w:t>Vkladá sa tento odsek:</w:t>
            </w:r>
          </w:p>
          <w:p w14:paraId="78C390E7" w14:textId="77777777" w:rsidR="00AF5605" w:rsidRPr="00AF5605" w:rsidRDefault="00AF5605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„2a.   Orgány pre riešenie krízových situácií neurčujú požiadavku uvedenú v článku 45 ods. 1 pre likvidačné subjekty.</w:t>
            </w:r>
          </w:p>
          <w:p w14:paraId="2D60A799" w14:textId="77777777" w:rsidR="00AF5605" w:rsidRPr="00AF5605" w:rsidRDefault="00AF5605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 xml:space="preserve">Odchylne od prvého </w:t>
            </w:r>
            <w:proofErr w:type="spellStart"/>
            <w:r w:rsidRPr="00AF5605">
              <w:rPr>
                <w:color w:val="000000" w:themeColor="text1"/>
                <w:sz w:val="20"/>
                <w:szCs w:val="20"/>
              </w:rPr>
              <w:t>pododseku</w:t>
            </w:r>
            <w:proofErr w:type="spellEnd"/>
            <w:r w:rsidRPr="00AF5605">
              <w:rPr>
                <w:color w:val="000000" w:themeColor="text1"/>
                <w:sz w:val="20"/>
                <w:szCs w:val="20"/>
              </w:rPr>
              <w:t xml:space="preserve"> môže orgán pre riešenie krízových situácií posúdiť, či je odôvodnené určiť požiadavku uvedenú v článku 45 ods. 1 pre likvidačný subjekt na individuálnom základe vo výške presahujúcej sumu dostatočnú na absorpciu strát v súlade s odsekom 2 písm. a) tohto článku. Orgán pre riešenie krízových situácií vo svojom posúdení zohľadní najmä akýkoľvek možný vplyv na finančnú stabilitu a riziko nákazy vo finančnom systéme, a to aj pokiaľ ide o finančnú kapacitu systémov ochrany vkladov. Ak orgán pre riešenie krízových situácií určí požiadavku uvedenú v </w:t>
            </w:r>
            <w:r w:rsidRPr="00E70131">
              <w:rPr>
                <w:color w:val="000000" w:themeColor="text1"/>
                <w:sz w:val="20"/>
                <w:szCs w:val="20"/>
              </w:rPr>
              <w:t>článku 45 ods. 1</w:t>
            </w:r>
            <w:r w:rsidRPr="00AF5605">
              <w:rPr>
                <w:color w:val="000000" w:themeColor="text1"/>
                <w:sz w:val="20"/>
                <w:szCs w:val="20"/>
              </w:rPr>
              <w:t>, likvidačný subjekt spĺňa túto požiadavku za použitia jednej alebo viacerých z týchto možností:</w:t>
            </w:r>
          </w:p>
          <w:p w14:paraId="0B5614A6" w14:textId="44F066CD" w:rsidR="00AF5605" w:rsidRPr="00AF5605" w:rsidRDefault="00AF5605" w:rsidP="00AF5605">
            <w:pPr>
              <w:pStyle w:val="norm2"/>
              <w:numPr>
                <w:ilvl w:val="0"/>
                <w:numId w:val="14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5605">
              <w:rPr>
                <w:color w:val="000000" w:themeColor="text1"/>
                <w:sz w:val="20"/>
                <w:szCs w:val="20"/>
              </w:rPr>
              <w:t>vlastné zdroje;</w:t>
            </w:r>
          </w:p>
          <w:p w14:paraId="60FDBA67" w14:textId="00DB702C" w:rsidR="00AF5605" w:rsidRPr="00AF5605" w:rsidRDefault="00AF5605" w:rsidP="00AF5605">
            <w:pPr>
              <w:pStyle w:val="norm2"/>
              <w:numPr>
                <w:ilvl w:val="0"/>
                <w:numId w:val="14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záväzky, ktoré spĺňajú kritériá oprávnenosti uvedené v článku 72a nariadenia (EÚ) č. 575/2013, s výnimkou článku 72b ods. 2 písm. b) a d) uvedeného nariadenia;</w:t>
            </w:r>
          </w:p>
          <w:p w14:paraId="654E8D95" w14:textId="3F716920" w:rsidR="00AF5605" w:rsidRPr="00AF5605" w:rsidRDefault="00AF5605" w:rsidP="00AF5605">
            <w:pPr>
              <w:pStyle w:val="norm2"/>
              <w:numPr>
                <w:ilvl w:val="0"/>
                <w:numId w:val="14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záväzky uvedené v článku 45b ods. 2.</w:t>
            </w:r>
          </w:p>
          <w:p w14:paraId="537CA66C" w14:textId="77777777" w:rsidR="00BB56FA" w:rsidRDefault="00BB56FA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165A11FC" w14:textId="77777777" w:rsidR="00BB56FA" w:rsidRDefault="00BB56FA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6DA493AF" w14:textId="77777777" w:rsidR="00BB56FA" w:rsidRDefault="00BB56FA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0CD29AEF" w14:textId="77777777" w:rsidR="00BB56FA" w:rsidRDefault="00BB56FA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6E44490B" w14:textId="46C84A2E" w:rsidR="00AF5605" w:rsidRPr="00AF5605" w:rsidRDefault="00AF5605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Článok 77 ods. 2 a článok 78a nariadenia (EÚ) č. 575/2013 sa neuplatňujú na likvidačné subjekty, pre ktoré orgán pre riešenie krízových situácií neurčil požiadavku uvedenú v článku 45 ods. 1 tejto smernice.</w:t>
            </w:r>
          </w:p>
          <w:p w14:paraId="0F7641E6" w14:textId="77777777" w:rsidR="00AF5605" w:rsidRPr="00AF5605" w:rsidRDefault="00AF5605" w:rsidP="00AF5605">
            <w:pPr>
              <w:pStyle w:val="norm2"/>
              <w:shd w:val="clear" w:color="auto" w:fill="FFFFFF"/>
              <w:ind w:left="99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Podiely vo forme nástrojov vlastných zdrojov a vo forme nástrojov oprávnených záväzkov emitovaných dcérskymi inštitúciami, ktoré sú likvidačnými subjektmi, pre ktoré orgán pre riešenie krízových situácií neurčil požiadavku uvedenú v článku 45 ods. 1, sa neodpočítavajú podľa článku 72e ods. 5 nariadenia (EÚ) č. 575/2013.</w:t>
            </w:r>
          </w:p>
          <w:p w14:paraId="5EDED0A9" w14:textId="77777777" w:rsidR="00AF5605" w:rsidRDefault="00AF5605" w:rsidP="00AF5605">
            <w:pPr>
              <w:pStyle w:val="norm2"/>
              <w:shd w:val="clear" w:color="auto" w:fill="FFFFFF"/>
              <w:spacing w:before="0" w:line="240" w:lineRule="auto"/>
              <w:ind w:left="99"/>
              <w:rPr>
                <w:color w:val="000000" w:themeColor="text1"/>
                <w:sz w:val="20"/>
                <w:szCs w:val="20"/>
              </w:rPr>
            </w:pPr>
          </w:p>
          <w:p w14:paraId="3AF56BAF" w14:textId="286FAA23" w:rsidR="00555713" w:rsidRPr="00B41D59" w:rsidRDefault="00AF5605" w:rsidP="00AF5605">
            <w:pPr>
              <w:pStyle w:val="norm2"/>
              <w:shd w:val="clear" w:color="auto" w:fill="FFFFFF"/>
              <w:spacing w:before="0" w:line="240" w:lineRule="auto"/>
              <w:ind w:left="99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 xml:space="preserve">Odchylne od štvrtého </w:t>
            </w:r>
            <w:proofErr w:type="spellStart"/>
            <w:r w:rsidRPr="00AF5605">
              <w:rPr>
                <w:color w:val="000000" w:themeColor="text1"/>
                <w:sz w:val="20"/>
                <w:szCs w:val="20"/>
              </w:rPr>
              <w:t>pododseku</w:t>
            </w:r>
            <w:proofErr w:type="spellEnd"/>
            <w:r w:rsidRPr="00AF5605">
              <w:rPr>
                <w:color w:val="000000" w:themeColor="text1"/>
                <w:sz w:val="20"/>
                <w:szCs w:val="20"/>
              </w:rPr>
              <w:t xml:space="preserve"> inštitúcia alebo subjekt uvedené v článku 1 ods. 1 písm. </w:t>
            </w:r>
            <w:r w:rsidRPr="00C07A48">
              <w:rPr>
                <w:color w:val="000000" w:themeColor="text1"/>
                <w:sz w:val="20"/>
                <w:szCs w:val="20"/>
              </w:rPr>
              <w:t>b), c) alebo d), ktoré</w:t>
            </w:r>
            <w:r w:rsidRPr="00AF5605">
              <w:rPr>
                <w:color w:val="000000" w:themeColor="text1"/>
                <w:sz w:val="20"/>
                <w:szCs w:val="20"/>
              </w:rPr>
              <w:t xml:space="preserve"> nie sú samy subjektom, ktorého krízová situácia sa rieši, ale sú dcérskou spoločnosťou subjektu, ktorého krízová situácia sa rieši, alebo subjektu z tretej krajiny, ktorý by bol subjektom, ktorého krízová situácia sa rieši, keby boli usadené v Únii, odpočítajú svoje podiely vo forme nástrojov vlastných zdrojov emitovaných dcérskymi inštitúciami, ktoré patria do tej istej skupiny, ktorej krízová situácia sa rieši, a ktoré sú likvidačnými subjektmi, pre ktoré orgán pre riešenie krízových situácií neurčil požiadavku uvedenú v článku 45 ods. 1, ak sa súhrnná hodnota týchto podielov rovná alebo presahuje 7 % celkovej hodnoty jej vlastných zdrojov a záväzkov, ktoré spĺňajú kritériá oprávnenosti stanovené v článku 45f ods. 2, vypočítanej každoročne k 31. decembru ako priemer za predchádzajúcich 12 mesiacov.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30E4A0" w14:textId="1ECFDB4C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E84A" w14:textId="77777777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0B107397" w14:textId="77777777" w:rsidR="007B01DE" w:rsidRDefault="007B01DE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55FF4F8F" w14:textId="77777777" w:rsidR="007B01DE" w:rsidRDefault="007B01DE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5FB5085E" w14:textId="24376B64" w:rsidR="00555713" w:rsidRPr="00B41D59" w:rsidRDefault="00555713" w:rsidP="00555713">
            <w:pPr>
              <w:rPr>
                <w:b/>
                <w:color w:val="000000" w:themeColor="text1"/>
                <w:sz w:val="20"/>
                <w:szCs w:val="20"/>
              </w:rPr>
            </w:pPr>
            <w:r w:rsidRPr="00B41D59">
              <w:rPr>
                <w:b/>
                <w:color w:val="000000" w:themeColor="text1"/>
                <w:sz w:val="20"/>
                <w:szCs w:val="20"/>
              </w:rPr>
              <w:t>Návrh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89F" w14:textId="77777777" w:rsidR="00555713" w:rsidRDefault="00555713" w:rsidP="00555713">
            <w:pPr>
              <w:pStyle w:val="Normlny0"/>
              <w:rPr>
                <w:color w:val="000000" w:themeColor="text1"/>
              </w:rPr>
            </w:pPr>
          </w:p>
          <w:p w14:paraId="3B43EF4D" w14:textId="77777777" w:rsidR="007B01DE" w:rsidRDefault="007B01DE" w:rsidP="00555713">
            <w:pPr>
              <w:pStyle w:val="Normlny0"/>
              <w:rPr>
                <w:color w:val="000000" w:themeColor="text1"/>
              </w:rPr>
            </w:pPr>
          </w:p>
          <w:p w14:paraId="54DAE7EB" w14:textId="77777777" w:rsidR="007B01DE" w:rsidRDefault="007B01DE" w:rsidP="00555713">
            <w:pPr>
              <w:pStyle w:val="Normlny0"/>
              <w:rPr>
                <w:color w:val="000000" w:themeColor="text1"/>
              </w:rPr>
            </w:pPr>
          </w:p>
          <w:p w14:paraId="4623953B" w14:textId="4AF5DAE2" w:rsidR="00A702ED" w:rsidRDefault="00A702ED" w:rsidP="00555713">
            <w:pPr>
              <w:pStyle w:val="Normlny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§31b </w:t>
            </w:r>
          </w:p>
          <w:p w14:paraId="4AC3EA33" w14:textId="7CB917F2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63D8A8EE" w14:textId="77777777" w:rsidR="007B01DE" w:rsidRDefault="007B01DE" w:rsidP="00555713">
            <w:pPr>
              <w:pStyle w:val="Normlny0"/>
              <w:rPr>
                <w:color w:val="000000" w:themeColor="text1"/>
              </w:rPr>
            </w:pPr>
          </w:p>
          <w:p w14:paraId="12A54A35" w14:textId="19C222AC" w:rsidR="00A702ED" w:rsidRDefault="00A702ED" w:rsidP="00555713">
            <w:pPr>
              <w:pStyle w:val="Normlny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 3</w:t>
            </w:r>
          </w:p>
          <w:p w14:paraId="13EDC96C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AEBD6CE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3DE7CEF6" w14:textId="55E77121" w:rsidR="00A702ED" w:rsidRDefault="00A702ED" w:rsidP="00555713">
            <w:pPr>
              <w:pStyle w:val="Normlny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4</w:t>
            </w:r>
          </w:p>
          <w:p w14:paraId="69D16F79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39C2629A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72652BBB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39700841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731A230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67F673D3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15B3B4BA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1F626A63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3C053706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9590411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1CA3B325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4C4493EA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0D45259B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4CC771EA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4B8A8A3B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B757571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63D9B7D3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79BB88F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04D9FA56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F97CED6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9CF7619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602B8B88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2740D5F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3CC7DDF4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E33C1F1" w14:textId="77777777" w:rsidR="00CD3D45" w:rsidRDefault="00CD3D45" w:rsidP="00555713">
            <w:pPr>
              <w:pStyle w:val="Normlny0"/>
              <w:rPr>
                <w:color w:val="000000" w:themeColor="text1"/>
              </w:rPr>
            </w:pPr>
          </w:p>
          <w:p w14:paraId="3A7D100A" w14:textId="77777777" w:rsidR="00CD3D45" w:rsidRDefault="00CD3D45" w:rsidP="00555713">
            <w:pPr>
              <w:pStyle w:val="Normlny0"/>
              <w:rPr>
                <w:color w:val="000000" w:themeColor="text1"/>
              </w:rPr>
            </w:pPr>
          </w:p>
          <w:p w14:paraId="700E81C4" w14:textId="77777777" w:rsidR="00CD3D45" w:rsidRDefault="00CD3D45" w:rsidP="00555713">
            <w:pPr>
              <w:pStyle w:val="Normlny0"/>
              <w:rPr>
                <w:color w:val="000000" w:themeColor="text1"/>
              </w:rPr>
            </w:pPr>
          </w:p>
          <w:p w14:paraId="1E05C7FF" w14:textId="77777777" w:rsidR="00AB2759" w:rsidRDefault="00AB2759" w:rsidP="00555713">
            <w:pPr>
              <w:pStyle w:val="Normlny0"/>
              <w:rPr>
                <w:color w:val="000000" w:themeColor="text1"/>
              </w:rPr>
            </w:pPr>
          </w:p>
          <w:p w14:paraId="1A2C2F0B" w14:textId="77777777" w:rsidR="00AB2759" w:rsidRDefault="00AB2759" w:rsidP="00555713">
            <w:pPr>
              <w:pStyle w:val="Normlny0"/>
              <w:rPr>
                <w:color w:val="000000" w:themeColor="text1"/>
              </w:rPr>
            </w:pPr>
          </w:p>
          <w:p w14:paraId="62712C06" w14:textId="77777777" w:rsidR="00AB2759" w:rsidRDefault="00AB2759" w:rsidP="00555713">
            <w:pPr>
              <w:pStyle w:val="Normlny0"/>
              <w:rPr>
                <w:color w:val="000000" w:themeColor="text1"/>
              </w:rPr>
            </w:pPr>
          </w:p>
          <w:p w14:paraId="24A64A77" w14:textId="77777777" w:rsidR="00AB2759" w:rsidRDefault="00AB2759" w:rsidP="00555713">
            <w:pPr>
              <w:pStyle w:val="Normlny0"/>
              <w:rPr>
                <w:color w:val="000000" w:themeColor="text1"/>
              </w:rPr>
            </w:pPr>
          </w:p>
          <w:p w14:paraId="630ED89D" w14:textId="77777777" w:rsidR="00AB2759" w:rsidRDefault="00AB2759" w:rsidP="00555713">
            <w:pPr>
              <w:pStyle w:val="Normlny0"/>
              <w:rPr>
                <w:color w:val="000000" w:themeColor="text1"/>
              </w:rPr>
            </w:pPr>
          </w:p>
          <w:p w14:paraId="7D53C1E7" w14:textId="77777777" w:rsidR="00AB2759" w:rsidRDefault="00AB2759" w:rsidP="00555713">
            <w:pPr>
              <w:pStyle w:val="Normlny0"/>
              <w:rPr>
                <w:color w:val="000000" w:themeColor="text1"/>
              </w:rPr>
            </w:pPr>
          </w:p>
          <w:p w14:paraId="6663A9EC" w14:textId="52074E4D" w:rsidR="00A702ED" w:rsidRDefault="00A702ED" w:rsidP="00555713">
            <w:pPr>
              <w:pStyle w:val="Normlny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5</w:t>
            </w:r>
          </w:p>
          <w:p w14:paraId="2A1432AD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0B7EFD6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7E696121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52AC33D3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73BD2254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41AA5D53" w14:textId="1DE3856F" w:rsidR="00A702ED" w:rsidRDefault="00A702ED" w:rsidP="00555713">
            <w:pPr>
              <w:pStyle w:val="Normlny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 6</w:t>
            </w:r>
          </w:p>
          <w:p w14:paraId="7288416C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1EAFABBD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5FD2C19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09AAB213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2FF56F87" w14:textId="37D27269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1F7BEA7B" w14:textId="77777777" w:rsidR="00AC6CC7" w:rsidRDefault="00AC6CC7" w:rsidP="00555713">
            <w:pPr>
              <w:pStyle w:val="Normlny0"/>
              <w:rPr>
                <w:color w:val="000000" w:themeColor="text1"/>
              </w:rPr>
            </w:pPr>
          </w:p>
          <w:p w14:paraId="7D6C0A15" w14:textId="77777777" w:rsidR="00A702ED" w:rsidRDefault="00A702ED" w:rsidP="00555713">
            <w:pPr>
              <w:pStyle w:val="Normlny0"/>
              <w:rPr>
                <w:color w:val="000000" w:themeColor="text1"/>
              </w:rPr>
            </w:pPr>
          </w:p>
          <w:p w14:paraId="3904E520" w14:textId="2083DAC2" w:rsidR="00A702ED" w:rsidRPr="00B41D59" w:rsidRDefault="00A702ED" w:rsidP="00555713">
            <w:pPr>
              <w:pStyle w:val="Normlny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E6D0" w14:textId="77777777" w:rsidR="00A702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D4B4ADB" w14:textId="77777777" w:rsidR="00A702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87CEEF" w14:textId="22FD4C48" w:rsidR="00A702ED" w:rsidRDefault="00A702ED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A64343B" w14:textId="387C5B72" w:rsidR="007B01DE" w:rsidRDefault="007B01DE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5CCEDEC" w14:textId="5DF2D509" w:rsidR="007B01DE" w:rsidRDefault="007B01DE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7E3A185" w14:textId="77777777" w:rsidR="007B01DE" w:rsidRDefault="007B01DE" w:rsidP="00A702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5545AC" w14:textId="2A74665D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(3) Rada neurčuje požiadavku podľa § 31 ods. 1 pre likvidačné subjekty. </w:t>
            </w:r>
          </w:p>
          <w:p w14:paraId="7207F092" w14:textId="77777777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75EBB83" w14:textId="71DF3ED2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(4) 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>Rada môže odchylne od odseku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 3 posúdiť, či je odôvodnené určiť požiadavku podľa § 31 ods. 1 pre likvidačný subjekt na individuálnom základe vo výške presahujúcej sumu dostatočnú na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 xml:space="preserve"> absorpciu strát v súlade s odsekom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 2 písm. a). Rada vo svojom posúdení zohľadní akýkoľvek možný vplyv na finančnú stabilitu a riziko 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>zapríčinenia nepriaznivých vplyvov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 vo finančnom systéme,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 xml:space="preserve"> vrátane kapacity peňažných prostriedkov Fondu 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ochrany vkladov. Ak Rada určí požiadavku podľa § 31 ods. 1, likvidačný subjekt 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>na splnenie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>tejto požiadavky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>použije aspoň jednu z týchto možností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3439C487" w14:textId="03D695B9" w:rsidR="00F2692B" w:rsidRPr="00CD3D45" w:rsidRDefault="00F2692B" w:rsidP="00A702ED">
            <w:pPr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5A3A7ABA" w14:textId="04F8F8B0" w:rsidR="00F2692B" w:rsidRPr="00CD3D45" w:rsidRDefault="00F2692B" w:rsidP="00A702ED">
            <w:pPr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5E692472" w14:textId="55C341A4" w:rsidR="00F2692B" w:rsidRPr="00CD3D45" w:rsidRDefault="00F2692B" w:rsidP="00A702ED">
            <w:pPr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3EBA1AFA" w14:textId="2937A38F" w:rsidR="00F2692B" w:rsidRPr="00CD3D45" w:rsidRDefault="00F2692B" w:rsidP="00A702ED">
            <w:pPr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568A63F6" w14:textId="77777777" w:rsidR="00F2692B" w:rsidRPr="00CD3D45" w:rsidRDefault="00F2692B" w:rsidP="00A702ED">
            <w:pPr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384C7D3D" w14:textId="07C344A8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</w:rPr>
              <w:t>a)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ab/>
              <w:t>vlastné zdroje,</w:t>
            </w:r>
          </w:p>
          <w:p w14:paraId="692D915C" w14:textId="77777777" w:rsidR="00F2692B" w:rsidRPr="00E70131" w:rsidRDefault="00F2692B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96D4F2B" w14:textId="247C2A93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</w:rPr>
              <w:t>b)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ab/>
              <w:t>záväzky ktoré spĺňajú kritériá oprávnenosti podľa osobitného predpisu,</w:t>
            </w:r>
            <w:r w:rsidRPr="00E70131">
              <w:rPr>
                <w:b/>
                <w:color w:val="000000" w:themeColor="text1"/>
                <w:sz w:val="20"/>
                <w:szCs w:val="20"/>
                <w:vertAlign w:val="superscript"/>
              </w:rPr>
              <w:t>70ka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 xml:space="preserve"> okrem záväzkov, ktoré spĺňajú kritériá oprávnenosti podľa osobitného predpisu,</w:t>
            </w:r>
            <w:r w:rsidR="00CD3D45" w:rsidRPr="00E70131">
              <w:rPr>
                <w:b/>
                <w:color w:val="000000" w:themeColor="text1"/>
                <w:sz w:val="20"/>
                <w:szCs w:val="20"/>
                <w:vertAlign w:val="superscript"/>
              </w:rPr>
              <w:t>70kb</w:t>
            </w:r>
            <w:r w:rsidR="00CD3D45" w:rsidRPr="00E70131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2EAF8B72" w14:textId="206D0D11" w:rsidR="00F2692B" w:rsidRPr="00E70131" w:rsidRDefault="00F2692B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29B0A30" w14:textId="77777777" w:rsidR="00F2692B" w:rsidRPr="00E70131" w:rsidRDefault="00F2692B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18325CD" w14:textId="56A96359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</w:rPr>
              <w:t>c)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ab/>
              <w:t xml:space="preserve">záväzky podľa § 31a ods. 2. </w:t>
            </w:r>
          </w:p>
          <w:p w14:paraId="3B554345" w14:textId="2F87B27F" w:rsidR="00AB2759" w:rsidRDefault="00AB2759" w:rsidP="00A702ED">
            <w:pPr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19DA2BA8" w14:textId="77777777" w:rsidR="00AB2759" w:rsidRPr="00E70131" w:rsidRDefault="00AB2759" w:rsidP="00AB275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</w:rPr>
              <w:lastRenderedPageBreak/>
              <w:t>Poznámky pod čiarou k odkazom 70ka a 70kb znejú:</w:t>
            </w:r>
          </w:p>
          <w:p w14:paraId="61C9892C" w14:textId="77777777" w:rsidR="00AB2759" w:rsidRPr="00E70131" w:rsidRDefault="00AB2759" w:rsidP="00AB275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</w:rPr>
              <w:t>„</w:t>
            </w:r>
            <w:r w:rsidRPr="00E70131">
              <w:rPr>
                <w:b/>
                <w:color w:val="000000" w:themeColor="text1"/>
                <w:sz w:val="20"/>
                <w:szCs w:val="20"/>
                <w:vertAlign w:val="superscript"/>
              </w:rPr>
              <w:t>70ka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>) Čl. 72a nariadenia (EÚ) č. 575/2013 v platnom znení.</w:t>
            </w:r>
          </w:p>
          <w:p w14:paraId="03D77F64" w14:textId="0BA03F38" w:rsidR="00AB2759" w:rsidRPr="00E70131" w:rsidRDefault="00AB2759" w:rsidP="00AB275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  <w:vertAlign w:val="superscript"/>
              </w:rPr>
              <w:t>70kb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>) 72b ods. 2 písm. b) a d) nariadenia (EÚ) č. 575/2013 v platnom znení.“.</w:t>
            </w:r>
          </w:p>
          <w:p w14:paraId="6378FDF7" w14:textId="77777777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18298D8" w14:textId="77777777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F4DE2A5" w14:textId="59BF1DAA" w:rsidR="00A702ED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</w:rPr>
              <w:t>(5) Ak Rada neurčila požiadavku podľa § 31 ods. 1 pre likvidačné subjekty, ustanovenia osobitného predpisu</w:t>
            </w:r>
            <w:r w:rsidR="00AB2759" w:rsidRPr="00E70131">
              <w:rPr>
                <w:b/>
                <w:color w:val="000000" w:themeColor="text1"/>
                <w:sz w:val="20"/>
                <w:szCs w:val="20"/>
                <w:vertAlign w:val="superscript"/>
              </w:rPr>
              <w:t>70kc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>) sa neuplatňujú.</w:t>
            </w:r>
            <w:r w:rsidRPr="006E4D8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419C07A" w14:textId="3192D373" w:rsidR="00CD3D45" w:rsidRDefault="00CD3D45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E36E8F7" w14:textId="77777777" w:rsidR="00A702ED" w:rsidRPr="006E4D85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83652DF" w14:textId="77777777" w:rsidR="00A702ED" w:rsidRPr="006E4D85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9FC9E1F" w14:textId="7FB8FBF8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</w:rPr>
              <w:t>(6) Investície vo forme nástrojov vlastných zdrojov a vo forme oprávnených záväzkov emitovaných dcérskymi finančnými inštitúciami, ktoré sú lik</w:t>
            </w:r>
            <w:r w:rsidR="00AB2759" w:rsidRPr="00E70131">
              <w:rPr>
                <w:b/>
                <w:color w:val="000000" w:themeColor="text1"/>
                <w:sz w:val="20"/>
                <w:szCs w:val="20"/>
              </w:rPr>
              <w:t>vidačnými subjektmi, pre ktoré r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>ada neurčila požiadavku podľa §31 ods. 1, sa neodpočítavajú podľa osobitného predpisu.</w:t>
            </w:r>
            <w:r w:rsidR="00AB2759" w:rsidRPr="00E70131">
              <w:rPr>
                <w:b/>
                <w:color w:val="000000" w:themeColor="text1"/>
                <w:sz w:val="20"/>
                <w:szCs w:val="20"/>
                <w:vertAlign w:val="superscript"/>
              </w:rPr>
              <w:t>70kd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492FB17C" w14:textId="77777777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C19DAA4" w14:textId="77777777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B4ADE5B" w14:textId="08FA1372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(7) </w:t>
            </w:r>
            <w:r w:rsidR="00AB2759" w:rsidRPr="00E70131">
              <w:rPr>
                <w:b/>
                <w:color w:val="000000" w:themeColor="text1"/>
                <w:sz w:val="20"/>
                <w:szCs w:val="20"/>
              </w:rPr>
              <w:t>Osoby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 podľa § 1 ods. 3, ktoré nie sú rezol</w:t>
            </w:r>
            <w:r w:rsidR="00AB2759" w:rsidRPr="00E70131">
              <w:rPr>
                <w:b/>
                <w:color w:val="000000" w:themeColor="text1"/>
                <w:sz w:val="20"/>
                <w:szCs w:val="20"/>
              </w:rPr>
              <w:t>učným subjektom odchylne od odseku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 6 odpočítajú svoje investície vo forme nástrojov vlastných zdrojov emitovaných dcérskymi finančnými inštitúciami, ktoré patria do tej istej rezolučnej skupiny a ktoré sú lik</w:t>
            </w:r>
            <w:r w:rsidR="00AB2759" w:rsidRPr="00E70131">
              <w:rPr>
                <w:b/>
                <w:color w:val="000000" w:themeColor="text1"/>
                <w:sz w:val="20"/>
                <w:szCs w:val="20"/>
              </w:rPr>
              <w:t>vidačnými subjektmi, pre ktoré r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ada neurčila požiadavku podľa § 31 ods. 1, ak sa súhrnná hodnota týchto investícií rovná alebo presahuje 7 % celkovej hodnoty ich vlastných zdrojov a záväzkov, ktoré spĺňajú kritériá oprávnenosti </w:t>
            </w:r>
            <w:r w:rsidR="00AB2759" w:rsidRPr="00E70131">
              <w:rPr>
                <w:b/>
                <w:color w:val="000000" w:themeColor="text1"/>
                <w:sz w:val="20"/>
                <w:szCs w:val="20"/>
              </w:rPr>
              <w:t>podľa</w:t>
            </w:r>
            <w:r w:rsidRPr="00E70131">
              <w:rPr>
                <w:b/>
                <w:color w:val="000000" w:themeColor="text1"/>
                <w:sz w:val="20"/>
                <w:szCs w:val="20"/>
              </w:rPr>
              <w:t xml:space="preserve"> § 31e ods. 6 vypočítanej každoročne k 31. decembru ako priemer za predchádzajúcich 12 mesiacov.“ .</w:t>
            </w:r>
          </w:p>
          <w:p w14:paraId="447AB733" w14:textId="77777777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E28AFBE" w14:textId="77777777" w:rsidR="00A702ED" w:rsidRPr="00E70131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24133C1" w14:textId="2E943DDF" w:rsidR="00A702ED" w:rsidRPr="00286FAD" w:rsidRDefault="00A702ED" w:rsidP="00A702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Po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známky pod čiarou k odkazom 70kc a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70kd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znejú:</w:t>
            </w:r>
          </w:p>
          <w:p w14:paraId="7025352B" w14:textId="77777777" w:rsidR="00AB2759" w:rsidRPr="00286FAD" w:rsidRDefault="00A702ED" w:rsidP="00AB275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“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B2759" w:rsidRPr="00286FAD">
              <w:rPr>
                <w:b/>
                <w:color w:val="000000" w:themeColor="text1"/>
                <w:sz w:val="20"/>
                <w:szCs w:val="20"/>
                <w:vertAlign w:val="superscript"/>
              </w:rPr>
              <w:t>70kc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) Čl. 77 ods. 2 a čl. 78a nariadenia (EÚ) č. 575/2013 v platnom znení.</w:t>
            </w:r>
          </w:p>
          <w:p w14:paraId="494B0210" w14:textId="0CFEF061" w:rsidR="00555713" w:rsidRPr="00B41D59" w:rsidRDefault="00A702ED" w:rsidP="00AB275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  <w:vertAlign w:val="superscript"/>
              </w:rPr>
              <w:t>7</w:t>
            </w:r>
            <w:r w:rsidR="00AB2759" w:rsidRPr="00286FAD">
              <w:rPr>
                <w:b/>
                <w:color w:val="000000" w:themeColor="text1"/>
                <w:sz w:val="20"/>
                <w:szCs w:val="20"/>
                <w:vertAlign w:val="superscript"/>
              </w:rPr>
              <w:t>0kd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) čl. 72e ods.</w:t>
            </w:r>
            <w:r w:rsidR="006E4D85" w:rsidRPr="00286FAD">
              <w:rPr>
                <w:b/>
                <w:color w:val="000000" w:themeColor="text1"/>
                <w:sz w:val="20"/>
                <w:szCs w:val="20"/>
              </w:rPr>
              <w:t xml:space="preserve"> 5 nariadenia (EÚ) č. 575/2013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 xml:space="preserve"> v platnom znení</w:t>
            </w:r>
            <w:r w:rsidR="006E4D85" w:rsidRPr="00286FA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FE98" w14:textId="3FAD8794" w:rsidR="00555713" w:rsidRPr="00B41D59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604CF" w14:textId="77777777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978" w14:textId="331ADE72" w:rsidR="00555713" w:rsidRPr="00B41D59" w:rsidRDefault="00555713" w:rsidP="00555713">
            <w:pPr>
              <w:pStyle w:val="Nadpis1"/>
              <w:jc w:val="left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41D59">
              <w:rPr>
                <w:b w:val="0"/>
                <w:bCs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48CFD" w14:textId="615D6602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B41D59" w:rsidRPr="00B41D59" w14:paraId="1BFAC381" w14:textId="3046BF41" w:rsidTr="00286FAD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54A4" w14:textId="77777777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45F5427A" w14:textId="7AF4475B" w:rsidR="00555713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čl.</w:t>
            </w:r>
            <w:r w:rsidR="00AF5605">
              <w:rPr>
                <w:color w:val="000000" w:themeColor="text1"/>
                <w:sz w:val="20"/>
                <w:szCs w:val="20"/>
              </w:rPr>
              <w:t>1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O:</w:t>
            </w:r>
            <w:r w:rsidR="00AF5605">
              <w:rPr>
                <w:color w:val="000000" w:themeColor="text1"/>
                <w:sz w:val="20"/>
                <w:szCs w:val="20"/>
              </w:rPr>
              <w:t>3</w:t>
            </w:r>
          </w:p>
          <w:p w14:paraId="086276A8" w14:textId="707F0025" w:rsidR="00091A17" w:rsidRPr="00B41D59" w:rsidRDefault="00091A17" w:rsidP="005557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 a)</w:t>
            </w:r>
          </w:p>
          <w:p w14:paraId="504152D4" w14:textId="77777777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  <w:p w14:paraId="4147C1BD" w14:textId="40C000FA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(Čl. </w:t>
            </w:r>
            <w:r w:rsidR="00AF5605">
              <w:rPr>
                <w:color w:val="000000" w:themeColor="text1"/>
                <w:sz w:val="20"/>
                <w:szCs w:val="20"/>
              </w:rPr>
              <w:t>45f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27BC9E1" w14:textId="3FB49F05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5C6A" w14:textId="10597D9B" w:rsidR="00AF5605" w:rsidRPr="00AF5605" w:rsidRDefault="00963DEF" w:rsidP="00AF5605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  <w:r w:rsidR="00AF5605" w:rsidRPr="00AF5605">
              <w:rPr>
                <w:color w:val="000000" w:themeColor="text1"/>
                <w:sz w:val="20"/>
                <w:szCs w:val="20"/>
              </w:rPr>
              <w:t>Článok 45f sa mení takto:</w:t>
            </w:r>
          </w:p>
          <w:p w14:paraId="3E1DCC91" w14:textId="72AC8B77" w:rsidR="00AF5605" w:rsidRPr="00AF5605" w:rsidRDefault="00AF5605" w:rsidP="00AF5605">
            <w:pPr>
              <w:pStyle w:val="norm2"/>
              <w:numPr>
                <w:ilvl w:val="0"/>
                <w:numId w:val="15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 xml:space="preserve">V odseku 1 sa za tretí </w:t>
            </w:r>
            <w:proofErr w:type="spellStart"/>
            <w:r w:rsidRPr="00AF5605">
              <w:rPr>
                <w:color w:val="000000" w:themeColor="text1"/>
                <w:sz w:val="20"/>
                <w:szCs w:val="20"/>
              </w:rPr>
              <w:t>pododsek</w:t>
            </w:r>
            <w:proofErr w:type="spellEnd"/>
            <w:r w:rsidRPr="00AF5605">
              <w:rPr>
                <w:color w:val="000000" w:themeColor="text1"/>
                <w:sz w:val="20"/>
                <w:szCs w:val="20"/>
              </w:rPr>
              <w:t xml:space="preserve"> vkladá tento </w:t>
            </w:r>
            <w:proofErr w:type="spellStart"/>
            <w:r w:rsidRPr="00AF5605">
              <w:rPr>
                <w:color w:val="000000" w:themeColor="text1"/>
                <w:sz w:val="20"/>
                <w:szCs w:val="20"/>
              </w:rPr>
              <w:t>pododsek</w:t>
            </w:r>
            <w:proofErr w:type="spellEnd"/>
            <w:r w:rsidRPr="00AF5605">
              <w:rPr>
                <w:color w:val="000000" w:themeColor="text1"/>
                <w:sz w:val="20"/>
                <w:szCs w:val="20"/>
              </w:rPr>
              <w:t>:</w:t>
            </w:r>
          </w:p>
          <w:p w14:paraId="183D9D30" w14:textId="77777777" w:rsidR="00AF5605" w:rsidRPr="00AF5605" w:rsidRDefault="00AF5605" w:rsidP="00AF5605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0EC3EAFF" w14:textId="77777777" w:rsidR="00AF5605" w:rsidRPr="00AF5605" w:rsidRDefault="00AF5605" w:rsidP="00AF5605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 xml:space="preserve">„Odchylne od prvého a druhého </w:t>
            </w:r>
            <w:proofErr w:type="spellStart"/>
            <w:r w:rsidRPr="00AF5605">
              <w:rPr>
                <w:color w:val="000000" w:themeColor="text1"/>
                <w:sz w:val="20"/>
                <w:szCs w:val="20"/>
              </w:rPr>
              <w:t>pododseku</w:t>
            </w:r>
            <w:proofErr w:type="spellEnd"/>
            <w:r w:rsidRPr="00AF5605">
              <w:rPr>
                <w:color w:val="000000" w:themeColor="text1"/>
                <w:sz w:val="20"/>
                <w:szCs w:val="20"/>
              </w:rPr>
              <w:t xml:space="preserve"> môže orgán pre riešenie krízových situácií rozhodnúť, že určí požiadavku stanovenú v článku 45c na konsolidovanom základe pre dcérsku spoločnosť uvedenú v tomto odseku, ak orgán pre riešenie krízových situácií dospeje k záveru, že sú splnené všetky tieto podmienky:</w:t>
            </w:r>
          </w:p>
          <w:p w14:paraId="22C1E159" w14:textId="004E20C3" w:rsidR="00AF5605" w:rsidRPr="00AF5605" w:rsidRDefault="00AF5605" w:rsidP="00AF5605">
            <w:pPr>
              <w:pStyle w:val="norm2"/>
              <w:numPr>
                <w:ilvl w:val="0"/>
                <w:numId w:val="16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dcérska spoločnosť spĺňa jednu z týchto podmienok:</w:t>
            </w:r>
          </w:p>
          <w:p w14:paraId="5E33E979" w14:textId="58AC9613" w:rsidR="00AF5605" w:rsidRPr="00AF5605" w:rsidRDefault="00AF5605" w:rsidP="00AF5605">
            <w:pPr>
              <w:pStyle w:val="norm2"/>
              <w:numPr>
                <w:ilvl w:val="0"/>
                <w:numId w:val="17"/>
              </w:numPr>
              <w:shd w:val="clear" w:color="auto" w:fill="FFFFFF"/>
              <w:ind w:left="948" w:hanging="284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dcérska spoločnosť je v priamej držbe subjektu, ktorého krízová situácia sa rieši, a:</w:t>
            </w:r>
          </w:p>
          <w:p w14:paraId="3EA14899" w14:textId="14936C55" w:rsidR="00AF5605" w:rsidRPr="00AF5605" w:rsidRDefault="00AF5605" w:rsidP="00AF5605">
            <w:pPr>
              <w:pStyle w:val="norm2"/>
              <w:numPr>
                <w:ilvl w:val="0"/>
                <w:numId w:val="18"/>
              </w:numPr>
              <w:shd w:val="clear" w:color="auto" w:fill="FFFFFF"/>
              <w:ind w:left="1089" w:hanging="198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subjekt, ktorého krízová situácia sa rieši, je materskou finančnou holdingovou spoločnosťou v Únii alebo materskou zmiešanou finančnou holdingovou spoločnosťou v Únii,</w:t>
            </w:r>
          </w:p>
          <w:p w14:paraId="794DDB61" w14:textId="180ABBFE" w:rsidR="00AF5605" w:rsidRPr="00AF5605" w:rsidRDefault="00AF5605" w:rsidP="00AF5605">
            <w:pPr>
              <w:pStyle w:val="norm2"/>
              <w:numPr>
                <w:ilvl w:val="0"/>
                <w:numId w:val="18"/>
              </w:numPr>
              <w:shd w:val="clear" w:color="auto" w:fill="FFFFFF"/>
              <w:ind w:left="1089" w:hanging="198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dcérska spoločnosť aj subjekt, ktorého krízová situácia sa rieši, sú usadené v tom istom členskom štáte a sú súčasťou tej istej skupiny, ktorej krízová situácia sa rieši,</w:t>
            </w:r>
          </w:p>
          <w:p w14:paraId="209D7AE6" w14:textId="5769BCD2" w:rsidR="00AF5605" w:rsidRPr="00AF5605" w:rsidRDefault="00AF5605" w:rsidP="00AF5605">
            <w:pPr>
              <w:pStyle w:val="norm2"/>
              <w:numPr>
                <w:ilvl w:val="0"/>
                <w:numId w:val="18"/>
              </w:numPr>
              <w:shd w:val="clear" w:color="auto" w:fill="FFFFFF"/>
              <w:ind w:left="1089" w:hanging="19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  <w:r w:rsidRPr="00AF5605">
              <w:rPr>
                <w:color w:val="000000" w:themeColor="text1"/>
                <w:sz w:val="20"/>
                <w:szCs w:val="20"/>
              </w:rPr>
              <w:t xml:space="preserve">ubjekt, ktorého krízová situácia sa rieši, nemá v priamej držbe žiadnu dcérsku inštitúciu ani dcérsky subjekt uvedený v článku 1 ods. 1 písm. </w:t>
            </w:r>
            <w:r w:rsidRPr="007E3BA8">
              <w:rPr>
                <w:color w:val="000000" w:themeColor="text1"/>
                <w:sz w:val="20"/>
                <w:szCs w:val="20"/>
              </w:rPr>
              <w:t>b), c) alebo d),</w:t>
            </w:r>
            <w:r w:rsidRPr="00AF5605">
              <w:rPr>
                <w:color w:val="000000" w:themeColor="text1"/>
                <w:sz w:val="20"/>
                <w:szCs w:val="20"/>
              </w:rPr>
              <w:t xml:space="preserve"> ak tento subjekt podlieha požiadavkám stanoveným v tomto článku alebo požiadavke uvedenej v článku 45c, okrem dotknutej dcérskej spoločnosti,</w:t>
            </w:r>
          </w:p>
          <w:p w14:paraId="4AFF4386" w14:textId="6D00F42D" w:rsidR="00AF5605" w:rsidRPr="00AF5605" w:rsidRDefault="00AF5605" w:rsidP="00AF5605">
            <w:pPr>
              <w:pStyle w:val="norm2"/>
              <w:numPr>
                <w:ilvl w:val="0"/>
                <w:numId w:val="18"/>
              </w:numPr>
              <w:shd w:val="clear" w:color="auto" w:fill="FFFFFF"/>
              <w:ind w:left="1089" w:hanging="198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lastRenderedPageBreak/>
              <w:t>dcérska spoločnosť by bola neprimerane postihnutá výškou odpočtov požadovaných podľa článku 72e ods. 5 nariadenia (EÚ) č. 575/2013;</w:t>
            </w:r>
          </w:p>
          <w:p w14:paraId="0F6EA53A" w14:textId="4FA6D13D" w:rsidR="00AF5605" w:rsidRPr="00AF5605" w:rsidRDefault="00AF5605" w:rsidP="00AF5605">
            <w:pPr>
              <w:pStyle w:val="norm2"/>
              <w:numPr>
                <w:ilvl w:val="0"/>
                <w:numId w:val="17"/>
              </w:numPr>
              <w:shd w:val="clear" w:color="auto" w:fill="FFFFFF"/>
              <w:ind w:hanging="416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 xml:space="preserve">na dcérsku spoločnosť sa vzťahuje požiadavka uvedená v článku 104a smernice 2013/36/EÚ len na konsolidovanom základe a určenie požiadavky stanovenej v článku 45c tejto smernice na konsolidovanom základe by neviedlo k nadhodnoteniu potrieb </w:t>
            </w:r>
            <w:proofErr w:type="spellStart"/>
            <w:r w:rsidRPr="00AF5605">
              <w:rPr>
                <w:color w:val="000000" w:themeColor="text1"/>
                <w:sz w:val="20"/>
                <w:szCs w:val="20"/>
              </w:rPr>
              <w:t>rekapitalizácie</w:t>
            </w:r>
            <w:proofErr w:type="spellEnd"/>
            <w:r w:rsidRPr="00AF5605">
              <w:rPr>
                <w:color w:val="000000" w:themeColor="text1"/>
                <w:sz w:val="20"/>
                <w:szCs w:val="20"/>
              </w:rPr>
              <w:t xml:space="preserve">, na účely článku 45c ods. 1 písm. b) tejto smernice, podskupiny pozostávajúcej zo subjektov v rámci dotknutého konsolidačného okruhu, najmä z dôvodu </w:t>
            </w:r>
            <w:proofErr w:type="spellStart"/>
            <w:r w:rsidRPr="00AF5605">
              <w:rPr>
                <w:color w:val="000000" w:themeColor="text1"/>
                <w:sz w:val="20"/>
                <w:szCs w:val="20"/>
              </w:rPr>
              <w:t>prevalencie</w:t>
            </w:r>
            <w:proofErr w:type="spellEnd"/>
            <w:r w:rsidRPr="00AF5605">
              <w:rPr>
                <w:color w:val="000000" w:themeColor="text1"/>
                <w:sz w:val="20"/>
                <w:szCs w:val="20"/>
              </w:rPr>
              <w:t xml:space="preserve"> likvidačných subjektov v rámci toho istého konsolidačného okruhu;</w:t>
            </w:r>
          </w:p>
          <w:p w14:paraId="746F696F" w14:textId="1D59493B" w:rsidR="00AF5605" w:rsidRPr="00AF5605" w:rsidRDefault="00AF5605" w:rsidP="00AF5605">
            <w:pPr>
              <w:pStyle w:val="norm2"/>
              <w:numPr>
                <w:ilvl w:val="0"/>
                <w:numId w:val="16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súlad s požiadavkou stanovenou v článku 45c na konsolidovanom základe ako náhrada za splnenie tejto požiadavky na individuálnom základe podstatne nenarúša žiadnu z týchto skutočností:</w:t>
            </w:r>
          </w:p>
          <w:p w14:paraId="4FC5E495" w14:textId="5726665B" w:rsidR="00AF5605" w:rsidRPr="00AF5605" w:rsidRDefault="00AF5605" w:rsidP="00AF5605">
            <w:pPr>
              <w:pStyle w:val="norm2"/>
              <w:numPr>
                <w:ilvl w:val="0"/>
                <w:numId w:val="19"/>
              </w:numPr>
              <w:shd w:val="clear" w:color="auto" w:fill="FFFFFF"/>
              <w:spacing w:before="0"/>
              <w:ind w:left="1089" w:hanging="425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dôveryhodnosť a uskutočniteľnosť stratégie riešenia krízových situácií skupiny;</w:t>
            </w:r>
          </w:p>
          <w:p w14:paraId="75DF0DA7" w14:textId="77777777" w:rsidR="00AF5605" w:rsidRPr="00AF5605" w:rsidRDefault="00AF5605" w:rsidP="00AF5605">
            <w:pPr>
              <w:pStyle w:val="norm2"/>
              <w:shd w:val="clear" w:color="auto" w:fill="FFFFFF"/>
              <w:spacing w:before="0"/>
              <w:ind w:hanging="425"/>
              <w:rPr>
                <w:color w:val="000000" w:themeColor="text1"/>
                <w:sz w:val="20"/>
                <w:szCs w:val="20"/>
              </w:rPr>
            </w:pPr>
          </w:p>
          <w:p w14:paraId="1F00A4D2" w14:textId="24E44E8E" w:rsidR="00AF5605" w:rsidRPr="00AF5605" w:rsidRDefault="00AF5605" w:rsidP="00AF5605">
            <w:pPr>
              <w:pStyle w:val="norm2"/>
              <w:numPr>
                <w:ilvl w:val="0"/>
                <w:numId w:val="19"/>
              </w:numPr>
              <w:shd w:val="clear" w:color="auto" w:fill="FFFFFF"/>
              <w:spacing w:before="0"/>
              <w:ind w:hanging="425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>schopnosť dcérskej spoločnosti splniť svoju požiadavku na vlastné zdroje po výkone právomocí na odpísanie a konverziu a</w:t>
            </w:r>
          </w:p>
          <w:p w14:paraId="76BFC382" w14:textId="77777777" w:rsidR="00AF5605" w:rsidRPr="00AF5605" w:rsidRDefault="00AF5605" w:rsidP="00AF5605">
            <w:pPr>
              <w:pStyle w:val="norm2"/>
              <w:shd w:val="clear" w:color="auto" w:fill="FFFFFF"/>
              <w:spacing w:before="0"/>
              <w:ind w:hanging="425"/>
              <w:rPr>
                <w:color w:val="000000" w:themeColor="text1"/>
                <w:sz w:val="20"/>
                <w:szCs w:val="20"/>
              </w:rPr>
            </w:pPr>
          </w:p>
          <w:p w14:paraId="2AAFC971" w14:textId="1EB2609C" w:rsidR="00555713" w:rsidRDefault="00AF5605" w:rsidP="00AF5605">
            <w:pPr>
              <w:pStyle w:val="norm2"/>
              <w:numPr>
                <w:ilvl w:val="0"/>
                <w:numId w:val="19"/>
              </w:numPr>
              <w:shd w:val="clear" w:color="auto" w:fill="FFFFFF"/>
              <w:spacing w:before="0"/>
              <w:ind w:hanging="425"/>
              <w:rPr>
                <w:color w:val="000000" w:themeColor="text1"/>
                <w:sz w:val="20"/>
                <w:szCs w:val="20"/>
              </w:rPr>
            </w:pPr>
            <w:r w:rsidRPr="00AF5605">
              <w:rPr>
                <w:color w:val="000000" w:themeColor="text1"/>
                <w:sz w:val="20"/>
                <w:szCs w:val="20"/>
              </w:rPr>
              <w:t xml:space="preserve">primeranosť interného mechanizmu prevodu strát a </w:t>
            </w:r>
            <w:proofErr w:type="spellStart"/>
            <w:r w:rsidRPr="00AF5605">
              <w:rPr>
                <w:color w:val="000000" w:themeColor="text1"/>
                <w:sz w:val="20"/>
                <w:szCs w:val="20"/>
              </w:rPr>
              <w:t>rekapitalizácie</w:t>
            </w:r>
            <w:proofErr w:type="spellEnd"/>
            <w:r w:rsidRPr="00AF5605">
              <w:rPr>
                <w:color w:val="000000" w:themeColor="text1"/>
                <w:sz w:val="20"/>
                <w:szCs w:val="20"/>
              </w:rPr>
              <w:t xml:space="preserve"> vrátane odpísania alebo konverzie relevantných kapitálových nástrojov a oprávnených záväzkov dotknutej dcérskej spoločnosti alebo iných subjektov v skupine, ktorej krízová situácia s</w:t>
            </w:r>
            <w:r>
              <w:rPr>
                <w:color w:val="000000" w:themeColor="text1"/>
                <w:sz w:val="20"/>
                <w:szCs w:val="20"/>
              </w:rPr>
              <w:t>a rieši, v súlade s článkom 59.</w:t>
            </w:r>
          </w:p>
          <w:p w14:paraId="6A61A321" w14:textId="77777777" w:rsidR="00AF5605" w:rsidRDefault="00AF5605" w:rsidP="00AF5605">
            <w:pPr>
              <w:pStyle w:val="Odsekzoznamu"/>
              <w:rPr>
                <w:color w:val="000000" w:themeColor="text1"/>
                <w:sz w:val="20"/>
                <w:szCs w:val="20"/>
              </w:rPr>
            </w:pPr>
          </w:p>
          <w:p w14:paraId="61FC6C04" w14:textId="06C0BA17" w:rsidR="00AF5605" w:rsidRPr="00B41D59" w:rsidRDefault="00AF5605" w:rsidP="00AF5605">
            <w:pPr>
              <w:pStyle w:val="norm2"/>
              <w:shd w:val="clear" w:color="auto" w:fill="FFFFFF"/>
              <w:ind w:left="10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C8C6E6" w14:textId="469FEEBC" w:rsidR="00555713" w:rsidRPr="00286FAD" w:rsidRDefault="003268E4" w:rsidP="00555713">
            <w:pPr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302F" w14:textId="4C9F4FED" w:rsidR="00555713" w:rsidRPr="00286FAD" w:rsidRDefault="00A702ED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Návrh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1132" w14:textId="77777777" w:rsidR="009C7830" w:rsidRPr="00286FA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CA534F8" w14:textId="77777777" w:rsidR="009C7830" w:rsidRPr="00286FA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26EBD93" w14:textId="77777777" w:rsidR="009C7830" w:rsidRPr="00286FA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5A2E1F7" w14:textId="77777777" w:rsidR="009C7830" w:rsidRPr="00286FA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D10DF53" w14:textId="77777777" w:rsidR="009C7830" w:rsidRPr="00286FA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4B1DAAB2" w14:textId="77777777" w:rsidR="009C7830" w:rsidRPr="00286FA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7566145" w14:textId="77777777" w:rsidR="009C7830" w:rsidRPr="00286FA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0E2E773" w14:textId="682BE754" w:rsidR="00555713" w:rsidRPr="00286FAD" w:rsidRDefault="00A702ED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§ 31e</w:t>
            </w:r>
          </w:p>
          <w:p w14:paraId="2B0A9D87" w14:textId="77777777" w:rsidR="00A702ED" w:rsidRPr="00286FAD" w:rsidRDefault="00A702ED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3DC519E" w14:textId="1A578019" w:rsidR="00A702ED" w:rsidRPr="00286FAD" w:rsidRDefault="00A702ED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O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AD7F" w14:textId="77777777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3AD3C87" w14:textId="77777777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5276600" w14:textId="77777777" w:rsidR="009C7830" w:rsidRPr="00286FAD" w:rsidRDefault="009C7830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E869803" w14:textId="77777777" w:rsidR="009C7830" w:rsidRPr="00286FAD" w:rsidRDefault="009C7830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257C0C0" w14:textId="77777777" w:rsidR="009C7830" w:rsidRPr="00286FAD" w:rsidRDefault="009C7830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DF14495" w14:textId="77777777" w:rsidR="009C7830" w:rsidRPr="00286FAD" w:rsidRDefault="009C7830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89EEB98" w14:textId="77777777" w:rsidR="009C7830" w:rsidRPr="00286FAD" w:rsidRDefault="009C7830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BAEB826" w14:textId="6A7C1F21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(4) Rada môže odchylne od odsekov 1 a 2 rozhodnúť, že určí požiadavku podľa § 31b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 xml:space="preserve"> na konsolidovanom základe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pre dcérsku spoločnosť, ak dospeje k záveru, že sú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s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plnené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podmienky</w:t>
            </w:r>
            <w:r w:rsidR="00592E0E">
              <w:rPr>
                <w:b/>
                <w:color w:val="000000" w:themeColor="text1"/>
                <w:sz w:val="20"/>
                <w:szCs w:val="20"/>
              </w:rPr>
              <w:t>, a to:</w:t>
            </w:r>
          </w:p>
          <w:p w14:paraId="76E27AF1" w14:textId="77777777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8DB57A8" w14:textId="4ACB5E03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a)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ab/>
              <w:t>dcérska spoločnosť finančnej inštitúcie spĺňa jednu z týchto podmienok:</w:t>
            </w:r>
          </w:p>
          <w:p w14:paraId="34917CBF" w14:textId="77777777" w:rsidR="006F5266" w:rsidRPr="00286FAD" w:rsidRDefault="006F5266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1BE974E" w14:textId="3D305BF5" w:rsidR="006E4D85" w:rsidRPr="00286FAD" w:rsidRDefault="00592E0E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1. dcérska spoločnosť je v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 xml:space="preserve"> držbe rezolučného subjektu a</w:t>
            </w:r>
          </w:p>
          <w:p w14:paraId="7F524042" w14:textId="77777777" w:rsidR="00825A37" w:rsidRPr="00286FAD" w:rsidRDefault="00825A37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7BF6BEC" w14:textId="4498A738" w:rsidR="006E4D85" w:rsidRPr="00286FAD" w:rsidRDefault="006E4D85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1a. rezolučný subjekt je materskou finančnou holdingovou spoločnosťou v Európskej únii alebo materskou zmiešanou finančnou holdingovou spoločnosťou v Európskej únii,</w:t>
            </w:r>
          </w:p>
          <w:p w14:paraId="2F53DA0C" w14:textId="3E167F57" w:rsidR="006F5266" w:rsidRPr="00286FAD" w:rsidRDefault="006F5266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0200626" w14:textId="77777777" w:rsidR="00825A37" w:rsidRPr="00286FAD" w:rsidRDefault="00825A37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59BF562" w14:textId="1FB14054" w:rsidR="006E4D85" w:rsidRPr="00286FAD" w:rsidRDefault="006E4D85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1b. dcérska spoločnosť aj rezolučný subjekt, majú sídlo v tom istom členskom štáte a sú súčasťou tej istej rezolučnej skupiny,</w:t>
            </w:r>
          </w:p>
          <w:p w14:paraId="6DF2D271" w14:textId="1C3F81EC" w:rsidR="006F5266" w:rsidRPr="00286FAD" w:rsidRDefault="006F5266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B68007E" w14:textId="77777777" w:rsidR="00825A37" w:rsidRPr="00286FAD" w:rsidRDefault="00825A37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B21705D" w14:textId="3B3A0A7C" w:rsidR="006E4D85" w:rsidRDefault="006E4D85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1c. </w:t>
            </w:r>
            <w:r w:rsidR="00592E0E">
              <w:rPr>
                <w:b/>
                <w:color w:val="000000" w:themeColor="text1"/>
                <w:sz w:val="20"/>
                <w:szCs w:val="20"/>
              </w:rPr>
              <w:t>rezolučný subjekt nemá v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držbe, okrem dotknutej dcérskej spoločnosti, žiadnu inú dcérsku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spoločnosť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ani dcérsku osobu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podľa § 1 ods. 3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 xml:space="preserve"> písm. b) až d)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, pričom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táto dcérska spoločnosť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podlieha požiadavkám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podľa tohto paragrafu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alebo požiadavke podľa § 31b,</w:t>
            </w:r>
          </w:p>
          <w:p w14:paraId="3CB1049A" w14:textId="67181A6F" w:rsidR="00592E0E" w:rsidRDefault="00592E0E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2BAF67B" w14:textId="645435D2" w:rsidR="00592E0E" w:rsidRDefault="00592E0E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DA19EAC" w14:textId="20019811" w:rsidR="00592E0E" w:rsidRDefault="00592E0E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833837D" w14:textId="77777777" w:rsidR="00592E0E" w:rsidRPr="00286FAD" w:rsidRDefault="00592E0E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4786895" w14:textId="77777777" w:rsidR="006F5266" w:rsidRPr="00286FAD" w:rsidRDefault="006F5266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CE08FBA" w14:textId="5177AA1D" w:rsidR="006E4D85" w:rsidRPr="00286FAD" w:rsidRDefault="006E4D85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lastRenderedPageBreak/>
              <w:t>1d. dcérska spoločnosť by bola neprimerane postihnutá výškou odpočtov požadov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aných podľa osobitného predpisu,</w:t>
            </w:r>
            <w:r w:rsidR="00365C6C">
              <w:rPr>
                <w:b/>
                <w:color w:val="000000" w:themeColor="text1"/>
                <w:sz w:val="20"/>
                <w:szCs w:val="20"/>
                <w:vertAlign w:val="superscript"/>
              </w:rPr>
              <w:t>70kd</w:t>
            </w:r>
            <w:bookmarkStart w:id="0" w:name="_GoBack"/>
            <w:bookmarkEnd w:id="0"/>
            <w:r w:rsidRPr="000464F7">
              <w:rPr>
                <w:b/>
                <w:color w:val="000000" w:themeColor="text1"/>
                <w:sz w:val="20"/>
                <w:szCs w:val="20"/>
              </w:rPr>
              <w:t>)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FD28F7C" w14:textId="77777777" w:rsidR="009C7830" w:rsidRPr="00286FAD" w:rsidRDefault="009C7830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0D8749A" w14:textId="77777777" w:rsidR="009C7830" w:rsidRPr="00286FAD" w:rsidRDefault="009C7830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DF6BACC" w14:textId="44142282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2. na dcérsku spoločnosť sa vzťahuje požiadavka podľa osobitného predpisu</w:t>
            </w:r>
            <w:r w:rsidRPr="00286FAD">
              <w:rPr>
                <w:b/>
                <w:color w:val="000000" w:themeColor="text1"/>
                <w:sz w:val="20"/>
                <w:szCs w:val="20"/>
                <w:vertAlign w:val="superscript"/>
              </w:rPr>
              <w:t>70qa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) len na konsolidovanom základe a určenie požiadavky podľa § 31b na konsolidovanom základe by neviedlo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 xml:space="preserve">na účely § 31b ods. 1 písm. b) 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k nadhod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 xml:space="preserve">noteniu potrieb </w:t>
            </w:r>
            <w:proofErr w:type="spellStart"/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rekapitalizácie</w:t>
            </w:r>
            <w:proofErr w:type="spellEnd"/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podskupiny pozostávajúcej z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osôb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v rámci dotknutého konsolid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 xml:space="preserve">ovaného </w:t>
            </w:r>
            <w:r w:rsidR="0029029E" w:rsidRPr="00286FAD">
              <w:rPr>
                <w:b/>
                <w:color w:val="000000" w:themeColor="text1"/>
                <w:sz w:val="20"/>
                <w:szCs w:val="20"/>
              </w:rPr>
              <w:t>celku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, najmä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 xml:space="preserve">pri prevahe likvidačných subjektov v rámci tohto konsolidovaného </w:t>
            </w:r>
            <w:r w:rsidR="0029029E" w:rsidRPr="00286FAD">
              <w:rPr>
                <w:b/>
                <w:color w:val="000000" w:themeColor="text1"/>
                <w:sz w:val="20"/>
                <w:szCs w:val="20"/>
              </w:rPr>
              <w:t>celku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14:paraId="1F0E158E" w14:textId="5EDC546B" w:rsidR="009C7830" w:rsidRPr="00286FAD" w:rsidRDefault="009C7830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59F6DE7" w14:textId="67F1B87B" w:rsidR="00825A37" w:rsidRPr="00286FAD" w:rsidRDefault="00825A37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F3F36ED" w14:textId="77777777" w:rsidR="00825A37" w:rsidRPr="00286FAD" w:rsidRDefault="00825A37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D68F110" w14:textId="51F9F9CF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b)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ab/>
              <w:t xml:space="preserve"> </w:t>
            </w:r>
            <w:r w:rsidR="00AB2759" w:rsidRPr="00286FAD">
              <w:rPr>
                <w:b/>
                <w:color w:val="000000" w:themeColor="text1"/>
                <w:sz w:val="20"/>
                <w:szCs w:val="20"/>
              </w:rPr>
              <w:t xml:space="preserve">splnenie požiadavky 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podľa § 31b na konsolidovanom základe ako náhrada za splnenie tejto požiadavky na individuálnom základe podstatne nenarúša žiadnu z týchto skutočností:</w:t>
            </w:r>
          </w:p>
          <w:p w14:paraId="0CC373E1" w14:textId="77777777" w:rsidR="006F5266" w:rsidRPr="00286FAD" w:rsidRDefault="006F5266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DF4BB32" w14:textId="3F1A1D23" w:rsidR="006E4D85" w:rsidRPr="00286FAD" w:rsidRDefault="006E4D85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1. dôveryhodnosť a uskutočniteľnosť stratégie rieš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>enia krízových situácií skupiny,</w:t>
            </w:r>
          </w:p>
          <w:p w14:paraId="7C586E76" w14:textId="5539A780" w:rsidR="006F5266" w:rsidRPr="00286FAD" w:rsidRDefault="006F5266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FDBB404" w14:textId="77777777" w:rsidR="005B1C49" w:rsidRPr="00286FAD" w:rsidRDefault="005B1C49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0BE327A" w14:textId="1CD37CF7" w:rsidR="006E4D85" w:rsidRPr="00286FAD" w:rsidRDefault="006E4D85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2. schopnosť dcérskej spoločnosti finančnej inštitúcie splniť svoju požiadavku na vlastné zdroje po výkone právomocí na odpísanie a konverziu a</w:t>
            </w:r>
          </w:p>
          <w:p w14:paraId="786DDE41" w14:textId="654323BF" w:rsidR="006F5266" w:rsidRPr="00286FAD" w:rsidRDefault="006F5266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BBF49B3" w14:textId="77777777" w:rsidR="005B1C49" w:rsidRPr="00286FAD" w:rsidRDefault="005B1C49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BA32679" w14:textId="225C5D57" w:rsidR="006E4D85" w:rsidRPr="00286FAD" w:rsidRDefault="006E4D85" w:rsidP="006F5266">
            <w:pPr>
              <w:adjustRightInd w:val="0"/>
              <w:ind w:left="66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3. primeranosť interného mechanizmu prevodu strát a kapitalizácie vrátane odpísania alebo konverzie relevantných kapitálových nástrojov a oprávnených záväzkov dotknutej dcérskej spoločnosti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 xml:space="preserve"> finančnej inštitúcie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alebo iných 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>osôb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v rezolučnej skupine, podľa § 70.“.</w:t>
            </w:r>
          </w:p>
          <w:p w14:paraId="4BAD39DA" w14:textId="77777777" w:rsidR="00DC4A64" w:rsidRPr="00286FAD" w:rsidRDefault="00DC4A64" w:rsidP="00DC4A64">
            <w:pPr>
              <w:jc w:val="both"/>
              <w:rPr>
                <w:color w:val="000000" w:themeColor="text1"/>
              </w:rPr>
            </w:pPr>
          </w:p>
          <w:p w14:paraId="57FD6880" w14:textId="673086B8" w:rsidR="00DC4A64" w:rsidRPr="00286FAD" w:rsidRDefault="00DC4A64" w:rsidP="00DC4A64">
            <w:pPr>
              <w:jc w:val="both"/>
              <w:rPr>
                <w:b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Poznámka pod čiarou k odkazu 70qa </w:t>
            </w:r>
            <w:r w:rsidRPr="00286FAD">
              <w:rPr>
                <w:b/>
                <w:sz w:val="20"/>
                <w:szCs w:val="20"/>
              </w:rPr>
              <w:t>znie:</w:t>
            </w:r>
          </w:p>
          <w:p w14:paraId="2F9ECDB8" w14:textId="0FDEAEB5" w:rsidR="00DC4A64" w:rsidRPr="00286FAD" w:rsidRDefault="00DC4A64" w:rsidP="00DC4A64">
            <w:pPr>
              <w:jc w:val="both"/>
              <w:rPr>
                <w:b/>
                <w:sz w:val="20"/>
                <w:szCs w:val="20"/>
              </w:rPr>
            </w:pPr>
            <w:r w:rsidRPr="00286FAD">
              <w:rPr>
                <w:b/>
                <w:sz w:val="20"/>
                <w:szCs w:val="20"/>
                <w:vertAlign w:val="superscript"/>
              </w:rPr>
              <w:lastRenderedPageBreak/>
              <w:t>70qa</w:t>
            </w:r>
            <w:r w:rsidRPr="00286FAD">
              <w:rPr>
                <w:b/>
                <w:sz w:val="20"/>
                <w:szCs w:val="20"/>
              </w:rPr>
              <w:t xml:space="preserve">) § 29a ods. 1 zákona č. 483/2001 Z. z. v znení </w:t>
            </w:r>
            <w:r w:rsidR="0067198F" w:rsidRPr="00286FAD">
              <w:rPr>
                <w:b/>
                <w:sz w:val="20"/>
                <w:szCs w:val="20"/>
              </w:rPr>
              <w:t>zákona č. 340/2020 Z. z.“</w:t>
            </w:r>
            <w:r w:rsidRPr="00286FAD">
              <w:rPr>
                <w:b/>
                <w:sz w:val="20"/>
                <w:szCs w:val="20"/>
              </w:rPr>
              <w:t>.</w:t>
            </w:r>
          </w:p>
          <w:p w14:paraId="4633EC5F" w14:textId="76E7F4FE" w:rsidR="00A702ED" w:rsidRPr="00286FAD" w:rsidRDefault="00A702ED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C769" w14:textId="59AA3E24" w:rsidR="00555713" w:rsidRPr="00B41D59" w:rsidRDefault="006D16EE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91EB3F" w14:textId="77777777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807" w14:textId="438A4ECF" w:rsidR="00555713" w:rsidRPr="00B41D59" w:rsidRDefault="009C7830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  <w:r w:rsidRPr="00B41D59">
              <w:rPr>
                <w:b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23EF71" w14:textId="2288F302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B41D59" w:rsidRPr="00B41D59" w14:paraId="535AF3D3" w14:textId="77777777" w:rsidTr="00286F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3833" w14:textId="77777777" w:rsidR="00091A17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lastRenderedPageBreak/>
              <w:t>čl.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O: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  <w:p w14:paraId="7342E353" w14:textId="2D72303C" w:rsidR="00091A17" w:rsidRPr="00B41D59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 b)</w:t>
            </w:r>
          </w:p>
          <w:p w14:paraId="6817EF72" w14:textId="77777777" w:rsidR="00091A17" w:rsidRPr="00B41D59" w:rsidRDefault="00091A17" w:rsidP="00091A17">
            <w:pPr>
              <w:rPr>
                <w:color w:val="000000" w:themeColor="text1"/>
                <w:sz w:val="20"/>
                <w:szCs w:val="20"/>
              </w:rPr>
            </w:pPr>
          </w:p>
          <w:p w14:paraId="7949D1D6" w14:textId="57F1819A" w:rsidR="00091A17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(Čl. </w:t>
            </w:r>
            <w:r>
              <w:rPr>
                <w:color w:val="000000" w:themeColor="text1"/>
                <w:sz w:val="20"/>
                <w:szCs w:val="20"/>
              </w:rPr>
              <w:t>45f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705C41D" w14:textId="46A22F17" w:rsidR="00091A17" w:rsidRPr="00B41D59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 2a a 2b</w:t>
            </w:r>
          </w:p>
          <w:p w14:paraId="7741C0BF" w14:textId="2003EE63" w:rsidR="00555713" w:rsidRPr="00B41D59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AB67" w14:textId="72985EEB" w:rsidR="00091A17" w:rsidRPr="00286FAD" w:rsidRDefault="005B1C49" w:rsidP="00091A17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 xml:space="preserve">b) </w:t>
            </w:r>
            <w:r w:rsidR="00091A17" w:rsidRPr="00286FAD">
              <w:rPr>
                <w:color w:val="000000" w:themeColor="text1"/>
                <w:sz w:val="20"/>
                <w:szCs w:val="20"/>
              </w:rPr>
              <w:t>Vkladajú sa tieto odseky:</w:t>
            </w:r>
          </w:p>
          <w:p w14:paraId="7FB5D8FE" w14:textId="77777777" w:rsidR="00091A17" w:rsidRPr="00286FAD" w:rsidRDefault="00091A17" w:rsidP="00091A17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„2a.   Ak subjekt uvedený v odseku 1 spĺňa požiadavku uvedenú v článku 45 ods. 1 na konsolidovanom základe, suma vlastných zdrojov a oprávnených záväzkov tohto subjektu zahŕňa nasledujúce záväzky emitované v súlade s odsekom 2 písm. a) tohto článku dcérskou spoločnosťou usadenou v Únii zahrnutou do konsolidácie tohto subjektu:</w:t>
            </w:r>
          </w:p>
          <w:p w14:paraId="1EF4B68F" w14:textId="34F4C1C2" w:rsidR="00091A17" w:rsidRPr="00286FAD" w:rsidRDefault="00091A17" w:rsidP="00091A17">
            <w:pPr>
              <w:pStyle w:val="norm2"/>
              <w:numPr>
                <w:ilvl w:val="0"/>
                <w:numId w:val="20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záväzky emitované v prospech subjektu, ktorého krízová situácia sa rieši, a kúpené týmto subjektom, a to buď priamo, alebo nepriamo prostredníctvom iných subjektov v tej istej skupine, ktorej krízová situácia sa rieši, ktoré nie sú zahrnuté do konsolidácie subjektu spĺňajúceho požiadavku uvedenú v článku 45 ods. 1 na konsolidovanom základe;</w:t>
            </w:r>
          </w:p>
          <w:p w14:paraId="7ACAECEE" w14:textId="6107C008" w:rsidR="00091A17" w:rsidRDefault="00091A17" w:rsidP="00091A17">
            <w:pPr>
              <w:pStyle w:val="norm2"/>
              <w:numPr>
                <w:ilvl w:val="0"/>
                <w:numId w:val="20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záväzky emitované existujúcemu akcionárovi, ktorý nie je súčasťou tej istej skupiny, ktorej krízová situácia sa rieši.</w:t>
            </w:r>
          </w:p>
          <w:p w14:paraId="015EDA89" w14:textId="77777777" w:rsidR="00E60C8B" w:rsidRPr="00286FAD" w:rsidRDefault="00E60C8B" w:rsidP="00E60C8B">
            <w:pPr>
              <w:pStyle w:val="norm2"/>
              <w:shd w:val="clear" w:color="auto" w:fill="FFFFFF"/>
              <w:ind w:left="720"/>
              <w:rPr>
                <w:color w:val="000000" w:themeColor="text1"/>
                <w:sz w:val="20"/>
                <w:szCs w:val="20"/>
              </w:rPr>
            </w:pPr>
          </w:p>
          <w:p w14:paraId="0071B299" w14:textId="77777777" w:rsidR="00091A17" w:rsidRPr="00286FAD" w:rsidRDefault="00091A17" w:rsidP="00091A17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2b.   Záväzky uvedené odseku 2a písm. a) a b) tohto článku nesmú presiahnuť sumu určenú odpočítaním súčtu všetkých nasledujúcich hodnôt od sumy požiadavky uvedenej v článku 45 ods. 1 uplatniteľnej na dcérsku spoločnosť zahrnutú do konsolidácie:</w:t>
            </w:r>
          </w:p>
          <w:p w14:paraId="14B73805" w14:textId="04BD5E23" w:rsidR="00091A17" w:rsidRPr="00286FAD" w:rsidRDefault="00091A17" w:rsidP="00091A17">
            <w:pPr>
              <w:pStyle w:val="norm2"/>
              <w:numPr>
                <w:ilvl w:val="0"/>
                <w:numId w:val="21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 xml:space="preserve">záväzky emitované v prospech subjektu, ktorý spĺňa požiadavku uvedenú v článku 45 ods. 1 na konsolidovanom základe, a kúpené týmto subjektom, a to buď priamo, alebo nepriamo prostredníctvom iných subjektov v tej istej skupine, </w:t>
            </w:r>
            <w:r w:rsidRPr="00286FAD">
              <w:rPr>
                <w:color w:val="000000" w:themeColor="text1"/>
                <w:sz w:val="20"/>
                <w:szCs w:val="20"/>
              </w:rPr>
              <w:lastRenderedPageBreak/>
              <w:t>ktorej krízová situácia sa rieši, ktoré sú zahrnuté do konsolidácie uvedeného subjektu;</w:t>
            </w:r>
          </w:p>
          <w:p w14:paraId="308C485D" w14:textId="11583021" w:rsidR="00555713" w:rsidRPr="00286FAD" w:rsidRDefault="00091A17" w:rsidP="00091A17">
            <w:pPr>
              <w:pStyle w:val="norm2"/>
              <w:numPr>
                <w:ilvl w:val="0"/>
                <w:numId w:val="21"/>
              </w:num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suma vlastných zdrojov, ktoré sú emitované v súlade s odsekom 2 písm. b) tohto článku.“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0DDB2" w14:textId="311967BB" w:rsidR="00555713" w:rsidRPr="00286FAD" w:rsidRDefault="00555713" w:rsidP="00555713">
            <w:pPr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BB32" w14:textId="7ED2A214" w:rsidR="00555713" w:rsidRPr="00286FAD" w:rsidRDefault="00563508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Návrh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0EE4" w14:textId="77777777" w:rsidR="00555713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§ 31e</w:t>
            </w:r>
          </w:p>
          <w:p w14:paraId="44D29FAB" w14:textId="6CE6E191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O 1</w:t>
            </w:r>
            <w:r w:rsidR="00DC4A64" w:rsidRPr="00286FAD">
              <w:rPr>
                <w:color w:val="000000" w:themeColor="text1"/>
              </w:rPr>
              <w:t>1</w:t>
            </w:r>
          </w:p>
          <w:p w14:paraId="56D26623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259CBBBE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4562A509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49BD330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1C616375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D5BE9A4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2F508AA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4A5935C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DE1C4BD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CFD0835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8F5CAEA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23F2700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2A17D8E3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13D4C8EE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994A8A6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610CA6D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FE5CB4D" w14:textId="77777777" w:rsidR="006E4D85" w:rsidRPr="00286FAD" w:rsidRDefault="006E4D85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924803B" w14:textId="77777777" w:rsidR="009C7830" w:rsidRPr="00286FA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E5BADF0" w14:textId="77777777" w:rsidR="009C7830" w:rsidRPr="00286FAD" w:rsidRDefault="009C7830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DD481C0" w14:textId="77777777" w:rsidR="00956822" w:rsidRPr="00286FAD" w:rsidRDefault="00956822" w:rsidP="00DC4A64">
            <w:pPr>
              <w:pStyle w:val="Normlny0"/>
              <w:rPr>
                <w:color w:val="000000" w:themeColor="text1"/>
              </w:rPr>
            </w:pPr>
          </w:p>
          <w:p w14:paraId="6F85193C" w14:textId="77777777" w:rsidR="00956822" w:rsidRPr="00286FAD" w:rsidRDefault="00956822" w:rsidP="00DC4A64">
            <w:pPr>
              <w:pStyle w:val="Normlny0"/>
              <w:rPr>
                <w:color w:val="000000" w:themeColor="text1"/>
              </w:rPr>
            </w:pPr>
          </w:p>
          <w:p w14:paraId="079F8DA4" w14:textId="77777777" w:rsidR="0067198F" w:rsidRPr="00286FAD" w:rsidRDefault="0067198F" w:rsidP="00DC4A64">
            <w:pPr>
              <w:pStyle w:val="Normlny0"/>
              <w:rPr>
                <w:color w:val="000000" w:themeColor="text1"/>
              </w:rPr>
            </w:pPr>
          </w:p>
          <w:p w14:paraId="215CCFEA" w14:textId="77777777" w:rsidR="0067198F" w:rsidRPr="00286FAD" w:rsidRDefault="0067198F" w:rsidP="00DC4A64">
            <w:pPr>
              <w:pStyle w:val="Normlny0"/>
              <w:rPr>
                <w:color w:val="000000" w:themeColor="text1"/>
              </w:rPr>
            </w:pPr>
          </w:p>
          <w:p w14:paraId="6FD5C17E" w14:textId="77777777" w:rsidR="0067198F" w:rsidRPr="00286FAD" w:rsidRDefault="0067198F" w:rsidP="00DC4A64">
            <w:pPr>
              <w:pStyle w:val="Normlny0"/>
              <w:rPr>
                <w:color w:val="000000" w:themeColor="text1"/>
              </w:rPr>
            </w:pPr>
          </w:p>
          <w:p w14:paraId="40EB5C95" w14:textId="4D497784" w:rsidR="006E4D85" w:rsidRPr="00286FAD" w:rsidRDefault="006E4D85" w:rsidP="00DC4A64">
            <w:pPr>
              <w:pStyle w:val="Normlny0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O 1</w:t>
            </w:r>
            <w:r w:rsidR="00DC4A64" w:rsidRPr="00286FAD">
              <w:rPr>
                <w:color w:val="000000" w:themeColor="text1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81CE" w14:textId="77777777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C77D40D" w14:textId="57257BCA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(1</w:t>
            </w:r>
            <w:r w:rsidR="00DC4A64" w:rsidRPr="00286FAD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)  Ak vybraná inštitúcia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>, ktorá je dcérskou spoločnosťou rezolučného subjektu alebo osoby podľa § 1 ods. 3 z tretej krajiny a nie je sama rezolučným subjektom spĺňa požiadavku podľa § 31 ods. 1 na konsolidovanom základe, suma jej vlastných zdrojov a oprávnených záväzkov zahŕňa záväzky emitované podľa odseku 6 pí</w:t>
            </w:r>
            <w:r w:rsidR="00E60C8B">
              <w:rPr>
                <w:b/>
                <w:color w:val="000000" w:themeColor="text1"/>
                <w:sz w:val="20"/>
                <w:szCs w:val="20"/>
              </w:rPr>
              <w:t>sm. a) dcérskou spoločnosťou v E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 xml:space="preserve">urópskej únii zahrnutou do konsolidovaného </w:t>
            </w:r>
            <w:r w:rsidR="00394A62" w:rsidRPr="00286FAD">
              <w:rPr>
                <w:b/>
                <w:color w:val="000000" w:themeColor="text1"/>
                <w:sz w:val="20"/>
                <w:szCs w:val="20"/>
              </w:rPr>
              <w:t>celku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 xml:space="preserve"> tejto vybranej inštitúcie, a to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5123955C" w14:textId="77777777" w:rsidR="005B1C49" w:rsidRPr="00286FAD" w:rsidRDefault="005B1C49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C0EB79D" w14:textId="1B42C787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a)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ab/>
              <w:t>záväzky emitované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 xml:space="preserve"> a kúpené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v prospech rezolučného subjektu, a to buď priamo, alebo nepriamo prostredníctvom iných 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>osôb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v tej istej rezolučnej skupine, ktoré nie sú zahrnuté do konsolidovaného </w:t>
            </w:r>
            <w:r w:rsidR="00394A62" w:rsidRPr="00286FAD">
              <w:rPr>
                <w:b/>
                <w:color w:val="000000" w:themeColor="text1"/>
                <w:sz w:val="20"/>
                <w:szCs w:val="20"/>
              </w:rPr>
              <w:t>celku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 xml:space="preserve">vybranej inštitúcie, ktorá je dcérskou spoločnosťou rezolučného subjektu alebo osoby podľa § 1 ods. 3 z tretej krajiny a nie je sama rezolučných subjektom 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spĺňajúce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 xml:space="preserve">j požiadavku 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podľa § 31 ods. 1 na konsolidovanom základe,</w:t>
            </w:r>
          </w:p>
          <w:p w14:paraId="2BA6C10D" w14:textId="2043B2FF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b)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ab/>
              <w:t xml:space="preserve">záväzky emitované 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>v prospech existujúceho akcionára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, ktorý nie je súčasťou tej istej rezolučnej skupiny.</w:t>
            </w:r>
          </w:p>
          <w:p w14:paraId="2D5691E8" w14:textId="77777777" w:rsidR="006E4D85" w:rsidRPr="00286FAD" w:rsidRDefault="006E4D85" w:rsidP="003A51D3">
            <w:pPr>
              <w:adjustRightInd w:val="0"/>
              <w:ind w:left="299" w:hanging="29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F3AB519" w14:textId="23F2CE40" w:rsidR="00E60C8B" w:rsidRPr="00E60C8B" w:rsidRDefault="006E4D85" w:rsidP="00E60C8B">
            <w:pPr>
              <w:ind w:left="426" w:hanging="4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(1</w:t>
            </w:r>
            <w:r w:rsidR="00DC4A64" w:rsidRPr="00286FAD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E60C8B">
              <w:rPr>
                <w:b/>
                <w:color w:val="000000" w:themeColor="text1"/>
                <w:sz w:val="20"/>
                <w:szCs w:val="20"/>
              </w:rPr>
              <w:t xml:space="preserve">) </w:t>
            </w:r>
            <w:r w:rsidR="00E60C8B" w:rsidRPr="00E60C8B">
              <w:rPr>
                <w:b/>
                <w:color w:val="000000" w:themeColor="text1"/>
                <w:sz w:val="20"/>
                <w:szCs w:val="20"/>
              </w:rPr>
              <w:t>Záväzky podľa odseku 11 nesmú presiahnuť hodnotu určenú odpočítaním súčtu všetkých nasledujúcich hodnôt od hodnoty požiadavky uvedenej v § 31 ods. 1 uplatniteľnej na dcérsku spoločnosť zahrnutú do konsolidovaného celku, a to:</w:t>
            </w:r>
          </w:p>
          <w:p w14:paraId="5A423787" w14:textId="2C590C4D" w:rsidR="00E60C8B" w:rsidRDefault="00E60C8B" w:rsidP="00E60C8B">
            <w:pPr>
              <w:pStyle w:val="Odsekzoznamu"/>
              <w:numPr>
                <w:ilvl w:val="1"/>
                <w:numId w:val="26"/>
              </w:numPr>
              <w:autoSpaceDE/>
              <w:autoSpaceDN/>
              <w:spacing w:line="259" w:lineRule="auto"/>
              <w:ind w:left="426" w:hanging="4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60C8B">
              <w:rPr>
                <w:b/>
                <w:color w:val="000000" w:themeColor="text1"/>
                <w:sz w:val="20"/>
                <w:szCs w:val="20"/>
              </w:rPr>
              <w:t xml:space="preserve">záväzkov emitovaných a kúpených v prospech osoby podľa § 1 ods. 3 písm. b) až d), ktorá spĺňa požiadavku podľa § 31 ods. 1 na konsolidovanom základe, a to buď priamo, alebo nepriamo prostredníctvom iných osôb tej istej skupiny </w:t>
            </w:r>
            <w:r w:rsidRPr="00E60C8B">
              <w:rPr>
                <w:b/>
                <w:color w:val="000000" w:themeColor="text1"/>
                <w:sz w:val="20"/>
                <w:szCs w:val="20"/>
              </w:rPr>
              <w:lastRenderedPageBreak/>
              <w:t>rezolučnej skupiny, ktoré sú zahrnuté do konsolidovaného celku uvedenej osoby,</w:t>
            </w:r>
          </w:p>
          <w:p w14:paraId="6F39A1B0" w14:textId="77777777" w:rsidR="00E60C8B" w:rsidRDefault="00E60C8B" w:rsidP="00E60C8B">
            <w:pPr>
              <w:pStyle w:val="Odsekzoznamu"/>
              <w:autoSpaceDE/>
              <w:autoSpaceDN/>
              <w:spacing w:line="259" w:lineRule="auto"/>
              <w:ind w:left="426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04B9DCB" w14:textId="68523A78" w:rsidR="00555713" w:rsidRPr="00E60C8B" w:rsidRDefault="00E60C8B" w:rsidP="00E60C8B">
            <w:pPr>
              <w:pStyle w:val="Odsekzoznamu"/>
              <w:numPr>
                <w:ilvl w:val="1"/>
                <w:numId w:val="26"/>
              </w:numPr>
              <w:autoSpaceDE/>
              <w:autoSpaceDN/>
              <w:spacing w:line="259" w:lineRule="auto"/>
              <w:ind w:left="426" w:hanging="4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60C8B">
              <w:rPr>
                <w:b/>
                <w:color w:val="000000" w:themeColor="text1"/>
                <w:sz w:val="20"/>
                <w:szCs w:val="20"/>
              </w:rPr>
              <w:t>sumy vlastných zdrojov, ktoré sú emitované v súlade s odsekom 6 písm. b).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2A2C" w14:textId="1D96F3B4" w:rsidR="00555713" w:rsidRPr="00286FAD" w:rsidRDefault="00555713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EBA105" w14:textId="5ADE5E7C" w:rsidR="00555713" w:rsidRPr="00B41D59" w:rsidRDefault="00555713" w:rsidP="005557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7C9" w14:textId="491B7000" w:rsidR="00555713" w:rsidRPr="00B41D59" w:rsidRDefault="009C7830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  <w:r w:rsidRPr="00B41D59">
              <w:rPr>
                <w:b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0AB1FC" w14:textId="77777777" w:rsidR="00555713" w:rsidRPr="00B41D59" w:rsidRDefault="00555713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91A17" w:rsidRPr="00B41D59" w14:paraId="6EDA440B" w14:textId="77777777" w:rsidTr="00286F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262E" w14:textId="5E3B164C" w:rsidR="00091A17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čl.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O: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  <w:p w14:paraId="1231CAC2" w14:textId="77777777" w:rsidR="00091A17" w:rsidRPr="00B41D59" w:rsidRDefault="00091A17" w:rsidP="00091A17">
            <w:pPr>
              <w:rPr>
                <w:color w:val="000000" w:themeColor="text1"/>
                <w:sz w:val="20"/>
                <w:szCs w:val="20"/>
              </w:rPr>
            </w:pPr>
          </w:p>
          <w:p w14:paraId="1B3C3D16" w14:textId="61D8611C" w:rsidR="00091A17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(Čl. </w:t>
            </w:r>
            <w:r>
              <w:rPr>
                <w:color w:val="000000" w:themeColor="text1"/>
                <w:sz w:val="20"/>
                <w:szCs w:val="20"/>
              </w:rPr>
              <w:t>45i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10028D7" w14:textId="1FE3723F" w:rsidR="00091A17" w:rsidRPr="00B41D59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 4</w:t>
            </w:r>
          </w:p>
          <w:p w14:paraId="06ED0056" w14:textId="2E2BB49F" w:rsidR="00091A17" w:rsidRPr="00B41D59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8679" w14:textId="6A96EDB8" w:rsidR="00091A17" w:rsidRPr="00286FAD" w:rsidRDefault="00091A17" w:rsidP="00091A17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V článku 45i sa odsek 4 nahrádza takto:</w:t>
            </w:r>
          </w:p>
          <w:p w14:paraId="4D32A8ED" w14:textId="434BE620" w:rsidR="00091A17" w:rsidRPr="00286FAD" w:rsidRDefault="00091A17" w:rsidP="00091A17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 xml:space="preserve">4.   Odseky 1 a 3 sa neuplatňujú na likvidačný subjekt, pokiaľ orgán pre riešenie krízových situácií neurčil požiadavku uvedenú v článku 45 ods. 1 pre takýto subjekt v súlade s článkom 45c ods. 2a druhým </w:t>
            </w:r>
            <w:proofErr w:type="spellStart"/>
            <w:r w:rsidRPr="00286FAD">
              <w:rPr>
                <w:color w:val="000000" w:themeColor="text1"/>
                <w:sz w:val="20"/>
                <w:szCs w:val="20"/>
              </w:rPr>
              <w:t>pododsekom</w:t>
            </w:r>
            <w:proofErr w:type="spellEnd"/>
            <w:r w:rsidRPr="00286FAD">
              <w:rPr>
                <w:color w:val="000000" w:themeColor="text1"/>
                <w:sz w:val="20"/>
                <w:szCs w:val="20"/>
              </w:rPr>
              <w:t xml:space="preserve">. V takom prípade orgán pre riešenie krízových situácií určí obsah a frekvenciu povinností týkajúcich sa podávania správ a zverejňovania informácií uvedených v odsekoch 5 a 6 tohto článku pre daný subjekt. Orgán pre riešenie krízových situácií oznámi tieto povinnosti týkajúce sa podávania správ a zverejňovania informácií dotknutému likvidačnému subjektu. Uvedené povinnosti týkajúce sa podávania správ a zverejňovania informácií nesmú presahovať rámec toho, čo je potrebné na monitorovanie plnenia požiadavky určenej podľa článku 45c ods. 2a druhého </w:t>
            </w:r>
            <w:proofErr w:type="spellStart"/>
            <w:r w:rsidRPr="00286FAD">
              <w:rPr>
                <w:color w:val="000000" w:themeColor="text1"/>
                <w:sz w:val="20"/>
                <w:szCs w:val="20"/>
              </w:rPr>
              <w:t>pododseku</w:t>
            </w:r>
            <w:proofErr w:type="spellEnd"/>
            <w:r w:rsidRPr="00286FA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76317" w14:textId="09EFF6B1" w:rsidR="00091A17" w:rsidRPr="00286FAD" w:rsidRDefault="00963DEF" w:rsidP="00555713">
            <w:pPr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3EC7" w14:textId="52AB64D3" w:rsidR="00091A17" w:rsidRPr="00286FAD" w:rsidRDefault="00563508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Návrh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FB42" w14:textId="77777777" w:rsidR="00091A17" w:rsidRPr="00286FAD" w:rsidRDefault="006D16EE" w:rsidP="00555713">
            <w:pPr>
              <w:pStyle w:val="Normlny0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§ 31g</w:t>
            </w:r>
          </w:p>
          <w:p w14:paraId="4A503A04" w14:textId="77777777" w:rsidR="006D16EE" w:rsidRPr="00286FAD" w:rsidRDefault="006D16EE" w:rsidP="00555713">
            <w:pPr>
              <w:pStyle w:val="Normlny0"/>
              <w:rPr>
                <w:color w:val="000000" w:themeColor="text1"/>
              </w:rPr>
            </w:pPr>
          </w:p>
          <w:p w14:paraId="59020E77" w14:textId="3F3C0332" w:rsidR="006D16EE" w:rsidRPr="00286FAD" w:rsidRDefault="006D16EE" w:rsidP="00555713">
            <w:pPr>
              <w:pStyle w:val="Normlny0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O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7795" w14:textId="77777777" w:rsidR="006D16EE" w:rsidRPr="00286FAD" w:rsidRDefault="006D16EE" w:rsidP="003A51D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0EAD106" w14:textId="77777777" w:rsidR="006D16EE" w:rsidRPr="00286FAD" w:rsidRDefault="006D16EE" w:rsidP="003A51D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511A7D9" w14:textId="692DEACD" w:rsidR="00091A17" w:rsidRPr="00286FAD" w:rsidRDefault="006D16EE" w:rsidP="003A51D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(6) Odseky 1 až 5 sa neuplatňujú na likvidačný subjekt, 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>ak r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ada neurčila požiadavku podľa § 31 ods. 1 pre likvidačný subjekt v súlade s § 31b ods. 4. </w:t>
            </w:r>
            <w:r w:rsidR="0067198F" w:rsidRPr="00286FAD">
              <w:rPr>
                <w:b/>
                <w:color w:val="000000" w:themeColor="text1"/>
                <w:sz w:val="20"/>
                <w:szCs w:val="20"/>
              </w:rPr>
              <w:t>Ak r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ada postupuje podľa § 31b ods. 4 určí pre likvidačný subjekt obsah a frekvenciu povinností týkajúcich sa podávania správ a zverejňovania informácií podľa osobitného predpisu.</w:t>
            </w:r>
            <w:r w:rsidRPr="00286FAD">
              <w:rPr>
                <w:b/>
                <w:color w:val="000000" w:themeColor="text1"/>
                <w:sz w:val="20"/>
                <w:szCs w:val="20"/>
                <w:vertAlign w:val="superscript"/>
              </w:rPr>
              <w:t>70xa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) Rada oznámi tieto povinnosti týkajúce sa podávania správ a zverejňovania informácií dotknutému likvidačnému subjektu. </w:t>
            </w:r>
            <w:r w:rsidR="008943AC" w:rsidRPr="00286FAD">
              <w:rPr>
                <w:b/>
                <w:color w:val="000000" w:themeColor="text1"/>
                <w:sz w:val="20"/>
                <w:szCs w:val="20"/>
              </w:rPr>
              <w:t>P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ovinnosti týkajúce sa podávania správ a zverejňovania informácií nesmú presahovať rámec toho, čo je potrebné na monitorovanie plnenia požiadavky určenej podľa § 31b ods. 4.</w:t>
            </w:r>
          </w:p>
          <w:p w14:paraId="6DB53F0F" w14:textId="77777777" w:rsidR="00DC4A64" w:rsidRPr="00286FAD" w:rsidRDefault="00DC4A64" w:rsidP="003A51D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6F23B91" w14:textId="77777777" w:rsidR="00DC4A64" w:rsidRPr="00286FAD" w:rsidRDefault="00DC4A64" w:rsidP="00DC4A6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Poznámka pod čiarou k odkazu 70xa znie:</w:t>
            </w:r>
          </w:p>
          <w:p w14:paraId="3EF1D195" w14:textId="408418D8" w:rsidR="00DC4A64" w:rsidRPr="00286FAD" w:rsidRDefault="00DC4A64" w:rsidP="00DC4A6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„</w:t>
            </w:r>
            <w:r w:rsidRPr="00286FAD">
              <w:rPr>
                <w:b/>
                <w:color w:val="000000" w:themeColor="text1"/>
                <w:sz w:val="20"/>
                <w:szCs w:val="20"/>
                <w:vertAlign w:val="superscript"/>
              </w:rPr>
              <w:t>70xa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) Vykonávacie nariadenie Komisie (EÚ) č. 2021/763</w:t>
            </w:r>
            <w:r w:rsidR="008943AC" w:rsidRPr="00286FAD">
              <w:rPr>
                <w:b/>
                <w:color w:val="000000" w:themeColor="text1"/>
                <w:sz w:val="20"/>
                <w:szCs w:val="20"/>
              </w:rPr>
              <w:t xml:space="preserve"> z 23. apríla 2021, ktorým sa stanovujú vykonávacie technické predpisy na uplatňovanie nariadenia Európskeho parlamentu a Rady (EÚ) č. 575/2013 a smernice Európskeho parlamentu a Rady 2014/59/EÚ, pokiaľ ide o podávanie správ na účely dohľadu a zverejňovania informácií o minimálnej požiadavke na vlastné zdroje a oprávnené záväzky (Ú. v. EÚ L 168, 12.5.2021) v platnom znení.“.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1F9D" w14:textId="2A27B310" w:rsidR="00091A17" w:rsidRPr="00B101AC" w:rsidRDefault="00963DEF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60C8B">
              <w:rPr>
                <w:color w:val="000000" w:themeColor="text1"/>
                <w:sz w:val="20"/>
                <w:szCs w:val="20"/>
              </w:rPr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83A5C0" w14:textId="77777777" w:rsidR="00091A17" w:rsidRPr="00B41D59" w:rsidRDefault="00091A17" w:rsidP="005557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6D0" w14:textId="025A95E4" w:rsidR="00091A17" w:rsidRPr="00B41D59" w:rsidRDefault="009C7830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  <w:r w:rsidRPr="00B41D59">
              <w:rPr>
                <w:b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2CEF03" w14:textId="77777777" w:rsidR="00091A17" w:rsidRPr="00B41D59" w:rsidRDefault="00091A17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91A17" w:rsidRPr="00B41D59" w14:paraId="04C4CA83" w14:textId="77777777" w:rsidTr="00286F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1F28" w14:textId="417EC50C" w:rsidR="00091A17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čl.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O: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  <w:p w14:paraId="4220062A" w14:textId="77777777" w:rsidR="00091A17" w:rsidRPr="00B41D59" w:rsidRDefault="00091A17" w:rsidP="00091A17">
            <w:pPr>
              <w:rPr>
                <w:color w:val="000000" w:themeColor="text1"/>
                <w:sz w:val="20"/>
                <w:szCs w:val="20"/>
              </w:rPr>
            </w:pPr>
          </w:p>
          <w:p w14:paraId="619961C8" w14:textId="1B56DBD1" w:rsidR="00091A17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(Čl. </w:t>
            </w:r>
            <w:r>
              <w:rPr>
                <w:color w:val="000000" w:themeColor="text1"/>
                <w:sz w:val="20"/>
                <w:szCs w:val="20"/>
              </w:rPr>
              <w:t>45j</w:t>
            </w:r>
            <w:r w:rsidRPr="00B41D5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4491E68" w14:textId="1EDB91FD" w:rsidR="00091A17" w:rsidRPr="00B41D59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 1</w:t>
            </w:r>
          </w:p>
          <w:p w14:paraId="758E3B38" w14:textId="14205313" w:rsidR="00091A17" w:rsidRPr="00B41D59" w:rsidRDefault="00091A17" w:rsidP="00091A17">
            <w:pPr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smer. 2014/59)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A749" w14:textId="77777777" w:rsidR="00091A17" w:rsidRPr="00286FAD" w:rsidRDefault="00091A17" w:rsidP="00091A17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V článku 45j sa odsek 1 nahrádza takto:</w:t>
            </w:r>
          </w:p>
          <w:p w14:paraId="6C82C169" w14:textId="2C5F453A" w:rsidR="00091A17" w:rsidRPr="00286FAD" w:rsidRDefault="00091A17" w:rsidP="00091A17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 xml:space="preserve">1.   Orgány pre riešenie krízových situácií informujú EBA o minimálnej požiadavke na vlastné zdroje a oprávnené záväzky stanovenej v súlade s článkom 45e alebo 45f vrátane rozhodnutí prijatých podľa článku 45f ods. 1 štvrtého </w:t>
            </w:r>
            <w:proofErr w:type="spellStart"/>
            <w:r w:rsidRPr="00286FAD">
              <w:rPr>
                <w:color w:val="000000" w:themeColor="text1"/>
                <w:sz w:val="20"/>
                <w:szCs w:val="20"/>
              </w:rPr>
              <w:t>pododseku</w:t>
            </w:r>
            <w:proofErr w:type="spellEnd"/>
            <w:r w:rsidRPr="00286FAD">
              <w:rPr>
                <w:color w:val="000000" w:themeColor="text1"/>
                <w:sz w:val="20"/>
                <w:szCs w:val="20"/>
              </w:rPr>
              <w:t xml:space="preserve"> pre každý subjekt v ich jurisdikcii.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42D2E7" w14:textId="4C9F5E10" w:rsidR="00091A17" w:rsidRPr="00286FAD" w:rsidRDefault="004102E7" w:rsidP="00555713">
            <w:pPr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C833" w14:textId="4A203523" w:rsidR="00091A17" w:rsidRPr="00286FAD" w:rsidRDefault="00563508" w:rsidP="005557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371/2014a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Návrh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4ECF" w14:textId="77777777" w:rsidR="00091A17" w:rsidRPr="00286FAD" w:rsidRDefault="006D16EE" w:rsidP="00555713">
            <w:pPr>
              <w:pStyle w:val="Normlny0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§ 31h</w:t>
            </w:r>
          </w:p>
          <w:p w14:paraId="6EA81E86" w14:textId="77777777" w:rsidR="006D16EE" w:rsidRPr="00286FAD" w:rsidRDefault="006D16EE" w:rsidP="00555713">
            <w:pPr>
              <w:pStyle w:val="Normlny0"/>
              <w:rPr>
                <w:color w:val="000000" w:themeColor="text1"/>
              </w:rPr>
            </w:pPr>
          </w:p>
          <w:p w14:paraId="668A3619" w14:textId="5083E2FF" w:rsidR="006D16EE" w:rsidRPr="00286FAD" w:rsidRDefault="006D16EE" w:rsidP="00555713">
            <w:pPr>
              <w:pStyle w:val="Normlny0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5ABC" w14:textId="259DE266" w:rsidR="00091A17" w:rsidRPr="00286FAD" w:rsidRDefault="006D16EE" w:rsidP="003A51D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Rada je povinná informovať Európsky orgán dohľadu (Európsky orgán pre bankovníctvo) o minimálnej požiadavke, ktorú určila pre každú osobu podľa § 1 ods. 3 v súlade s § 31d alebo § 31e</w:t>
            </w:r>
            <w:r w:rsidR="008943AC" w:rsidRPr="00286FAD">
              <w:rPr>
                <w:color w:val="000000" w:themeColor="text1"/>
                <w:sz w:val="20"/>
                <w:szCs w:val="20"/>
              </w:rPr>
              <w:t>,</w:t>
            </w:r>
            <w:r w:rsidR="008943AC" w:rsidRPr="00286FA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vrátane rozhodnutí prijatých podľa § 31e ods. 4.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CF97" w14:textId="594665E3" w:rsidR="00091A17" w:rsidRPr="00B101AC" w:rsidRDefault="004102E7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339FE8" w14:textId="77777777" w:rsidR="00091A17" w:rsidRPr="00B41D59" w:rsidRDefault="00091A17" w:rsidP="005557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F22" w14:textId="4ECB9FDD" w:rsidR="00091A17" w:rsidRPr="00B41D59" w:rsidRDefault="009C7830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  <w:r w:rsidRPr="00B41D59">
              <w:rPr>
                <w:b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63BE7" w14:textId="77777777" w:rsidR="00091A17" w:rsidRPr="00B41D59" w:rsidRDefault="00091A17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8662E1" w:rsidRPr="00B41D59" w14:paraId="102504BF" w14:textId="77777777" w:rsidTr="00286F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2F76" w14:textId="612B2268" w:rsidR="008662E1" w:rsidRPr="00286FAD" w:rsidRDefault="008662E1" w:rsidP="00091A17">
            <w:pPr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lastRenderedPageBreak/>
              <w:t>Čl.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9078" w14:textId="33D9A239" w:rsidR="008662E1" w:rsidRPr="00286FAD" w:rsidRDefault="008662E1" w:rsidP="005051A6">
            <w:pPr>
              <w:shd w:val="clear" w:color="auto" w:fill="FFFFFF"/>
              <w:autoSpaceDE/>
              <w:autoSpaceDN/>
              <w:spacing w:before="60" w:after="120" w:line="312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286FAD">
              <w:rPr>
                <w:b/>
                <w:bCs/>
                <w:color w:val="333333"/>
                <w:sz w:val="20"/>
                <w:szCs w:val="20"/>
              </w:rPr>
              <w:t>Zmeny nariadenia (EÚ) č. 806/2014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FD13D3" w14:textId="60616E67" w:rsidR="008662E1" w:rsidRPr="00286FAD" w:rsidRDefault="005051A6" w:rsidP="0055571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86FAD">
              <w:rPr>
                <w:color w:val="000000" w:themeColor="text1"/>
                <w:sz w:val="20"/>
                <w:szCs w:val="20"/>
              </w:rPr>
              <w:t>n.a</w:t>
            </w:r>
            <w:proofErr w:type="spellEnd"/>
            <w:r w:rsidRPr="00286FA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6364" w14:textId="77777777" w:rsidR="008662E1" w:rsidRPr="00286FAD" w:rsidRDefault="008662E1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AFB8" w14:textId="77777777" w:rsidR="008662E1" w:rsidRPr="00286FAD" w:rsidRDefault="008662E1" w:rsidP="00555713">
            <w:pPr>
              <w:pStyle w:val="Normlny0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0F1E" w14:textId="77777777" w:rsidR="008662E1" w:rsidRPr="00286FAD" w:rsidRDefault="008662E1" w:rsidP="003A51D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D39C" w14:textId="2BA70F05" w:rsidR="008662E1" w:rsidRPr="00286FAD" w:rsidRDefault="005051A6" w:rsidP="0055571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86FAD">
              <w:rPr>
                <w:color w:val="000000" w:themeColor="text1"/>
                <w:sz w:val="20"/>
                <w:szCs w:val="20"/>
              </w:rPr>
              <w:t>n.a</w:t>
            </w:r>
            <w:proofErr w:type="spellEnd"/>
            <w:r w:rsidRPr="00286FA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C7B5C1" w14:textId="77777777" w:rsidR="008662E1" w:rsidRPr="00286FAD" w:rsidRDefault="008662E1" w:rsidP="005557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BCB" w14:textId="77777777" w:rsidR="008662E1" w:rsidRPr="00B41D59" w:rsidRDefault="008662E1" w:rsidP="00555713">
            <w:pPr>
              <w:pStyle w:val="Nadpis1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5DC396" w14:textId="77777777" w:rsidR="008662E1" w:rsidRPr="00B41D59" w:rsidRDefault="008662E1" w:rsidP="00555713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CF3794" w:rsidRPr="00B41D59" w14:paraId="0D19D66C" w14:textId="77777777" w:rsidTr="00286F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A272" w14:textId="2C08485B" w:rsidR="00CF3794" w:rsidRPr="00B41D59" w:rsidRDefault="00CF3794" w:rsidP="00CF379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Čl.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1D8A" w14:textId="77777777" w:rsidR="00CF3794" w:rsidRPr="00286FAD" w:rsidRDefault="00CF3794" w:rsidP="00CF3794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1.   Členské štáty prijmú a uverejnia do 13. novembra 2024 opatrenia potrebné na dosiahnutie súladu s článkom 1. Bezodkladne o tom informujú Komisiu.</w:t>
            </w:r>
          </w:p>
          <w:p w14:paraId="59312A1C" w14:textId="77777777" w:rsidR="00CF3794" w:rsidRPr="00286FAD" w:rsidRDefault="00CF3794" w:rsidP="00CF3794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Uvedené opatrenia uplatňujú od 14. novembra 2024.</w:t>
            </w:r>
          </w:p>
          <w:p w14:paraId="438B0D9F" w14:textId="77777777" w:rsidR="004102E7" w:rsidRPr="00286FAD" w:rsidRDefault="004102E7" w:rsidP="00CF3794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21A9E43E" w14:textId="77777777" w:rsidR="000F0A26" w:rsidRPr="00286FAD" w:rsidRDefault="000F0A26" w:rsidP="00CF3794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23858509" w14:textId="2F59C366" w:rsidR="00CF3794" w:rsidRPr="00286FAD" w:rsidRDefault="00CF3794" w:rsidP="00CF3794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Členské štáty uvedú priamo v prijatých opatreniach alebo pri ich úradnom uverejnení odkaz na túto smernicu. Podrobnosti o odkaze upravia členské štáty.</w:t>
            </w:r>
          </w:p>
          <w:p w14:paraId="46686AFA" w14:textId="3C8C2A21" w:rsidR="004102E7" w:rsidRPr="00286FAD" w:rsidRDefault="004102E7" w:rsidP="00CF3794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683902F6" w14:textId="33066A05" w:rsidR="004102E7" w:rsidRPr="00286FAD" w:rsidRDefault="004102E7" w:rsidP="00CF3794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181E015C" w14:textId="703B10ED" w:rsidR="004102E7" w:rsidRPr="00286FAD" w:rsidRDefault="004102E7" w:rsidP="00CF3794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25053941" w14:textId="4F91C05B" w:rsidR="004102E7" w:rsidRPr="00286FAD" w:rsidRDefault="004102E7" w:rsidP="00CF3794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0B7FA9DD" w14:textId="3C7BBBB9" w:rsidR="00CF3794" w:rsidRPr="00286FAD" w:rsidRDefault="00CF3794" w:rsidP="00CF3794">
            <w:pPr>
              <w:pStyle w:val="norm2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2.   Členské štáty oznámia Komisii znenie hlavných opatrení vnútroštátneho práva, ktoré prijmú v oblasti pôsobnosti článku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A42A79" w14:textId="6FE979C4" w:rsidR="00CF3794" w:rsidRPr="00286FAD" w:rsidRDefault="004102E7" w:rsidP="00CF3794">
            <w:pPr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8857" w14:textId="77777777" w:rsidR="004102E7" w:rsidRPr="00286FAD" w:rsidRDefault="004102E7" w:rsidP="004102E7">
            <w:pPr>
              <w:jc w:val="center"/>
              <w:rPr>
                <w:sz w:val="20"/>
                <w:szCs w:val="20"/>
              </w:rPr>
            </w:pPr>
            <w:r w:rsidRPr="00286FAD">
              <w:rPr>
                <w:sz w:val="20"/>
                <w:szCs w:val="20"/>
              </w:rPr>
              <w:t>575/ 2001</w:t>
            </w:r>
          </w:p>
          <w:p w14:paraId="508252AC" w14:textId="77777777" w:rsidR="004102E7" w:rsidRPr="00286FAD" w:rsidRDefault="004102E7" w:rsidP="00CF3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40E4C94" w14:textId="77777777" w:rsidR="004102E7" w:rsidRPr="00286FAD" w:rsidRDefault="004102E7" w:rsidP="00CF3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8D6633D" w14:textId="77777777" w:rsidR="004102E7" w:rsidRPr="00286FAD" w:rsidRDefault="004102E7" w:rsidP="00CF3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9A815B3" w14:textId="77777777" w:rsidR="004102E7" w:rsidRPr="00286FAD" w:rsidRDefault="004102E7" w:rsidP="00CF3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841F34B" w14:textId="4649FF94" w:rsidR="00CF3794" w:rsidRPr="00286FAD" w:rsidRDefault="00D25EC3" w:rsidP="00CF3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Návrh zákona čl. II</w:t>
            </w:r>
          </w:p>
          <w:p w14:paraId="451F6F18" w14:textId="77777777" w:rsidR="00CF3794" w:rsidRPr="00286FAD" w:rsidRDefault="00CF3794" w:rsidP="00CF3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1F5C64E" w14:textId="39EDFAEA" w:rsidR="00CF3794" w:rsidRPr="00286FAD" w:rsidRDefault="00CF3794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371/2014</w:t>
            </w:r>
          </w:p>
          <w:p w14:paraId="2CC58F54" w14:textId="77777777" w:rsidR="00CF3794" w:rsidRPr="00286FAD" w:rsidRDefault="00CF3794" w:rsidP="00CF3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5159424" w14:textId="77777777" w:rsidR="00DD7AFF" w:rsidRPr="00286FAD" w:rsidRDefault="00DD7AFF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C29F16B" w14:textId="6651A436" w:rsidR="00CF3794" w:rsidRPr="00286FAD" w:rsidRDefault="00CF3794" w:rsidP="00CF3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371/2014a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Návrh zákona čl. I</w:t>
            </w:r>
          </w:p>
          <w:p w14:paraId="201F8B23" w14:textId="77777777" w:rsidR="00CF3794" w:rsidRPr="00286FAD" w:rsidRDefault="00CF3794" w:rsidP="00CF3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5297B87" w14:textId="77777777" w:rsidR="00CF3794" w:rsidRPr="00286FAD" w:rsidRDefault="00CF3794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374E4A0" w14:textId="77777777" w:rsidR="00CF3794" w:rsidRPr="00286FAD" w:rsidRDefault="00CF3794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673AE42" w14:textId="77777777" w:rsidR="00CF3794" w:rsidRPr="00286FAD" w:rsidRDefault="00CF3794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F0F58A" w14:textId="77777777" w:rsidR="00CF3794" w:rsidRPr="00286FAD" w:rsidRDefault="00CF3794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4C3A3F7" w14:textId="77777777" w:rsidR="004102E7" w:rsidRPr="00286FAD" w:rsidRDefault="004102E7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52F6070" w14:textId="77777777" w:rsidR="004102E7" w:rsidRPr="00286FAD" w:rsidRDefault="004102E7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FB92C7D" w14:textId="2076456B" w:rsidR="00CF3794" w:rsidRPr="00286FAD" w:rsidRDefault="00CF3794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575/ 2001</w:t>
            </w:r>
          </w:p>
          <w:p w14:paraId="1BDAA25E" w14:textId="77777777" w:rsidR="00CF3794" w:rsidRPr="00286FAD" w:rsidRDefault="00CF3794" w:rsidP="00CF37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A1FE" w14:textId="77777777" w:rsidR="004102E7" w:rsidRPr="00286FAD" w:rsidRDefault="004102E7" w:rsidP="004102E7">
            <w:pPr>
              <w:pStyle w:val="Normlny0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§ 35</w:t>
            </w:r>
          </w:p>
          <w:p w14:paraId="7C8E562B" w14:textId="1D455821" w:rsidR="004102E7" w:rsidRPr="00286FAD" w:rsidRDefault="004102E7" w:rsidP="004102E7">
            <w:pPr>
              <w:pStyle w:val="Normlny0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O</w:t>
            </w:r>
            <w:r w:rsidR="009F4BA1">
              <w:rPr>
                <w:color w:val="000000" w:themeColor="text1"/>
              </w:rPr>
              <w:t xml:space="preserve"> </w:t>
            </w:r>
            <w:r w:rsidRPr="00286FAD">
              <w:rPr>
                <w:color w:val="000000" w:themeColor="text1"/>
              </w:rPr>
              <w:t>7</w:t>
            </w:r>
          </w:p>
          <w:p w14:paraId="1861A851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7582F4ED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3BFB2F92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2E5CB71A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72793CA0" w14:textId="77777777" w:rsidR="004102E7" w:rsidRPr="00286FAD" w:rsidRDefault="004102E7" w:rsidP="00CF3794">
            <w:pPr>
              <w:pStyle w:val="Normlny0"/>
              <w:rPr>
                <w:color w:val="000000" w:themeColor="text1"/>
              </w:rPr>
            </w:pPr>
          </w:p>
          <w:p w14:paraId="02FDA3F9" w14:textId="77777777" w:rsidR="004102E7" w:rsidRPr="00286FAD" w:rsidRDefault="004102E7" w:rsidP="00CF3794">
            <w:pPr>
              <w:pStyle w:val="Normlny0"/>
              <w:rPr>
                <w:color w:val="000000" w:themeColor="text1"/>
              </w:rPr>
            </w:pPr>
          </w:p>
          <w:p w14:paraId="1D2B8D97" w14:textId="77777777" w:rsidR="004102E7" w:rsidRPr="00286FAD" w:rsidRDefault="004102E7" w:rsidP="00CF3794">
            <w:pPr>
              <w:pStyle w:val="Normlny0"/>
              <w:rPr>
                <w:color w:val="000000" w:themeColor="text1"/>
              </w:rPr>
            </w:pPr>
          </w:p>
          <w:p w14:paraId="4B02BDDD" w14:textId="77777777" w:rsidR="004102E7" w:rsidRPr="00286FAD" w:rsidRDefault="004102E7" w:rsidP="00CF3794">
            <w:pPr>
              <w:pStyle w:val="Normlny0"/>
              <w:rPr>
                <w:color w:val="000000" w:themeColor="text1"/>
              </w:rPr>
            </w:pPr>
          </w:p>
          <w:p w14:paraId="35E929BA" w14:textId="614C6670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§ 100</w:t>
            </w:r>
          </w:p>
          <w:p w14:paraId="4CF290C6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10A8CB5B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368E2A37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 xml:space="preserve">Príloha </w:t>
            </w:r>
          </w:p>
          <w:p w14:paraId="06F656C0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336AC444" w14:textId="3DD27E5B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 xml:space="preserve">bod  </w:t>
            </w:r>
            <w:r w:rsidR="008943AC" w:rsidRPr="00286FAD">
              <w:rPr>
                <w:color w:val="000000" w:themeColor="text1"/>
              </w:rPr>
              <w:t>9</w:t>
            </w:r>
          </w:p>
          <w:p w14:paraId="21F8273E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48063463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3114A304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7FBE9D40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4EA3A76C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775AA7C8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  <w:p w14:paraId="36B3741B" w14:textId="77777777" w:rsidR="004102E7" w:rsidRPr="00286FAD" w:rsidRDefault="004102E7" w:rsidP="00CF3794">
            <w:pPr>
              <w:pStyle w:val="Normlny0"/>
              <w:rPr>
                <w:color w:val="000000" w:themeColor="text1"/>
              </w:rPr>
            </w:pPr>
          </w:p>
          <w:p w14:paraId="67381A71" w14:textId="4924E070" w:rsidR="004102E7" w:rsidRPr="00286FAD" w:rsidRDefault="004102E7" w:rsidP="00CF3794">
            <w:pPr>
              <w:pStyle w:val="Normlny0"/>
              <w:rPr>
                <w:color w:val="000000" w:themeColor="text1"/>
              </w:rPr>
            </w:pPr>
          </w:p>
          <w:p w14:paraId="43D8CC3C" w14:textId="4CB8C3B0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§ 35</w:t>
            </w:r>
          </w:p>
          <w:p w14:paraId="37D57139" w14:textId="38803E1C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  <w:r w:rsidRPr="00286FAD">
              <w:rPr>
                <w:color w:val="000000" w:themeColor="text1"/>
              </w:rPr>
              <w:t>O</w:t>
            </w:r>
            <w:r w:rsidR="009F4BA1">
              <w:rPr>
                <w:color w:val="000000" w:themeColor="text1"/>
              </w:rPr>
              <w:t xml:space="preserve"> </w:t>
            </w:r>
            <w:r w:rsidRPr="00286FAD">
              <w:rPr>
                <w:color w:val="000000" w:themeColor="text1"/>
              </w:rPr>
              <w:t>7</w:t>
            </w:r>
          </w:p>
          <w:p w14:paraId="6B92ACE9" w14:textId="77777777" w:rsidR="00CF3794" w:rsidRPr="00286FAD" w:rsidRDefault="00CF3794" w:rsidP="00CF3794">
            <w:pPr>
              <w:pStyle w:val="Normlny0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BED" w14:textId="6902F92E" w:rsidR="004102E7" w:rsidRPr="00286FAD" w:rsidRDefault="004102E7" w:rsidP="004755F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(7)Ministerstvá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14:paraId="6B8D3EA8" w14:textId="77777777" w:rsidR="004102E7" w:rsidRPr="00286FAD" w:rsidRDefault="004102E7" w:rsidP="00CF379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825E9E0" w14:textId="17001245" w:rsidR="00CF3794" w:rsidRPr="00286FAD" w:rsidRDefault="00CF3794" w:rsidP="00CF3794">
            <w:pPr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b/>
                <w:color w:val="000000" w:themeColor="text1"/>
                <w:sz w:val="20"/>
                <w:szCs w:val="20"/>
              </w:rPr>
              <w:t>Te</w:t>
            </w:r>
            <w:r w:rsidR="00D25EC3" w:rsidRPr="00286FAD">
              <w:rPr>
                <w:b/>
                <w:color w:val="000000" w:themeColor="text1"/>
                <w:sz w:val="20"/>
                <w:szCs w:val="20"/>
              </w:rPr>
              <w:t>nto zákon nadobúda účinnosť 1. júla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4102E7" w:rsidRPr="00286FAD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286FAD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14:paraId="3189E249" w14:textId="77777777" w:rsidR="00CF3794" w:rsidRPr="00286FAD" w:rsidRDefault="00CF3794" w:rsidP="00CF3794">
            <w:pPr>
              <w:adjustRightInd w:val="0"/>
              <w:ind w:left="299" w:hanging="299"/>
              <w:rPr>
                <w:b/>
                <w:color w:val="000000" w:themeColor="text1"/>
                <w:sz w:val="20"/>
                <w:szCs w:val="20"/>
              </w:rPr>
            </w:pPr>
          </w:p>
          <w:p w14:paraId="46A15415" w14:textId="77777777" w:rsidR="00CF3794" w:rsidRPr="00286FAD" w:rsidRDefault="00CF3794" w:rsidP="00CF3794">
            <w:pPr>
              <w:adjustRightInd w:val="0"/>
              <w:ind w:left="299" w:hanging="299"/>
              <w:rPr>
                <w:b/>
                <w:color w:val="000000" w:themeColor="text1"/>
                <w:sz w:val="20"/>
                <w:szCs w:val="20"/>
              </w:rPr>
            </w:pPr>
          </w:p>
          <w:p w14:paraId="796A341C" w14:textId="77777777" w:rsidR="004102E7" w:rsidRPr="00286FAD" w:rsidRDefault="004102E7" w:rsidP="00CF3794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6237861" w14:textId="647F0EDE" w:rsidR="00CF3794" w:rsidRPr="00286FAD" w:rsidRDefault="00CF3794" w:rsidP="00CF3794">
            <w:pPr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  <w:shd w:val="clear" w:color="auto" w:fill="FFFFFF"/>
              </w:rPr>
              <w:t>Týmto zákonom sa preberajú právne záväzné akty Európskej únie uvedené v </w:t>
            </w:r>
            <w:hyperlink r:id="rId8" w:anchor="prilohy.priloha-priloha_k_zakonu_c_371_2014_z_z.oznacenie" w:tooltip="Odkaz na predpis alebo ustanovenie" w:history="1">
              <w:r w:rsidRPr="00286FAD">
                <w:rPr>
                  <w:rStyle w:val="Hypertextovprepojenie"/>
                  <w:rFonts w:eastAsiaTheme="majorEastAsia"/>
                  <w:iCs/>
                  <w:color w:val="000000" w:themeColor="text1"/>
                  <w:sz w:val="20"/>
                  <w:szCs w:val="20"/>
                  <w:shd w:val="clear" w:color="auto" w:fill="FFFFFF"/>
                </w:rPr>
                <w:t>prílohe</w:t>
              </w:r>
            </w:hyperlink>
            <w:r w:rsidRPr="00286FAD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9CDF769" w14:textId="77777777" w:rsidR="00CF3794" w:rsidRPr="00286FAD" w:rsidRDefault="00CF3794" w:rsidP="00CF3794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992646" w14:textId="77777777" w:rsidR="00CF3794" w:rsidRPr="00286FAD" w:rsidRDefault="00CF3794" w:rsidP="00CF3794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286FAD">
              <w:rPr>
                <w:bCs/>
                <w:color w:val="000000" w:themeColor="text1"/>
                <w:sz w:val="20"/>
                <w:szCs w:val="20"/>
              </w:rPr>
              <w:t>ZOZNAM PREBERANÝCH PRÁVNE ZÁVÄZNÝCH AKTOV EURÓPSKEJ ÚNIE</w:t>
            </w:r>
          </w:p>
          <w:p w14:paraId="375E2EEF" w14:textId="77777777" w:rsidR="00CF3794" w:rsidRPr="00286FAD" w:rsidRDefault="00CF3794" w:rsidP="00CF3794">
            <w:pPr>
              <w:adjustRightInd w:val="0"/>
              <w:ind w:left="299" w:hanging="299"/>
              <w:rPr>
                <w:b/>
                <w:color w:val="000000" w:themeColor="text1"/>
                <w:sz w:val="20"/>
                <w:szCs w:val="20"/>
              </w:rPr>
            </w:pPr>
          </w:p>
          <w:p w14:paraId="1F53AEF1" w14:textId="45ECC76F" w:rsidR="00CF3794" w:rsidRPr="00286FAD" w:rsidRDefault="009F4BA1" w:rsidP="004102E7">
            <w:pPr>
              <w:adjustRightInd w:val="0"/>
              <w:jc w:val="both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CF3794" w:rsidRPr="00286FAD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8943AC" w:rsidRPr="00286FAD">
              <w:rPr>
                <w:b/>
                <w:bCs/>
                <w:color w:val="000000" w:themeColor="text1"/>
                <w:sz w:val="20"/>
                <w:szCs w:val="20"/>
              </w:rPr>
              <w:t>Smernica</w:t>
            </w:r>
            <w:r w:rsidR="00CF3794" w:rsidRPr="00286FAD">
              <w:rPr>
                <w:b/>
                <w:bCs/>
                <w:color w:val="000000" w:themeColor="text1"/>
                <w:sz w:val="20"/>
                <w:szCs w:val="20"/>
              </w:rPr>
              <w:t xml:space="preserve"> E</w:t>
            </w:r>
            <w:r w:rsidR="008943AC" w:rsidRPr="00286FAD">
              <w:rPr>
                <w:b/>
                <w:bCs/>
                <w:color w:val="000000" w:themeColor="text1"/>
                <w:sz w:val="20"/>
                <w:szCs w:val="20"/>
              </w:rPr>
              <w:t>urópskeho</w:t>
            </w:r>
            <w:r w:rsidR="00CF3794" w:rsidRPr="00286FA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43AC" w:rsidRPr="00286FAD">
              <w:rPr>
                <w:b/>
                <w:bCs/>
                <w:color w:val="000000" w:themeColor="text1"/>
                <w:sz w:val="20"/>
                <w:szCs w:val="20"/>
              </w:rPr>
              <w:t>parlamentu a Rady</w:t>
            </w:r>
            <w:r w:rsidR="00CF3794" w:rsidRPr="00286FAD">
              <w:rPr>
                <w:b/>
                <w:bCs/>
                <w:color w:val="000000" w:themeColor="text1"/>
                <w:sz w:val="20"/>
                <w:szCs w:val="20"/>
              </w:rPr>
              <w:t xml:space="preserve"> (EÚ) 2024/1174 z 11. apríla 2024, ktorou sa mení smernica 2014/59/EÚ a nariadenie (EÚ) č. 806/2014, pokiaľ ide o určité aspekty minimálnej požiadavky na vlastné zdroje a oprávnené záväzky</w:t>
            </w:r>
            <w:r w:rsidR="004102E7" w:rsidRPr="00286FAD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4102E7" w:rsidRPr="00286FAD">
              <w:rPr>
                <w:rStyle w:val="Zvraznenie"/>
                <w:b/>
                <w:i w:val="0"/>
                <w:color w:val="333333"/>
                <w:sz w:val="20"/>
                <w:szCs w:val="20"/>
                <w:shd w:val="clear" w:color="auto" w:fill="FFFFFF"/>
              </w:rPr>
              <w:t>Ú. v. EÚ L, 2024/1174, 22.4.2024)</w:t>
            </w:r>
          </w:p>
          <w:p w14:paraId="333B690E" w14:textId="3EABEC83" w:rsidR="00CF3794" w:rsidRPr="00286FAD" w:rsidRDefault="00CF3794" w:rsidP="00CF3794">
            <w:pPr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  <w:p w14:paraId="093A1CF3" w14:textId="77777777" w:rsidR="00CF3794" w:rsidRPr="00286FAD" w:rsidRDefault="00CF3794" w:rsidP="00CF3794">
            <w:pPr>
              <w:rPr>
                <w:color w:val="000000" w:themeColor="text1"/>
                <w:sz w:val="20"/>
                <w:szCs w:val="20"/>
              </w:rPr>
            </w:pPr>
          </w:p>
          <w:p w14:paraId="75004427" w14:textId="1575481C" w:rsidR="00CF3794" w:rsidRPr="00286FAD" w:rsidRDefault="00CF3794" w:rsidP="00CF3794">
            <w:pPr>
              <w:rPr>
                <w:b/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(7) 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8062" w14:textId="27AA55EA" w:rsidR="00CF3794" w:rsidRPr="00B101AC" w:rsidRDefault="004102E7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0FEF4" w14:textId="77777777" w:rsidR="00CF3794" w:rsidRPr="00B41D59" w:rsidRDefault="00CF3794" w:rsidP="00CF3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7D3" w14:textId="66FE6910" w:rsidR="00CF3794" w:rsidRPr="00B41D59" w:rsidRDefault="009C7830" w:rsidP="00CF3794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  <w:r w:rsidRPr="00B41D59">
              <w:rPr>
                <w:b w:val="0"/>
                <w:color w:val="000000" w:themeColor="text1"/>
                <w:sz w:val="20"/>
                <w:szCs w:val="20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A7AE7" w14:textId="77777777" w:rsidR="00CF3794" w:rsidRPr="00B41D59" w:rsidRDefault="00CF3794" w:rsidP="00CF3794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5051A6" w:rsidRPr="00B41D59" w14:paraId="71B2519B" w14:textId="77777777" w:rsidTr="00286F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95D5" w14:textId="4629094B" w:rsidR="005051A6" w:rsidRPr="00286FAD" w:rsidRDefault="005051A6" w:rsidP="00CF3794">
            <w:pPr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t>Čl.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6233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before="60" w:after="120" w:line="312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286FAD">
              <w:rPr>
                <w:b/>
                <w:bCs/>
                <w:color w:val="333333"/>
                <w:sz w:val="20"/>
                <w:szCs w:val="20"/>
              </w:rPr>
              <w:t>Nadobudnutie účinnosti a uplatňovanie</w:t>
            </w:r>
          </w:p>
          <w:p w14:paraId="266735BD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before="12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286FAD">
              <w:rPr>
                <w:color w:val="333333"/>
                <w:sz w:val="20"/>
                <w:szCs w:val="20"/>
              </w:rPr>
              <w:t>1.   Táto smernica nadobúda účinnosť dvadsiatym dňom po jej uverejnení v </w:t>
            </w:r>
            <w:r w:rsidRPr="00286FAD">
              <w:rPr>
                <w:i/>
                <w:iCs/>
                <w:color w:val="333333"/>
                <w:sz w:val="20"/>
                <w:szCs w:val="20"/>
              </w:rPr>
              <w:t>Úradnom vestníku Európskej únie</w:t>
            </w:r>
            <w:r w:rsidRPr="00286FAD">
              <w:rPr>
                <w:color w:val="333333"/>
                <w:sz w:val="20"/>
                <w:szCs w:val="20"/>
              </w:rPr>
              <w:t>.</w:t>
            </w:r>
          </w:p>
          <w:p w14:paraId="60856D33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before="12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286FAD">
              <w:rPr>
                <w:color w:val="333333"/>
                <w:sz w:val="20"/>
                <w:szCs w:val="20"/>
              </w:rPr>
              <w:t>2.   Článok 2 body 1 a 2 sa uplatňujú od 14. novembra 2024.</w:t>
            </w:r>
          </w:p>
          <w:p w14:paraId="79BB19B0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before="12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286FAD">
              <w:rPr>
                <w:color w:val="333333"/>
                <w:sz w:val="20"/>
                <w:szCs w:val="20"/>
              </w:rPr>
              <w:t>Článok 2 bod 3 sa uplatňuje od 13. mája 2024.</w:t>
            </w:r>
          </w:p>
          <w:p w14:paraId="210FDB95" w14:textId="57CC6BBA" w:rsidR="005051A6" w:rsidRPr="00286FAD" w:rsidRDefault="005051A6" w:rsidP="005051A6">
            <w:pPr>
              <w:shd w:val="clear" w:color="auto" w:fill="FFFFFF"/>
              <w:autoSpaceDE/>
              <w:autoSpaceDN/>
              <w:spacing w:before="12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286FAD">
              <w:rPr>
                <w:color w:val="333333"/>
                <w:sz w:val="20"/>
                <w:szCs w:val="20"/>
              </w:rPr>
              <w:t>3.   Článok 2 je záväzný v celom rozsahu a priamo uplatniteľný vo všetkých členských štátoch.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679660" w14:textId="0E887FE2" w:rsidR="005051A6" w:rsidRPr="00286FAD" w:rsidRDefault="005051A6" w:rsidP="00CF379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86FAD">
              <w:rPr>
                <w:color w:val="000000" w:themeColor="text1"/>
                <w:sz w:val="20"/>
                <w:szCs w:val="20"/>
              </w:rPr>
              <w:t>n.a</w:t>
            </w:r>
            <w:proofErr w:type="spellEnd"/>
            <w:r w:rsidRPr="00286FA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EA5F" w14:textId="77777777" w:rsidR="005051A6" w:rsidRPr="00286FAD" w:rsidRDefault="005051A6" w:rsidP="004102E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FDF9" w14:textId="77777777" w:rsidR="005051A6" w:rsidRPr="00286FAD" w:rsidRDefault="005051A6" w:rsidP="004102E7">
            <w:pPr>
              <w:pStyle w:val="Normlny0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3E3" w14:textId="77777777" w:rsidR="005051A6" w:rsidRPr="00286FAD" w:rsidRDefault="005051A6" w:rsidP="00CF3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842D" w14:textId="2EBDB38F" w:rsidR="005051A6" w:rsidRPr="00286FAD" w:rsidRDefault="005051A6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86FAD">
              <w:rPr>
                <w:color w:val="000000" w:themeColor="text1"/>
                <w:sz w:val="20"/>
                <w:szCs w:val="20"/>
              </w:rPr>
              <w:t>n.a</w:t>
            </w:r>
            <w:proofErr w:type="spellEnd"/>
            <w:r w:rsidRPr="00286FA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557DCD" w14:textId="77777777" w:rsidR="005051A6" w:rsidRPr="00286FAD" w:rsidRDefault="005051A6" w:rsidP="00CF3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7F0" w14:textId="77777777" w:rsidR="005051A6" w:rsidRPr="00B41D59" w:rsidRDefault="005051A6" w:rsidP="00CF3794">
            <w:pPr>
              <w:pStyle w:val="Nadpis1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FA38E" w14:textId="77777777" w:rsidR="005051A6" w:rsidRPr="00B41D59" w:rsidRDefault="005051A6" w:rsidP="00CF3794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5051A6" w:rsidRPr="00B41D59" w14:paraId="2736F595" w14:textId="77777777" w:rsidTr="00286FAD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588" w14:textId="340B3CC3" w:rsidR="005051A6" w:rsidRPr="00286FAD" w:rsidRDefault="005051A6" w:rsidP="00CF3794">
            <w:pPr>
              <w:rPr>
                <w:color w:val="000000" w:themeColor="text1"/>
                <w:sz w:val="20"/>
                <w:szCs w:val="20"/>
              </w:rPr>
            </w:pPr>
            <w:r w:rsidRPr="00286FAD">
              <w:rPr>
                <w:color w:val="000000" w:themeColor="text1"/>
                <w:sz w:val="20"/>
                <w:szCs w:val="20"/>
              </w:rPr>
              <w:lastRenderedPageBreak/>
              <w:t>Čl.5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A308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before="60" w:after="120" w:line="312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286FAD">
              <w:rPr>
                <w:b/>
                <w:bCs/>
                <w:color w:val="333333"/>
                <w:sz w:val="20"/>
                <w:szCs w:val="20"/>
              </w:rPr>
              <w:t>Adresáti</w:t>
            </w:r>
          </w:p>
          <w:p w14:paraId="2C8D54FB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before="120"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286FAD">
              <w:rPr>
                <w:color w:val="333333"/>
                <w:sz w:val="20"/>
                <w:szCs w:val="20"/>
              </w:rPr>
              <w:t>Táto smernica je určená členským štátom.</w:t>
            </w:r>
          </w:p>
          <w:p w14:paraId="4501EA50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line="312" w:lineRule="atLeast"/>
              <w:jc w:val="both"/>
              <w:rPr>
                <w:color w:val="333333"/>
                <w:sz w:val="20"/>
                <w:szCs w:val="20"/>
              </w:rPr>
            </w:pPr>
            <w:r w:rsidRPr="00286FAD">
              <w:rPr>
                <w:color w:val="333333"/>
                <w:sz w:val="20"/>
                <w:szCs w:val="20"/>
              </w:rPr>
              <w:t>V Bruseli 11. apríla 2024</w:t>
            </w:r>
          </w:p>
          <w:p w14:paraId="7586E3B0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before="60" w:after="60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286FAD">
              <w:rPr>
                <w:i/>
                <w:iCs/>
                <w:color w:val="333333"/>
                <w:sz w:val="20"/>
                <w:szCs w:val="20"/>
              </w:rPr>
              <w:t>Za Európsky parlament</w:t>
            </w:r>
          </w:p>
          <w:p w14:paraId="52D9D4F7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before="60" w:after="60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286FAD">
              <w:rPr>
                <w:i/>
                <w:iCs/>
                <w:color w:val="333333"/>
                <w:sz w:val="20"/>
                <w:szCs w:val="20"/>
              </w:rPr>
              <w:t>predsedníčka</w:t>
            </w:r>
          </w:p>
          <w:p w14:paraId="09CBF5A7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before="60" w:after="60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286FAD">
              <w:rPr>
                <w:color w:val="333333"/>
                <w:sz w:val="20"/>
                <w:szCs w:val="20"/>
              </w:rPr>
              <w:t>R. METSOLA</w:t>
            </w:r>
          </w:p>
          <w:p w14:paraId="709BCD0D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before="60" w:after="60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286FAD">
              <w:rPr>
                <w:i/>
                <w:iCs/>
                <w:color w:val="333333"/>
                <w:sz w:val="20"/>
                <w:szCs w:val="20"/>
              </w:rPr>
              <w:t>Za Radu</w:t>
            </w:r>
          </w:p>
          <w:p w14:paraId="24164D35" w14:textId="77777777" w:rsidR="005051A6" w:rsidRPr="00286FAD" w:rsidRDefault="005051A6" w:rsidP="005051A6">
            <w:pPr>
              <w:shd w:val="clear" w:color="auto" w:fill="FFFFFF"/>
              <w:autoSpaceDE/>
              <w:autoSpaceDN/>
              <w:spacing w:before="60" w:after="60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286FAD">
              <w:rPr>
                <w:i/>
                <w:iCs/>
                <w:color w:val="333333"/>
                <w:sz w:val="20"/>
                <w:szCs w:val="20"/>
              </w:rPr>
              <w:t>predsedníčka</w:t>
            </w:r>
          </w:p>
          <w:p w14:paraId="0538DA28" w14:textId="1F4467CB" w:rsidR="005051A6" w:rsidRPr="00286FAD" w:rsidRDefault="005051A6" w:rsidP="005051A6">
            <w:pPr>
              <w:shd w:val="clear" w:color="auto" w:fill="FFFFFF"/>
              <w:autoSpaceDE/>
              <w:autoSpaceDN/>
              <w:spacing w:before="60" w:after="60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286FAD">
              <w:rPr>
                <w:color w:val="333333"/>
                <w:sz w:val="20"/>
                <w:szCs w:val="20"/>
              </w:rPr>
              <w:t>H. LAHBIB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5E966" w14:textId="29EA87EC" w:rsidR="005051A6" w:rsidRPr="00286FAD" w:rsidRDefault="005051A6" w:rsidP="00CF379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86FAD">
              <w:rPr>
                <w:color w:val="000000" w:themeColor="text1"/>
                <w:sz w:val="20"/>
                <w:szCs w:val="20"/>
              </w:rPr>
              <w:t>n.a</w:t>
            </w:r>
            <w:proofErr w:type="spellEnd"/>
            <w:r w:rsidRPr="00286FA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E916" w14:textId="77777777" w:rsidR="005051A6" w:rsidRPr="00286FAD" w:rsidRDefault="005051A6" w:rsidP="004102E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D4B8" w14:textId="77777777" w:rsidR="005051A6" w:rsidRPr="00286FAD" w:rsidRDefault="005051A6" w:rsidP="004102E7">
            <w:pPr>
              <w:pStyle w:val="Normlny0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8E0F" w14:textId="77777777" w:rsidR="005051A6" w:rsidRPr="00286FAD" w:rsidRDefault="005051A6" w:rsidP="00CF3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88A0" w14:textId="54085D51" w:rsidR="005051A6" w:rsidRPr="00286FAD" w:rsidRDefault="005051A6" w:rsidP="00CF379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86FAD">
              <w:rPr>
                <w:color w:val="000000" w:themeColor="text1"/>
                <w:sz w:val="20"/>
                <w:szCs w:val="20"/>
              </w:rPr>
              <w:t>n.a</w:t>
            </w:r>
            <w:proofErr w:type="spellEnd"/>
            <w:r w:rsidRPr="00286FA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123E49" w14:textId="77777777" w:rsidR="005051A6" w:rsidRPr="00286FAD" w:rsidRDefault="005051A6" w:rsidP="00CF3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065" w14:textId="77777777" w:rsidR="005051A6" w:rsidRPr="00B41D59" w:rsidRDefault="005051A6" w:rsidP="00CF3794">
            <w:pPr>
              <w:pStyle w:val="Nadpis1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CF7E" w14:textId="77777777" w:rsidR="005051A6" w:rsidRPr="00B41D59" w:rsidRDefault="005051A6" w:rsidP="00CF3794">
            <w:pPr>
              <w:pStyle w:val="Nadpis1"/>
              <w:jc w:val="left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14:paraId="2068B012" w14:textId="77777777" w:rsidR="00A97A37" w:rsidRPr="00B41D59" w:rsidRDefault="00A97A37" w:rsidP="002E7825">
      <w:pPr>
        <w:pStyle w:val="Default"/>
        <w:rPr>
          <w:color w:val="000000" w:themeColor="text1"/>
          <w:sz w:val="20"/>
          <w:szCs w:val="20"/>
        </w:rPr>
      </w:pPr>
    </w:p>
    <w:p w14:paraId="0035F045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</w:p>
    <w:p w14:paraId="304F32AD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b/>
          <w:bCs/>
          <w:color w:val="000000" w:themeColor="text1"/>
          <w:sz w:val="20"/>
          <w:szCs w:val="20"/>
        </w:rPr>
        <w:t xml:space="preserve">Vysvetlivky </w:t>
      </w:r>
    </w:p>
    <w:p w14:paraId="6957E5BF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V stĺpci (1) sa smernica člení na jednotlivé časti: </w:t>
      </w:r>
    </w:p>
    <w:p w14:paraId="6C15C2E0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Č - článok </w:t>
      </w:r>
    </w:p>
    <w:p w14:paraId="19E1FA32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O - odsek </w:t>
      </w:r>
    </w:p>
    <w:p w14:paraId="0D481C85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V - veta </w:t>
      </w:r>
    </w:p>
    <w:p w14:paraId="227AD151" w14:textId="77777777" w:rsidR="00AC5D9F" w:rsidRPr="00B41D59" w:rsidRDefault="00AC5D9F" w:rsidP="00AC5D9F">
      <w:pPr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>P - číslo (písmeno)</w:t>
      </w:r>
    </w:p>
    <w:p w14:paraId="5CBCD057" w14:textId="77777777" w:rsidR="00AC5D9F" w:rsidRPr="00B41D59" w:rsidRDefault="00AC5D9F" w:rsidP="00AC5D9F">
      <w:pPr>
        <w:rPr>
          <w:color w:val="000000" w:themeColor="text1"/>
          <w:sz w:val="20"/>
          <w:szCs w:val="20"/>
        </w:rPr>
      </w:pPr>
    </w:p>
    <w:p w14:paraId="5291711F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stĺpci (3):</w:t>
      </w:r>
    </w:p>
    <w:p w14:paraId="30AD9219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N – bežná transpozícia</w:t>
      </w:r>
    </w:p>
    <w:p w14:paraId="0DCA88C6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O – transpozícia s možnosťou voľby</w:t>
      </w:r>
    </w:p>
    <w:p w14:paraId="2DEDD68B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D – transpozícia podľa úvahy (dobrovoľná)</w:t>
      </w:r>
    </w:p>
    <w:p w14:paraId="184C5855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B41D59">
        <w:rPr>
          <w:color w:val="000000" w:themeColor="text1"/>
          <w:sz w:val="20"/>
          <w:szCs w:val="20"/>
          <w:lang w:eastAsia="en-US"/>
        </w:rPr>
        <w:t>n.a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>. – transpozícia sa neuskutočňuje</w:t>
      </w:r>
    </w:p>
    <w:p w14:paraId="43E57372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</w:p>
    <w:p w14:paraId="548AA997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stĺpci (5):</w:t>
      </w:r>
    </w:p>
    <w:p w14:paraId="6698E324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Č – článok</w:t>
      </w:r>
    </w:p>
    <w:p w14:paraId="124EBB64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§ – paragraf</w:t>
      </w:r>
    </w:p>
    <w:p w14:paraId="7177A099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O – odsek</w:t>
      </w:r>
    </w:p>
    <w:p w14:paraId="15591368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– veta</w:t>
      </w:r>
    </w:p>
    <w:p w14:paraId="154A4025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P – písmeno (číslo)</w:t>
      </w:r>
    </w:p>
    <w:p w14:paraId="5C8B8A3B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</w:p>
    <w:p w14:paraId="7042DB83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stĺpci (7):</w:t>
      </w:r>
    </w:p>
    <w:p w14:paraId="4FEC27E0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Ú – úplná zhoda (ak bolo ustanovenie smernice prebraté v celom rozsahu, správne, v príslušnej forme, so zabezpečenou inštitucionálnou  infraštruktúrou, s príslušnými sankciami a vo vzájomnej súvislosti)</w:t>
      </w:r>
    </w:p>
    <w:p w14:paraId="31C29CCF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Č – čiastočná zhoda (ak minimálne jedna z podmienok úplnej zhody nie je splnená)</w:t>
      </w:r>
    </w:p>
    <w:p w14:paraId="12068246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 xml:space="preserve">Ž – žiadna zhoda (ak nebola dosiahnutá ani úplná ani </w:t>
      </w:r>
      <w:proofErr w:type="spellStart"/>
      <w:r w:rsidRPr="00B41D59">
        <w:rPr>
          <w:color w:val="000000" w:themeColor="text1"/>
          <w:sz w:val="20"/>
          <w:szCs w:val="20"/>
          <w:lang w:eastAsia="en-US"/>
        </w:rPr>
        <w:t>čiast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>. zhoda alebo k prebratiu dôjde v budúcnosti)</w:t>
      </w:r>
    </w:p>
    <w:p w14:paraId="1EC07F70" w14:textId="358B33D3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B41D59">
        <w:rPr>
          <w:color w:val="000000" w:themeColor="text1"/>
          <w:sz w:val="20"/>
          <w:szCs w:val="20"/>
          <w:lang w:eastAsia="en-US"/>
        </w:rPr>
        <w:t>n.a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>. – neaplikovateľnosť (ak sa ustanovenie smernice netýka SR alebo nie je potrebné ho prebrať)</w:t>
      </w:r>
    </w:p>
    <w:p w14:paraId="384FEF62" w14:textId="2C5E8B2B" w:rsidR="007F5081" w:rsidRPr="00B41D59" w:rsidRDefault="007F5081" w:rsidP="00AC5D9F">
      <w:pPr>
        <w:rPr>
          <w:color w:val="000000" w:themeColor="text1"/>
          <w:sz w:val="20"/>
          <w:szCs w:val="20"/>
          <w:lang w:eastAsia="en-US"/>
        </w:rPr>
      </w:pPr>
    </w:p>
    <w:p w14:paraId="420DB2EF" w14:textId="7002CF55" w:rsidR="007F5081" w:rsidRPr="00B41D59" w:rsidRDefault="007F5081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B41D59">
        <w:rPr>
          <w:b/>
          <w:color w:val="000000" w:themeColor="text1"/>
          <w:sz w:val="20"/>
          <w:szCs w:val="20"/>
          <w:lang w:eastAsia="en-US"/>
        </w:rPr>
        <w:t>Bold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 xml:space="preserve"> – zmeny v zákone</w:t>
      </w:r>
    </w:p>
    <w:p w14:paraId="59E5B484" w14:textId="77777777" w:rsidR="00AC5D9F" w:rsidRPr="00B41D59" w:rsidRDefault="00AC5D9F" w:rsidP="00AC5D9F">
      <w:pPr>
        <w:rPr>
          <w:color w:val="000000" w:themeColor="text1"/>
          <w:sz w:val="20"/>
          <w:szCs w:val="20"/>
        </w:rPr>
      </w:pPr>
    </w:p>
    <w:p w14:paraId="0FAFC990" w14:textId="6223530C" w:rsidR="008867F5" w:rsidRPr="00B41D59" w:rsidRDefault="008867F5" w:rsidP="00AC5D9F">
      <w:pPr>
        <w:pStyle w:val="Default"/>
        <w:rPr>
          <w:color w:val="000000" w:themeColor="text1"/>
          <w:sz w:val="20"/>
          <w:szCs w:val="20"/>
        </w:rPr>
      </w:pPr>
    </w:p>
    <w:sectPr w:rsidR="008867F5" w:rsidRPr="00B41D59" w:rsidSect="002E782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E5EAA" w14:textId="77777777" w:rsidR="00971FCA" w:rsidRDefault="00971FCA" w:rsidP="00D9752C">
      <w:r>
        <w:separator/>
      </w:r>
    </w:p>
  </w:endnote>
  <w:endnote w:type="continuationSeparator" w:id="0">
    <w:p w14:paraId="032A13B9" w14:textId="77777777" w:rsidR="00971FCA" w:rsidRDefault="00971FCA" w:rsidP="00D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517853"/>
      <w:docPartObj>
        <w:docPartGallery w:val="Page Numbers (Bottom of Page)"/>
        <w:docPartUnique/>
      </w:docPartObj>
    </w:sdtPr>
    <w:sdtEndPr/>
    <w:sdtContent>
      <w:p w14:paraId="4DB4CEC8" w14:textId="23E34D6A" w:rsidR="0067198F" w:rsidRDefault="0067198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C6C">
          <w:rPr>
            <w:noProof/>
          </w:rPr>
          <w:t>10</w:t>
        </w:r>
        <w:r>
          <w:fldChar w:fldCharType="end"/>
        </w:r>
      </w:p>
    </w:sdtContent>
  </w:sdt>
  <w:p w14:paraId="04F17EB7" w14:textId="77777777" w:rsidR="0067198F" w:rsidRDefault="006719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9A3BE" w14:textId="77777777" w:rsidR="00971FCA" w:rsidRDefault="00971FCA" w:rsidP="00D9752C">
      <w:r>
        <w:separator/>
      </w:r>
    </w:p>
  </w:footnote>
  <w:footnote w:type="continuationSeparator" w:id="0">
    <w:p w14:paraId="4A11C488" w14:textId="77777777" w:rsidR="00971FCA" w:rsidRDefault="00971FCA" w:rsidP="00D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F99"/>
    <w:multiLevelType w:val="hybridMultilevel"/>
    <w:tmpl w:val="2692F77A"/>
    <w:lvl w:ilvl="0" w:tplc="804A0458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02CC7975"/>
    <w:multiLevelType w:val="hybridMultilevel"/>
    <w:tmpl w:val="A1721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2DB"/>
    <w:multiLevelType w:val="hybridMultilevel"/>
    <w:tmpl w:val="353219E8"/>
    <w:lvl w:ilvl="0" w:tplc="2AEAAA34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99B017A"/>
    <w:multiLevelType w:val="hybridMultilevel"/>
    <w:tmpl w:val="69BE371A"/>
    <w:lvl w:ilvl="0" w:tplc="46020B8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72000D1A">
      <w:start w:val="1"/>
      <w:numFmt w:val="lowerLetter"/>
      <w:lvlText w:val="%2)"/>
      <w:lvlJc w:val="left"/>
      <w:pPr>
        <w:ind w:left="1845" w:hanging="76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AF3"/>
    <w:multiLevelType w:val="hybridMultilevel"/>
    <w:tmpl w:val="9524FAAC"/>
    <w:lvl w:ilvl="0" w:tplc="46020B86">
      <w:start w:val="1"/>
      <w:numFmt w:val="lowerRoman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B9763D"/>
    <w:multiLevelType w:val="hybridMultilevel"/>
    <w:tmpl w:val="A2A413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8605C"/>
    <w:multiLevelType w:val="hybridMultilevel"/>
    <w:tmpl w:val="12E8C352"/>
    <w:lvl w:ilvl="0" w:tplc="CC58C200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7" w15:restartNumberingAfterBreak="0">
    <w:nsid w:val="3CD20707"/>
    <w:multiLevelType w:val="hybridMultilevel"/>
    <w:tmpl w:val="6BA07738"/>
    <w:lvl w:ilvl="0" w:tplc="1C707A24">
      <w:start w:val="2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790C43"/>
    <w:multiLevelType w:val="hybridMultilevel"/>
    <w:tmpl w:val="511E6234"/>
    <w:lvl w:ilvl="0" w:tplc="6CA8EC3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 w15:restartNumberingAfterBreak="0">
    <w:nsid w:val="44AE0956"/>
    <w:multiLevelType w:val="hybridMultilevel"/>
    <w:tmpl w:val="86BA0072"/>
    <w:lvl w:ilvl="0" w:tplc="501CBBCE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46712763"/>
    <w:multiLevelType w:val="hybridMultilevel"/>
    <w:tmpl w:val="88D26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440B9"/>
    <w:multiLevelType w:val="hybridMultilevel"/>
    <w:tmpl w:val="4586938C"/>
    <w:lvl w:ilvl="0" w:tplc="DA62A4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35A9B"/>
    <w:multiLevelType w:val="hybridMultilevel"/>
    <w:tmpl w:val="8CE83FEA"/>
    <w:lvl w:ilvl="0" w:tplc="900C8BB2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 w15:restartNumberingAfterBreak="0">
    <w:nsid w:val="4DBD0EA6"/>
    <w:multiLevelType w:val="hybridMultilevel"/>
    <w:tmpl w:val="3702A4A2"/>
    <w:lvl w:ilvl="0" w:tplc="8C66A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A7AE4"/>
    <w:multiLevelType w:val="hybridMultilevel"/>
    <w:tmpl w:val="F664D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71D73"/>
    <w:multiLevelType w:val="hybridMultilevel"/>
    <w:tmpl w:val="8244F1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046C"/>
    <w:multiLevelType w:val="hybridMultilevel"/>
    <w:tmpl w:val="BAB65DEE"/>
    <w:lvl w:ilvl="0" w:tplc="D930962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7" w15:restartNumberingAfterBreak="0">
    <w:nsid w:val="606E2A5C"/>
    <w:multiLevelType w:val="hybridMultilevel"/>
    <w:tmpl w:val="3B6CF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66829"/>
    <w:multiLevelType w:val="hybridMultilevel"/>
    <w:tmpl w:val="DEF4D5DA"/>
    <w:lvl w:ilvl="0" w:tplc="A95EF4AA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9" w15:restartNumberingAfterBreak="0">
    <w:nsid w:val="6FD04296"/>
    <w:multiLevelType w:val="hybridMultilevel"/>
    <w:tmpl w:val="D9B0B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53A17"/>
    <w:multiLevelType w:val="hybridMultilevel"/>
    <w:tmpl w:val="734494CA"/>
    <w:lvl w:ilvl="0" w:tplc="C2B2A1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E4BAB"/>
    <w:multiLevelType w:val="hybridMultilevel"/>
    <w:tmpl w:val="5C34B1C0"/>
    <w:lvl w:ilvl="0" w:tplc="9B6E3D34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A2E6D"/>
    <w:multiLevelType w:val="hybridMultilevel"/>
    <w:tmpl w:val="C17E9576"/>
    <w:lvl w:ilvl="0" w:tplc="041B000F">
      <w:start w:val="1"/>
      <w:numFmt w:val="decimal"/>
      <w:lvlText w:val="%1."/>
      <w:lvlJc w:val="left"/>
      <w:pPr>
        <w:ind w:left="1866" w:hanging="720"/>
      </w:pPr>
      <w:rPr>
        <w:rFonts w:hint="default"/>
      </w:rPr>
    </w:lvl>
    <w:lvl w:ilvl="1" w:tplc="529E0FF6">
      <w:start w:val="1"/>
      <w:numFmt w:val="lowerLetter"/>
      <w:lvlText w:val="%2)"/>
      <w:lvlJc w:val="left"/>
      <w:pPr>
        <w:ind w:left="222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773045A3"/>
    <w:multiLevelType w:val="hybridMultilevel"/>
    <w:tmpl w:val="E23A5EFA"/>
    <w:lvl w:ilvl="0" w:tplc="125CB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15A89"/>
    <w:multiLevelType w:val="hybridMultilevel"/>
    <w:tmpl w:val="3E3851A6"/>
    <w:lvl w:ilvl="0" w:tplc="C980CB16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009EB"/>
    <w:multiLevelType w:val="hybridMultilevel"/>
    <w:tmpl w:val="D8ACBFC2"/>
    <w:lvl w:ilvl="0" w:tplc="7EE6ACF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22"/>
  </w:num>
  <w:num w:numId="5">
    <w:abstractNumId w:val="13"/>
  </w:num>
  <w:num w:numId="6">
    <w:abstractNumId w:val="16"/>
  </w:num>
  <w:num w:numId="7">
    <w:abstractNumId w:val="2"/>
  </w:num>
  <w:num w:numId="8">
    <w:abstractNumId w:val="8"/>
  </w:num>
  <w:num w:numId="9">
    <w:abstractNumId w:val="0"/>
  </w:num>
  <w:num w:numId="10">
    <w:abstractNumId w:val="18"/>
  </w:num>
  <w:num w:numId="11">
    <w:abstractNumId w:val="10"/>
  </w:num>
  <w:num w:numId="12">
    <w:abstractNumId w:val="15"/>
  </w:num>
  <w:num w:numId="13">
    <w:abstractNumId w:val="6"/>
  </w:num>
  <w:num w:numId="14">
    <w:abstractNumId w:val="12"/>
  </w:num>
  <w:num w:numId="15">
    <w:abstractNumId w:val="17"/>
  </w:num>
  <w:num w:numId="16">
    <w:abstractNumId w:val="14"/>
  </w:num>
  <w:num w:numId="17">
    <w:abstractNumId w:val="20"/>
  </w:num>
  <w:num w:numId="18">
    <w:abstractNumId w:val="21"/>
  </w:num>
  <w:num w:numId="19">
    <w:abstractNumId w:val="23"/>
  </w:num>
  <w:num w:numId="20">
    <w:abstractNumId w:val="5"/>
  </w:num>
  <w:num w:numId="21">
    <w:abstractNumId w:val="19"/>
  </w:num>
  <w:num w:numId="22">
    <w:abstractNumId w:val="4"/>
  </w:num>
  <w:num w:numId="23">
    <w:abstractNumId w:val="3"/>
  </w:num>
  <w:num w:numId="24">
    <w:abstractNumId w:val="7"/>
  </w:num>
  <w:num w:numId="25">
    <w:abstractNumId w:val="9"/>
  </w:num>
  <w:num w:numId="2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25"/>
    <w:rsid w:val="000002F6"/>
    <w:rsid w:val="00000ACB"/>
    <w:rsid w:val="00022DD8"/>
    <w:rsid w:val="00023762"/>
    <w:rsid w:val="000239BD"/>
    <w:rsid w:val="00026EB4"/>
    <w:rsid w:val="000325F5"/>
    <w:rsid w:val="000464F7"/>
    <w:rsid w:val="000525A9"/>
    <w:rsid w:val="0006096D"/>
    <w:rsid w:val="000651F3"/>
    <w:rsid w:val="00074CF4"/>
    <w:rsid w:val="00091A17"/>
    <w:rsid w:val="000A2DB0"/>
    <w:rsid w:val="000A4C7D"/>
    <w:rsid w:val="000B2478"/>
    <w:rsid w:val="000B4ED4"/>
    <w:rsid w:val="000B5C85"/>
    <w:rsid w:val="000B6FEB"/>
    <w:rsid w:val="000E19DA"/>
    <w:rsid w:val="000E2662"/>
    <w:rsid w:val="000F0A26"/>
    <w:rsid w:val="0012458B"/>
    <w:rsid w:val="0012648E"/>
    <w:rsid w:val="00132699"/>
    <w:rsid w:val="00140AD0"/>
    <w:rsid w:val="00152401"/>
    <w:rsid w:val="0015694D"/>
    <w:rsid w:val="0016317B"/>
    <w:rsid w:val="00176115"/>
    <w:rsid w:val="00181047"/>
    <w:rsid w:val="00190A44"/>
    <w:rsid w:val="0019132C"/>
    <w:rsid w:val="001B1235"/>
    <w:rsid w:val="001B5D24"/>
    <w:rsid w:val="001C1B6F"/>
    <w:rsid w:val="001C5BDE"/>
    <w:rsid w:val="001D0B72"/>
    <w:rsid w:val="001D565A"/>
    <w:rsid w:val="001D5668"/>
    <w:rsid w:val="001F057F"/>
    <w:rsid w:val="001F3C0E"/>
    <w:rsid w:val="0020308A"/>
    <w:rsid w:val="00204565"/>
    <w:rsid w:val="0020543A"/>
    <w:rsid w:val="00207A18"/>
    <w:rsid w:val="00211FD0"/>
    <w:rsid w:val="002146E9"/>
    <w:rsid w:val="00252592"/>
    <w:rsid w:val="002548FE"/>
    <w:rsid w:val="002564C7"/>
    <w:rsid w:val="00260C99"/>
    <w:rsid w:val="00286FAD"/>
    <w:rsid w:val="0029029E"/>
    <w:rsid w:val="002957F9"/>
    <w:rsid w:val="002A23AB"/>
    <w:rsid w:val="002B00DC"/>
    <w:rsid w:val="002B0CD2"/>
    <w:rsid w:val="002C10EC"/>
    <w:rsid w:val="002C4720"/>
    <w:rsid w:val="002D2F8F"/>
    <w:rsid w:val="002E7825"/>
    <w:rsid w:val="002F2BD4"/>
    <w:rsid w:val="002F3DAF"/>
    <w:rsid w:val="00310AD9"/>
    <w:rsid w:val="0031609E"/>
    <w:rsid w:val="003268E4"/>
    <w:rsid w:val="00357DDF"/>
    <w:rsid w:val="00365C6C"/>
    <w:rsid w:val="00374F2B"/>
    <w:rsid w:val="0037538B"/>
    <w:rsid w:val="00383DC3"/>
    <w:rsid w:val="003876CF"/>
    <w:rsid w:val="0039439D"/>
    <w:rsid w:val="00394A62"/>
    <w:rsid w:val="00396B1E"/>
    <w:rsid w:val="003A20D1"/>
    <w:rsid w:val="003A51D3"/>
    <w:rsid w:val="003A7094"/>
    <w:rsid w:val="003B23C7"/>
    <w:rsid w:val="003C5101"/>
    <w:rsid w:val="003D7973"/>
    <w:rsid w:val="003E039A"/>
    <w:rsid w:val="003E1C6F"/>
    <w:rsid w:val="003E37F3"/>
    <w:rsid w:val="003E4857"/>
    <w:rsid w:val="003F03C7"/>
    <w:rsid w:val="004009F6"/>
    <w:rsid w:val="00401170"/>
    <w:rsid w:val="00404FDD"/>
    <w:rsid w:val="00405D69"/>
    <w:rsid w:val="004102E7"/>
    <w:rsid w:val="004347A3"/>
    <w:rsid w:val="00441086"/>
    <w:rsid w:val="00452316"/>
    <w:rsid w:val="004755F2"/>
    <w:rsid w:val="004869C0"/>
    <w:rsid w:val="004906D6"/>
    <w:rsid w:val="004B4957"/>
    <w:rsid w:val="004B5BA2"/>
    <w:rsid w:val="004C0ED6"/>
    <w:rsid w:val="004C73FA"/>
    <w:rsid w:val="004D1734"/>
    <w:rsid w:val="004D32E9"/>
    <w:rsid w:val="004D777C"/>
    <w:rsid w:val="004E39FA"/>
    <w:rsid w:val="004F53DC"/>
    <w:rsid w:val="004F7B52"/>
    <w:rsid w:val="005007D0"/>
    <w:rsid w:val="0050201D"/>
    <w:rsid w:val="005051A6"/>
    <w:rsid w:val="005118FA"/>
    <w:rsid w:val="00544141"/>
    <w:rsid w:val="00554D4E"/>
    <w:rsid w:val="00555713"/>
    <w:rsid w:val="00563508"/>
    <w:rsid w:val="0057123A"/>
    <w:rsid w:val="00574975"/>
    <w:rsid w:val="005749D4"/>
    <w:rsid w:val="005753DD"/>
    <w:rsid w:val="0057629B"/>
    <w:rsid w:val="00581EDA"/>
    <w:rsid w:val="005839DB"/>
    <w:rsid w:val="00587A80"/>
    <w:rsid w:val="00592E0E"/>
    <w:rsid w:val="005A2513"/>
    <w:rsid w:val="005A5F8E"/>
    <w:rsid w:val="005B1C49"/>
    <w:rsid w:val="005B3E0D"/>
    <w:rsid w:val="005B532E"/>
    <w:rsid w:val="005C0413"/>
    <w:rsid w:val="005D3972"/>
    <w:rsid w:val="005E3CFC"/>
    <w:rsid w:val="005E6CA6"/>
    <w:rsid w:val="006065C7"/>
    <w:rsid w:val="00620D34"/>
    <w:rsid w:val="00632B3D"/>
    <w:rsid w:val="00652327"/>
    <w:rsid w:val="0067198F"/>
    <w:rsid w:val="00683FF6"/>
    <w:rsid w:val="00685013"/>
    <w:rsid w:val="00687EB5"/>
    <w:rsid w:val="00693771"/>
    <w:rsid w:val="00696E8D"/>
    <w:rsid w:val="006A3665"/>
    <w:rsid w:val="006B2CE6"/>
    <w:rsid w:val="006B625E"/>
    <w:rsid w:val="006C1A78"/>
    <w:rsid w:val="006C7728"/>
    <w:rsid w:val="006D16EE"/>
    <w:rsid w:val="006E4D85"/>
    <w:rsid w:val="006F4FE7"/>
    <w:rsid w:val="006F5266"/>
    <w:rsid w:val="0072073D"/>
    <w:rsid w:val="00721ACB"/>
    <w:rsid w:val="00747763"/>
    <w:rsid w:val="00750F44"/>
    <w:rsid w:val="007756E4"/>
    <w:rsid w:val="00775E37"/>
    <w:rsid w:val="007B01DE"/>
    <w:rsid w:val="007B1C74"/>
    <w:rsid w:val="007C0457"/>
    <w:rsid w:val="007C42B2"/>
    <w:rsid w:val="007C44BD"/>
    <w:rsid w:val="007D2F8C"/>
    <w:rsid w:val="007D3EFD"/>
    <w:rsid w:val="007E3BA8"/>
    <w:rsid w:val="007F0812"/>
    <w:rsid w:val="007F5081"/>
    <w:rsid w:val="007F52BE"/>
    <w:rsid w:val="007F7A06"/>
    <w:rsid w:val="0081045A"/>
    <w:rsid w:val="0081483E"/>
    <w:rsid w:val="00825A37"/>
    <w:rsid w:val="00857336"/>
    <w:rsid w:val="00861886"/>
    <w:rsid w:val="008662E1"/>
    <w:rsid w:val="0088155E"/>
    <w:rsid w:val="008867F5"/>
    <w:rsid w:val="00891E79"/>
    <w:rsid w:val="008943AC"/>
    <w:rsid w:val="008B226D"/>
    <w:rsid w:val="008B35F4"/>
    <w:rsid w:val="008B70A9"/>
    <w:rsid w:val="008C43CF"/>
    <w:rsid w:val="008D0D17"/>
    <w:rsid w:val="00902037"/>
    <w:rsid w:val="00910BF7"/>
    <w:rsid w:val="009140A7"/>
    <w:rsid w:val="00934615"/>
    <w:rsid w:val="00951958"/>
    <w:rsid w:val="00953B17"/>
    <w:rsid w:val="00956822"/>
    <w:rsid w:val="00962217"/>
    <w:rsid w:val="00963DEF"/>
    <w:rsid w:val="0096719E"/>
    <w:rsid w:val="00971FCA"/>
    <w:rsid w:val="00975D52"/>
    <w:rsid w:val="00977BE8"/>
    <w:rsid w:val="00986654"/>
    <w:rsid w:val="00992855"/>
    <w:rsid w:val="009A1D60"/>
    <w:rsid w:val="009A6702"/>
    <w:rsid w:val="009B64EF"/>
    <w:rsid w:val="009C051E"/>
    <w:rsid w:val="009C7830"/>
    <w:rsid w:val="009D0ACB"/>
    <w:rsid w:val="009E279A"/>
    <w:rsid w:val="009F2EFC"/>
    <w:rsid w:val="009F4BA1"/>
    <w:rsid w:val="00A118AD"/>
    <w:rsid w:val="00A13C67"/>
    <w:rsid w:val="00A15D13"/>
    <w:rsid w:val="00A164F0"/>
    <w:rsid w:val="00A30627"/>
    <w:rsid w:val="00A36052"/>
    <w:rsid w:val="00A41226"/>
    <w:rsid w:val="00A47922"/>
    <w:rsid w:val="00A52CD2"/>
    <w:rsid w:val="00A57CF1"/>
    <w:rsid w:val="00A6041C"/>
    <w:rsid w:val="00A62649"/>
    <w:rsid w:val="00A676DB"/>
    <w:rsid w:val="00A702ED"/>
    <w:rsid w:val="00A71447"/>
    <w:rsid w:val="00A7528C"/>
    <w:rsid w:val="00A762B8"/>
    <w:rsid w:val="00A81E7C"/>
    <w:rsid w:val="00A83E6F"/>
    <w:rsid w:val="00A9431D"/>
    <w:rsid w:val="00A97A37"/>
    <w:rsid w:val="00AB18E5"/>
    <w:rsid w:val="00AB2759"/>
    <w:rsid w:val="00AB69FB"/>
    <w:rsid w:val="00AC5D9F"/>
    <w:rsid w:val="00AC6CC7"/>
    <w:rsid w:val="00AE35DD"/>
    <w:rsid w:val="00AE794F"/>
    <w:rsid w:val="00AF2B07"/>
    <w:rsid w:val="00AF5605"/>
    <w:rsid w:val="00AF6EE7"/>
    <w:rsid w:val="00AF76F1"/>
    <w:rsid w:val="00B0127B"/>
    <w:rsid w:val="00B01295"/>
    <w:rsid w:val="00B101AC"/>
    <w:rsid w:val="00B11BC2"/>
    <w:rsid w:val="00B21EB7"/>
    <w:rsid w:val="00B30A5A"/>
    <w:rsid w:val="00B370D2"/>
    <w:rsid w:val="00B41D59"/>
    <w:rsid w:val="00B439EB"/>
    <w:rsid w:val="00B46758"/>
    <w:rsid w:val="00B50A2C"/>
    <w:rsid w:val="00B61C68"/>
    <w:rsid w:val="00B622E8"/>
    <w:rsid w:val="00B72F7E"/>
    <w:rsid w:val="00B77DDA"/>
    <w:rsid w:val="00B91095"/>
    <w:rsid w:val="00BA3524"/>
    <w:rsid w:val="00BA3830"/>
    <w:rsid w:val="00BA4333"/>
    <w:rsid w:val="00BA5BF7"/>
    <w:rsid w:val="00BA7A67"/>
    <w:rsid w:val="00BB56FA"/>
    <w:rsid w:val="00BD237C"/>
    <w:rsid w:val="00BF2B56"/>
    <w:rsid w:val="00BF6C43"/>
    <w:rsid w:val="00C07A48"/>
    <w:rsid w:val="00C10D92"/>
    <w:rsid w:val="00C133B3"/>
    <w:rsid w:val="00C16AA0"/>
    <w:rsid w:val="00C26ED7"/>
    <w:rsid w:val="00C301A6"/>
    <w:rsid w:val="00C50433"/>
    <w:rsid w:val="00C548DB"/>
    <w:rsid w:val="00C5581D"/>
    <w:rsid w:val="00C84B55"/>
    <w:rsid w:val="00CB39D0"/>
    <w:rsid w:val="00CC4851"/>
    <w:rsid w:val="00CC78CF"/>
    <w:rsid w:val="00CD297F"/>
    <w:rsid w:val="00CD3D45"/>
    <w:rsid w:val="00CD43AC"/>
    <w:rsid w:val="00CD5DD5"/>
    <w:rsid w:val="00CD6707"/>
    <w:rsid w:val="00CD71B4"/>
    <w:rsid w:val="00CF03F6"/>
    <w:rsid w:val="00CF3794"/>
    <w:rsid w:val="00CF3946"/>
    <w:rsid w:val="00D004F2"/>
    <w:rsid w:val="00D010C8"/>
    <w:rsid w:val="00D045ED"/>
    <w:rsid w:val="00D24E20"/>
    <w:rsid w:val="00D25EC3"/>
    <w:rsid w:val="00D32A87"/>
    <w:rsid w:val="00D3469D"/>
    <w:rsid w:val="00D35676"/>
    <w:rsid w:val="00D50B44"/>
    <w:rsid w:val="00D5211D"/>
    <w:rsid w:val="00D66919"/>
    <w:rsid w:val="00D676E2"/>
    <w:rsid w:val="00D752F2"/>
    <w:rsid w:val="00D82975"/>
    <w:rsid w:val="00D854AE"/>
    <w:rsid w:val="00D9215D"/>
    <w:rsid w:val="00D9752C"/>
    <w:rsid w:val="00DA2DC7"/>
    <w:rsid w:val="00DB602D"/>
    <w:rsid w:val="00DC4A64"/>
    <w:rsid w:val="00DD182F"/>
    <w:rsid w:val="00DD7AFF"/>
    <w:rsid w:val="00DE1C67"/>
    <w:rsid w:val="00DF6F35"/>
    <w:rsid w:val="00E21C09"/>
    <w:rsid w:val="00E256BE"/>
    <w:rsid w:val="00E405EB"/>
    <w:rsid w:val="00E54D82"/>
    <w:rsid w:val="00E60C8B"/>
    <w:rsid w:val="00E70131"/>
    <w:rsid w:val="00E774D5"/>
    <w:rsid w:val="00E822CB"/>
    <w:rsid w:val="00E85C5D"/>
    <w:rsid w:val="00E9684F"/>
    <w:rsid w:val="00E971D9"/>
    <w:rsid w:val="00EA392A"/>
    <w:rsid w:val="00EA7CB1"/>
    <w:rsid w:val="00EB1545"/>
    <w:rsid w:val="00EC24B2"/>
    <w:rsid w:val="00EC495E"/>
    <w:rsid w:val="00EF08CA"/>
    <w:rsid w:val="00F2692B"/>
    <w:rsid w:val="00F46272"/>
    <w:rsid w:val="00F478E5"/>
    <w:rsid w:val="00F534B2"/>
    <w:rsid w:val="00F537F2"/>
    <w:rsid w:val="00F55DD7"/>
    <w:rsid w:val="00F6585D"/>
    <w:rsid w:val="00F821CE"/>
    <w:rsid w:val="00F83F81"/>
    <w:rsid w:val="00F90EA0"/>
    <w:rsid w:val="00F947F8"/>
    <w:rsid w:val="00F9661F"/>
    <w:rsid w:val="00FA6309"/>
    <w:rsid w:val="00FB4869"/>
    <w:rsid w:val="00FB619F"/>
    <w:rsid w:val="00FC698B"/>
    <w:rsid w:val="00FC6F8B"/>
    <w:rsid w:val="00FD29E0"/>
    <w:rsid w:val="00FE0642"/>
    <w:rsid w:val="00FE3E9F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603"/>
  <w15:docId w15:val="{B994A8DD-4B2A-451A-9717-0CCC6437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8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7825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782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2E782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2E7825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2E782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2E78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2E782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E78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2E7825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rsid w:val="002E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2E7825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F0812"/>
    <w:rPr>
      <w:strike w:val="0"/>
      <w:dstrike w:val="0"/>
      <w:color w:val="3366CC"/>
      <w:u w:val="none"/>
      <w:effect w:val="none"/>
      <w:shd w:val="clear" w:color="auto" w:fill="auto"/>
    </w:rPr>
  </w:style>
  <w:style w:type="paragraph" w:customStyle="1" w:styleId="Normlny1">
    <w:name w:val="Normálny1"/>
    <w:basedOn w:val="Normlny"/>
    <w:rsid w:val="007F0812"/>
    <w:pPr>
      <w:autoSpaceDE/>
      <w:autoSpaceDN/>
      <w:spacing w:before="120"/>
      <w:jc w:val="both"/>
    </w:pPr>
  </w:style>
  <w:style w:type="character" w:customStyle="1" w:styleId="super">
    <w:name w:val="super"/>
    <w:basedOn w:val="Predvolenpsmoodseku"/>
    <w:rsid w:val="007F0812"/>
    <w:rPr>
      <w:sz w:val="17"/>
      <w:szCs w:val="17"/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7F08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81483E"/>
    <w:pPr>
      <w:autoSpaceDE/>
      <w:autoSpaceDN/>
      <w:spacing w:before="120"/>
      <w:jc w:val="both"/>
    </w:pPr>
  </w:style>
  <w:style w:type="paragraph" w:customStyle="1" w:styleId="stitle-article-norm">
    <w:name w:val="stitle-article-norm"/>
    <w:basedOn w:val="Normlny"/>
    <w:rsid w:val="0081483E"/>
    <w:pPr>
      <w:autoSpaceDE/>
      <w:autoSpaceDN/>
      <w:spacing w:before="240" w:after="120"/>
      <w:jc w:val="center"/>
    </w:pPr>
    <w:rPr>
      <w:b/>
      <w:bCs/>
    </w:rPr>
  </w:style>
  <w:style w:type="paragraph" w:customStyle="1" w:styleId="Normlny2">
    <w:name w:val="Normálny2"/>
    <w:basedOn w:val="Normlny"/>
    <w:rsid w:val="005C0413"/>
    <w:pPr>
      <w:autoSpaceDE/>
      <w:autoSpaceDN/>
      <w:spacing w:before="120"/>
      <w:jc w:val="both"/>
    </w:pPr>
  </w:style>
  <w:style w:type="paragraph" w:customStyle="1" w:styleId="norm2">
    <w:name w:val="norm2"/>
    <w:basedOn w:val="Normlny"/>
    <w:rsid w:val="00176115"/>
    <w:pPr>
      <w:autoSpaceDE/>
      <w:autoSpaceDN/>
      <w:spacing w:before="120" w:line="312" w:lineRule="atLeast"/>
      <w:jc w:val="both"/>
    </w:pPr>
  </w:style>
  <w:style w:type="paragraph" w:customStyle="1" w:styleId="list1">
    <w:name w:val="list1"/>
    <w:basedOn w:val="Normlny"/>
    <w:rsid w:val="006065C7"/>
    <w:pPr>
      <w:autoSpaceDE/>
      <w:autoSpaceDN/>
      <w:spacing w:line="312" w:lineRule="atLeast"/>
      <w:ind w:left="240"/>
      <w:jc w:val="both"/>
    </w:pPr>
  </w:style>
  <w:style w:type="paragraph" w:styleId="Obyajntext">
    <w:name w:val="Plain Text"/>
    <w:basedOn w:val="Normlny"/>
    <w:link w:val="ObyajntextChar"/>
    <w:uiPriority w:val="99"/>
    <w:unhideWhenUsed/>
    <w:rsid w:val="00A15D13"/>
    <w:pPr>
      <w:autoSpaceDE/>
      <w:autoSpaceDN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15D13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unhideWhenUsed/>
    <w:rsid w:val="00A15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5D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5D1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5D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5D1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D1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l31">
    <w:name w:val="l3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41">
    <w:name w:val="l4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51">
    <w:name w:val="l51"/>
    <w:basedOn w:val="Normlny"/>
    <w:rsid w:val="004906D6"/>
    <w:pPr>
      <w:autoSpaceDE/>
      <w:autoSpaceDN/>
      <w:spacing w:before="144" w:after="144"/>
      <w:jc w:val="both"/>
    </w:pPr>
  </w:style>
  <w:style w:type="character" w:styleId="Odkaznapoznmkupodiarou">
    <w:name w:val="footnote reference"/>
    <w:basedOn w:val="Predvolenpsmoodseku"/>
    <w:uiPriority w:val="99"/>
    <w:semiHidden/>
    <w:rsid w:val="004F7B52"/>
    <w:rPr>
      <w:rFonts w:cs="Times New Roman"/>
      <w:vertAlign w:val="superscript"/>
    </w:rPr>
  </w:style>
  <w:style w:type="character" w:styleId="Zvraznenie">
    <w:name w:val="Emphasis"/>
    <w:basedOn w:val="Predvolenpsmoodseku"/>
    <w:uiPriority w:val="20"/>
    <w:qFormat/>
    <w:rsid w:val="006F4FE7"/>
    <w:rPr>
      <w:i/>
      <w:iCs/>
    </w:rPr>
  </w:style>
  <w:style w:type="paragraph" w:customStyle="1" w:styleId="oj-ti-art">
    <w:name w:val="oj-ti-art"/>
    <w:basedOn w:val="Normlny"/>
    <w:rsid w:val="00D3469D"/>
    <w:pPr>
      <w:autoSpaceDE/>
      <w:autoSpaceDN/>
      <w:spacing w:before="100" w:beforeAutospacing="1" w:after="100" w:afterAutospacing="1"/>
    </w:pPr>
  </w:style>
  <w:style w:type="paragraph" w:customStyle="1" w:styleId="oj-sti-art">
    <w:name w:val="oj-sti-art"/>
    <w:basedOn w:val="Normlny"/>
    <w:rsid w:val="00D3469D"/>
    <w:pPr>
      <w:autoSpaceDE/>
      <w:autoSpaceDN/>
      <w:spacing w:before="100" w:beforeAutospacing="1" w:after="100" w:afterAutospacing="1"/>
    </w:pPr>
  </w:style>
  <w:style w:type="paragraph" w:customStyle="1" w:styleId="oj-normal">
    <w:name w:val="oj-normal"/>
    <w:basedOn w:val="Normlny"/>
    <w:rsid w:val="00D3469D"/>
    <w:pPr>
      <w:autoSpaceDE/>
      <w:autoSpaceDN/>
      <w:spacing w:before="100" w:beforeAutospacing="1" w:after="100" w:afterAutospacing="1"/>
    </w:pPr>
  </w:style>
  <w:style w:type="character" w:customStyle="1" w:styleId="OdsekzoznamuChar">
    <w:name w:val="Odsek zoznamu Char"/>
    <w:link w:val="Odsekzoznamu"/>
    <w:uiPriority w:val="34"/>
    <w:locked/>
    <w:rsid w:val="00A702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italic">
    <w:name w:val="oj-italic"/>
    <w:basedOn w:val="Predvolenpsmoodseku"/>
    <w:rsid w:val="005051A6"/>
  </w:style>
  <w:style w:type="paragraph" w:customStyle="1" w:styleId="oj-signatory">
    <w:name w:val="oj-signatory"/>
    <w:basedOn w:val="Normlny"/>
    <w:rsid w:val="005051A6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36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51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45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51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14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2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9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1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6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1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3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6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837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4120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803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236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16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0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32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08584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1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7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2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6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4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9897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51064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41792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3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0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307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1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2351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5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9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35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94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54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768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4167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017091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5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8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8239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09328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6578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1246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5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16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12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9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3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34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6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6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6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6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10919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87911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47782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09997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6454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3016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1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85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4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3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2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2375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8385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0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5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4/371/2019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F036-E1D8-470C-836D-7C62591A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Bartikova Anna</dc:creator>
  <cp:lastModifiedBy>Fokova Barbora</cp:lastModifiedBy>
  <cp:revision>16</cp:revision>
  <dcterms:created xsi:type="dcterms:W3CDTF">2025-02-13T10:00:00Z</dcterms:created>
  <dcterms:modified xsi:type="dcterms:W3CDTF">2025-02-18T11:12:00Z</dcterms:modified>
</cp:coreProperties>
</file>