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AE02" w14:textId="77777777" w:rsidR="002E7825" w:rsidRPr="00B41D59" w:rsidRDefault="002E7825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B41D59">
        <w:rPr>
          <w:b/>
          <w:color w:val="000000" w:themeColor="text1"/>
          <w:sz w:val="20"/>
          <w:szCs w:val="20"/>
        </w:rPr>
        <w:t>TABUĽKA ZHODY</w:t>
      </w:r>
    </w:p>
    <w:p w14:paraId="004038FB" w14:textId="1F3DF400" w:rsidR="002E7825" w:rsidRPr="00B41D59" w:rsidRDefault="00CD297F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B41D59">
        <w:rPr>
          <w:b/>
          <w:color w:val="000000" w:themeColor="text1"/>
          <w:sz w:val="20"/>
          <w:szCs w:val="20"/>
        </w:rPr>
        <w:t>n</w:t>
      </w:r>
      <w:r w:rsidR="002E7825" w:rsidRPr="00B41D59">
        <w:rPr>
          <w:b/>
          <w:color w:val="000000" w:themeColor="text1"/>
          <w:sz w:val="20"/>
          <w:szCs w:val="20"/>
        </w:rPr>
        <w:t>ávrhu právneho predpisu s právom Európskej únie</w:t>
      </w:r>
    </w:p>
    <w:p w14:paraId="3AD695C7" w14:textId="77777777" w:rsidR="002E7825" w:rsidRPr="00B41D59" w:rsidRDefault="002E7825" w:rsidP="002E7825">
      <w:pPr>
        <w:pStyle w:val="Default"/>
        <w:rPr>
          <w:color w:val="000000" w:themeColor="text1"/>
          <w:sz w:val="20"/>
          <w:szCs w:val="20"/>
        </w:rPr>
      </w:pPr>
    </w:p>
    <w:p w14:paraId="553CCDA8" w14:textId="77777777" w:rsidR="002E7825" w:rsidRPr="00B41D59" w:rsidRDefault="002E7825" w:rsidP="002E7825">
      <w:pPr>
        <w:pStyle w:val="Default"/>
        <w:jc w:val="right"/>
        <w:rPr>
          <w:color w:val="000000" w:themeColor="text1"/>
          <w:sz w:val="20"/>
          <w:szCs w:val="20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851"/>
        <w:gridCol w:w="708"/>
        <w:gridCol w:w="4678"/>
        <w:gridCol w:w="425"/>
        <w:gridCol w:w="709"/>
        <w:gridCol w:w="567"/>
        <w:gridCol w:w="709"/>
      </w:tblGrid>
      <w:tr w:rsidR="00B41D59" w:rsidRPr="00B41D59" w14:paraId="4218D0C6" w14:textId="06D2C0B2" w:rsidTr="000B6FEB">
        <w:trPr>
          <w:trHeight w:val="5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F6000" w14:textId="3468E83C" w:rsidR="000B6FEB" w:rsidRPr="00B41D59" w:rsidRDefault="00687EB5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B41D59">
              <w:rPr>
                <w:b/>
                <w:bCs/>
                <w:color w:val="000000" w:themeColor="text1"/>
                <w:shd w:val="clear" w:color="auto" w:fill="FFFFFF"/>
              </w:rPr>
              <w:t>Nariadenie</w:t>
            </w:r>
          </w:p>
          <w:p w14:paraId="1DF5CAD4" w14:textId="77777777" w:rsidR="000B6FEB" w:rsidRPr="00B41D59" w:rsidRDefault="000B6FEB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A627FF8" w14:textId="5AF0E4E0" w:rsidR="000B6FEB" w:rsidRPr="00B41D59" w:rsidRDefault="000B6FEB" w:rsidP="0019132C">
            <w:pPr>
              <w:ind w:right="97"/>
              <w:jc w:val="both"/>
              <w:rPr>
                <w:b/>
                <w:color w:val="000000" w:themeColor="text1"/>
              </w:rPr>
            </w:pPr>
            <w:r w:rsidRPr="00B41D59">
              <w:rPr>
                <w:b/>
                <w:color w:val="000000" w:themeColor="text1"/>
                <w:shd w:val="clear" w:color="auto" w:fill="FFFFFF"/>
              </w:rPr>
              <w:t>Nariadenie Európskeho parlamentu a Rady (EÚ) 2022/2036 z 19. októbra 2022, ktorým sa mení nariadenie (EÚ) č. 575/2013 a smernica 2014/59/EÚ, pokiaľ ide o </w:t>
            </w:r>
            <w:proofErr w:type="spellStart"/>
            <w:r w:rsidRPr="00B41D59">
              <w:rPr>
                <w:b/>
                <w:color w:val="000000" w:themeColor="text1"/>
                <w:shd w:val="clear" w:color="auto" w:fill="FFFFFF"/>
              </w:rPr>
              <w:t>prudenciálne</w:t>
            </w:r>
            <w:proofErr w:type="spellEnd"/>
            <w:r w:rsidRPr="00B41D59">
              <w:rPr>
                <w:b/>
                <w:color w:val="000000" w:themeColor="text1"/>
                <w:shd w:val="clear" w:color="auto" w:fill="FFFFFF"/>
              </w:rPr>
              <w:t xml:space="preserve"> zaobchádzanie s globálnymi systémovo významnými inštitúciami so stratégiou riešenia krízových situácií vo viacerých okamihoch a metódy nepriameho upisovania nástrojov oprávnených na splnenie minimálnej požiadavky na vlastné zdroje a oprávnené záväzky (</w:t>
            </w:r>
            <w:r w:rsidRPr="00B41D59">
              <w:rPr>
                <w:rStyle w:val="Zvraznenie"/>
                <w:b/>
                <w:i w:val="0"/>
                <w:color w:val="000000" w:themeColor="text1"/>
                <w:shd w:val="clear" w:color="auto" w:fill="FFFFFF"/>
              </w:rPr>
              <w:t>Ú. v. EÚ L 275, 25.10.2022)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C8DDA6" w14:textId="77777777" w:rsidR="000B6FEB" w:rsidRPr="00B41D59" w:rsidRDefault="000B6FEB" w:rsidP="002E7825">
            <w:pPr>
              <w:pStyle w:val="Nadpis4"/>
              <w:spacing w:before="120"/>
              <w:jc w:val="left"/>
              <w:rPr>
                <w:color w:val="000000" w:themeColor="text1"/>
                <w:sz w:val="24"/>
                <w:szCs w:val="24"/>
              </w:rPr>
            </w:pPr>
            <w:r w:rsidRPr="00B41D59">
              <w:rPr>
                <w:color w:val="000000" w:themeColor="text1"/>
                <w:sz w:val="24"/>
                <w:szCs w:val="24"/>
              </w:rPr>
              <w:t>Právne predpisy Slovenskej republiky</w:t>
            </w:r>
          </w:p>
          <w:p w14:paraId="1FEC15BA" w14:textId="77777777" w:rsidR="000B6FEB" w:rsidRPr="00B41D59" w:rsidRDefault="000B6FEB" w:rsidP="002E7825">
            <w:pPr>
              <w:rPr>
                <w:color w:val="000000" w:themeColor="text1"/>
              </w:rPr>
            </w:pPr>
          </w:p>
          <w:p w14:paraId="3F0A540A" w14:textId="45913618" w:rsidR="000B6FEB" w:rsidRPr="00B41D59" w:rsidRDefault="000B6FEB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  <w:r w:rsidRPr="00B41D59">
              <w:rPr>
                <w:b/>
                <w:color w:val="000000" w:themeColor="text1"/>
              </w:rPr>
              <w:t>Návrh zákona, ktorým sa mení a dopĺňa zákon č. 371/2014 Z. z. o riešení krízových situácií na finančnom trhu a o zmene a doplnení niektorých zákonov v znení neskorších predpisov</w:t>
            </w:r>
            <w:r w:rsidR="00CD6707" w:rsidRPr="00B41D59">
              <w:rPr>
                <w:b/>
                <w:color w:val="000000" w:themeColor="text1"/>
              </w:rPr>
              <w:t xml:space="preserve"> </w:t>
            </w:r>
            <w:r w:rsidRPr="00B41D59">
              <w:rPr>
                <w:b/>
                <w:bCs/>
                <w:color w:val="000000" w:themeColor="text1"/>
              </w:rPr>
              <w:t>(ďalej „návrh zákona“)</w:t>
            </w:r>
            <w:r w:rsidRPr="00B41D59">
              <w:rPr>
                <w:b/>
                <w:color w:val="000000" w:themeColor="text1"/>
              </w:rPr>
              <w:t xml:space="preserve"> </w:t>
            </w:r>
          </w:p>
          <w:p w14:paraId="0A46EAD0" w14:textId="77777777" w:rsidR="000B6FEB" w:rsidRPr="00B41D59" w:rsidRDefault="000B6FEB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  <w:p w14:paraId="5DAAE59B" w14:textId="77777777" w:rsidR="000B6FEB" w:rsidRPr="00B41D59" w:rsidRDefault="000B6FEB" w:rsidP="00152401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 xml:space="preserve">Zákon č. 371/2014 Z. z. o riešení krízových situácií na finančnom trhu a o zmene a doplnení niektorých zákonov v znení neskorších predpisov </w:t>
            </w:r>
            <w:r w:rsidRPr="00B41D59">
              <w:rPr>
                <w:bCs/>
                <w:color w:val="000000" w:themeColor="text1"/>
              </w:rPr>
              <w:t>(ďalej „371/2014“)</w:t>
            </w:r>
          </w:p>
          <w:p w14:paraId="0037666C" w14:textId="77777777" w:rsidR="000B6FEB" w:rsidRPr="00B41D59" w:rsidRDefault="000B6FEB" w:rsidP="00152401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  <w:p w14:paraId="07976DD5" w14:textId="13C0A241" w:rsidR="00B61C68" w:rsidRPr="00B41D59" w:rsidRDefault="00B61C68" w:rsidP="004F7B52">
            <w:pPr>
              <w:tabs>
                <w:tab w:val="left" w:pos="0"/>
              </w:tabs>
              <w:jc w:val="both"/>
              <w:rPr>
                <w:bCs/>
                <w:color w:val="000000" w:themeColor="text1"/>
              </w:rPr>
            </w:pPr>
            <w:r w:rsidRPr="00CE50C2">
              <w:rPr>
                <w:bCs/>
                <w:color w:val="000000" w:themeColor="text1"/>
              </w:rPr>
              <w:t xml:space="preserve">Zákon č. 575/2001 Z. z. </w:t>
            </w:r>
            <w:r w:rsidRPr="00CE50C2">
              <w:rPr>
                <w:bCs/>
                <w:color w:val="000000" w:themeColor="text1"/>
                <w:shd w:val="clear" w:color="auto" w:fill="FFFFFF"/>
              </w:rPr>
              <w:t xml:space="preserve">o organizácii činnosti vlády a organizácii ústrednej štátnej správy </w:t>
            </w:r>
            <w:r w:rsidRPr="00CE50C2">
              <w:rPr>
                <w:bCs/>
                <w:color w:val="000000" w:themeColor="text1"/>
              </w:rPr>
              <w:t>v znení neskorších predpisov (ďalej „575/2001“)</w:t>
            </w:r>
          </w:p>
          <w:p w14:paraId="5E3724DC" w14:textId="1EF4B913" w:rsidR="000B6FEB" w:rsidRPr="00B41D59" w:rsidRDefault="000B6FEB" w:rsidP="002E7825">
            <w:pPr>
              <w:pStyle w:val="Nadpis4"/>
              <w:spacing w:before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41D59" w:rsidRPr="00B41D59" w14:paraId="1914E6B2" w14:textId="048DEE9B" w:rsidTr="001F057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E214F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453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CC8B7" w14:textId="77777777" w:rsidR="000B6FEB" w:rsidRPr="00B41D59" w:rsidRDefault="000B6FEB" w:rsidP="00953B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FAE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5B" w14:textId="77777777" w:rsidR="000B6FEB" w:rsidRPr="00B41D59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FA" w14:textId="77777777" w:rsidR="000B6FEB" w:rsidRPr="00B41D59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45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04006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556" w14:textId="6DB27D59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76C40" w14:textId="089AD8C4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B41D59" w:rsidRPr="00B41D59" w14:paraId="437405D6" w14:textId="3BD0B914" w:rsidTr="00CD5DD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2FD33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Článok</w:t>
            </w:r>
          </w:p>
          <w:p w14:paraId="0C1872C2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(Č, O,</w:t>
            </w:r>
          </w:p>
          <w:p w14:paraId="20F73F2A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0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4F42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487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C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7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E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Zhoda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87C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Poznámky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572" w14:textId="77777777" w:rsidR="00555713" w:rsidRPr="00B41D59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Identifikácia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goldplatingu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2BDE21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D4F670B" w14:textId="77777777" w:rsidR="00555713" w:rsidRPr="00B41D59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Identifikácia oblasti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gold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platingu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a vyjadrenie k </w:t>
            </w:r>
          </w:p>
          <w:p w14:paraId="51590856" w14:textId="3A30C2C0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 xml:space="preserve">opodstatnenosti </w:t>
            </w:r>
            <w:proofErr w:type="spellStart"/>
            <w:r w:rsidRPr="00B41D59">
              <w:rPr>
                <w:color w:val="000000" w:themeColor="text1"/>
              </w:rPr>
              <w:t>goldplatingu</w:t>
            </w:r>
            <w:proofErr w:type="spellEnd"/>
          </w:p>
        </w:tc>
      </w:tr>
      <w:tr w:rsidR="00B41D59" w:rsidRPr="00B41D59" w14:paraId="0D3D905C" w14:textId="5FA19D70" w:rsidTr="00CD5DD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0E7E" w14:textId="0786394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čl.2 O:1</w:t>
            </w:r>
          </w:p>
          <w:p w14:paraId="29C0E6CD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5A65BF7" w14:textId="15A5A42E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(Čl. 45d</w:t>
            </w:r>
          </w:p>
          <w:p w14:paraId="44E1DC56" w14:textId="437050BA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O 4 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86EC" w14:textId="77777777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Článok 2</w:t>
            </w:r>
          </w:p>
          <w:p w14:paraId="40D9EF2A" w14:textId="77777777" w:rsidR="00555713" w:rsidRPr="00256188" w:rsidRDefault="00555713" w:rsidP="005557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6188">
              <w:rPr>
                <w:b/>
                <w:bCs/>
                <w:color w:val="000000" w:themeColor="text1"/>
                <w:sz w:val="20"/>
                <w:szCs w:val="20"/>
              </w:rPr>
              <w:t>Zmeny smernice 2014/59/EÚ</w:t>
            </w:r>
          </w:p>
          <w:p w14:paraId="03B8F999" w14:textId="77777777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Smernica 2014/59/EÚ sa mení takto:</w:t>
            </w:r>
          </w:p>
          <w:p w14:paraId="01979A40" w14:textId="361D314C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1. V článku 45d sa odsek 4 nahrádza takto:</w:t>
            </w:r>
          </w:p>
          <w:p w14:paraId="1AB44D4A" w14:textId="3F8F9017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ind w:left="96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4.   Na účely článku 45 h ods. 2, ak sú viaceré subjekty G-SII, ktoré sú súčasťou tej istej G-SII, subjektmi, ktorých krízová situácia sa rieši, alebo subjektmi z tretích krajín, ktoré by boli subjektmi, ktorých krízová situácia sa rieši, keby boli usadené v Únii, príslušné orgány pre </w:t>
            </w:r>
            <w:r w:rsidRPr="00256188">
              <w:rPr>
                <w:color w:val="000000" w:themeColor="text1"/>
                <w:sz w:val="20"/>
                <w:szCs w:val="20"/>
              </w:rPr>
              <w:lastRenderedPageBreak/>
              <w:t>riešenie krízových situácií vypočítajú sumu uvedenú v odseku 3 tohto článku:</w:t>
            </w:r>
          </w:p>
          <w:p w14:paraId="2D51AED6" w14:textId="6EA4575A" w:rsidR="00555713" w:rsidRDefault="00555713" w:rsidP="00555713">
            <w:pPr>
              <w:pStyle w:val="norm2"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left="96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a) pre každý subjekt, ktorého krízová situácia sa rieši, alebo subjekt z tretej krajiny, ktorý by bol subjektom, ktorého krízová situácia sa rieši, keby bol usadený v Únii;</w:t>
            </w:r>
          </w:p>
          <w:p w14:paraId="31B7FEB9" w14:textId="77777777" w:rsidR="00726595" w:rsidRPr="00256188" w:rsidRDefault="00726595" w:rsidP="00555713">
            <w:pPr>
              <w:pStyle w:val="norm2"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left="96"/>
              <w:rPr>
                <w:color w:val="000000" w:themeColor="text1"/>
                <w:sz w:val="20"/>
                <w:szCs w:val="20"/>
              </w:rPr>
            </w:pPr>
          </w:p>
          <w:p w14:paraId="27CE9B39" w14:textId="2FC3E11A" w:rsidR="00555713" w:rsidRPr="00256188" w:rsidRDefault="00555713" w:rsidP="00555713">
            <w:pPr>
              <w:pStyle w:val="norm2"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left="96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b) pre materskú spoločnosť v Únii, ako keby bola jediným subjektom v rámci G-SII, ktorého krízová situácia sa rieši.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8492CE" w14:textId="20148178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  <w:p w14:paraId="1F5AD757" w14:textId="77777777" w:rsidR="00555713" w:rsidRPr="00256188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5394874" w14:textId="77777777" w:rsidR="00555713" w:rsidRPr="00256188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C25943A" w14:textId="5D3DC19B" w:rsidR="00555713" w:rsidRPr="00256188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C801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7A26199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4720C9D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B44998" w14:textId="1D3E2730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371/2014a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 xml:space="preserve"> 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7B5F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FB2EA0D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BCD95B1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C99B7BA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3AC4BAA" w14:textId="4CD398CC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 xml:space="preserve">§31c </w:t>
            </w:r>
          </w:p>
          <w:p w14:paraId="0777FB81" w14:textId="3F5F5C00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Ods.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99D0" w14:textId="77777777" w:rsidR="00555713" w:rsidRPr="00256188" w:rsidRDefault="00555713" w:rsidP="00555713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A6E0604" w14:textId="77777777" w:rsidR="00555713" w:rsidRPr="00256188" w:rsidRDefault="00555713" w:rsidP="00555713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C0E7599" w14:textId="77777777" w:rsidR="00555713" w:rsidRPr="00256188" w:rsidRDefault="00555713" w:rsidP="00555713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00D90F" w14:textId="77777777" w:rsidR="00555713" w:rsidRPr="00256188" w:rsidRDefault="00555713" w:rsidP="00555713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D1F2CCF" w14:textId="029B310E" w:rsidR="00555713" w:rsidRPr="00256188" w:rsidRDefault="00555713" w:rsidP="00555713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Na účely </w:t>
            </w:r>
            <w:hyperlink r:id="rId8" w:anchor="paragraf-31f.odsek-4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</w:rPr>
                <w:t>§ 31f ods. 4</w:t>
              </w:r>
            </w:hyperlink>
            <w:r w:rsidRPr="00256188">
              <w:rPr>
                <w:color w:val="000000" w:themeColor="text1"/>
                <w:sz w:val="20"/>
                <w:szCs w:val="20"/>
              </w:rPr>
              <w:t xml:space="preserve">, ak sú viaceré subjekty G-SII, ktoré patria do rovnakej G-SII, rezolučnými subjektmi 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 xml:space="preserve">alebo </w:t>
            </w:r>
            <w:r w:rsidR="009D4D71" w:rsidRPr="00256188">
              <w:rPr>
                <w:b/>
                <w:color w:val="000000" w:themeColor="text1"/>
                <w:sz w:val="20"/>
                <w:szCs w:val="20"/>
              </w:rPr>
              <w:t xml:space="preserve">pobočky vybranej inštitúcie tretej krajiny, ktoré by boli rezolučnými subjektmi, ak by mali sídlo </w:t>
            </w:r>
            <w:r w:rsidR="009D4D71" w:rsidRPr="00256188">
              <w:rPr>
                <w:b/>
                <w:color w:val="000000" w:themeColor="text1"/>
                <w:sz w:val="20"/>
                <w:szCs w:val="20"/>
              </w:rPr>
              <w:lastRenderedPageBreak/>
              <w:t>v členskom štáte</w:t>
            </w:r>
            <w:r w:rsidRPr="00256188">
              <w:rPr>
                <w:color w:val="000000" w:themeColor="text1"/>
                <w:sz w:val="20"/>
                <w:szCs w:val="20"/>
              </w:rPr>
              <w:t>,  rada vypočíta požiadavku podľa odseku 3 pre</w:t>
            </w:r>
          </w:p>
          <w:p w14:paraId="04D6C050" w14:textId="0B07040B" w:rsidR="00555713" w:rsidRPr="00256188" w:rsidRDefault="00555713" w:rsidP="00555713">
            <w:pPr>
              <w:pStyle w:val="Odsekzoznamu"/>
              <w:numPr>
                <w:ilvl w:val="0"/>
                <w:numId w:val="12"/>
              </w:numPr>
              <w:shd w:val="clear" w:color="auto" w:fill="FFFFFF"/>
              <w:ind w:left="57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každý rezolučný subjekt so sídlom v Slovenskej republike 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 xml:space="preserve">alebo </w:t>
            </w:r>
            <w:r w:rsidR="009D4D71" w:rsidRPr="00256188">
              <w:rPr>
                <w:b/>
                <w:color w:val="000000" w:themeColor="text1"/>
                <w:sz w:val="20"/>
                <w:szCs w:val="20"/>
              </w:rPr>
              <w:t xml:space="preserve">pobočku vybranej inštitúcie tretej krajiny, </w:t>
            </w:r>
            <w:r w:rsidR="009D4D71" w:rsidRPr="00905902">
              <w:rPr>
                <w:b/>
                <w:color w:val="000000" w:themeColor="text1"/>
                <w:sz w:val="20"/>
                <w:szCs w:val="20"/>
              </w:rPr>
              <w:t>ktor</w:t>
            </w:r>
            <w:r w:rsidR="00237D70" w:rsidRPr="00905902">
              <w:rPr>
                <w:b/>
                <w:color w:val="000000" w:themeColor="text1"/>
                <w:sz w:val="20"/>
                <w:szCs w:val="20"/>
              </w:rPr>
              <w:t>á</w:t>
            </w:r>
            <w:r w:rsidR="009D4D71" w:rsidRPr="00905902">
              <w:rPr>
                <w:b/>
                <w:color w:val="000000" w:themeColor="text1"/>
                <w:sz w:val="20"/>
                <w:szCs w:val="20"/>
              </w:rPr>
              <w:t xml:space="preserve"> by bol</w:t>
            </w:r>
            <w:r w:rsidR="00237D70" w:rsidRPr="00905902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9D4D71" w:rsidRPr="00905902">
              <w:rPr>
                <w:b/>
                <w:color w:val="000000" w:themeColor="text1"/>
                <w:sz w:val="20"/>
                <w:szCs w:val="20"/>
              </w:rPr>
              <w:t xml:space="preserve"> rezolučným subjekt</w:t>
            </w:r>
            <w:r w:rsidR="00237D70" w:rsidRPr="00905902">
              <w:rPr>
                <w:b/>
                <w:color w:val="000000" w:themeColor="text1"/>
                <w:sz w:val="20"/>
                <w:szCs w:val="20"/>
              </w:rPr>
              <w:t>o</w:t>
            </w:r>
            <w:r w:rsidR="009D4D71" w:rsidRPr="00905902">
              <w:rPr>
                <w:b/>
                <w:color w:val="000000" w:themeColor="text1"/>
                <w:sz w:val="20"/>
                <w:szCs w:val="20"/>
              </w:rPr>
              <w:t>m, ak by mal</w:t>
            </w:r>
            <w:r w:rsidR="00237D70" w:rsidRPr="00905902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9D4D71" w:rsidRPr="00905902">
              <w:rPr>
                <w:b/>
                <w:color w:val="000000" w:themeColor="text1"/>
                <w:sz w:val="20"/>
                <w:szCs w:val="20"/>
              </w:rPr>
              <w:t xml:space="preserve"> s</w:t>
            </w:r>
            <w:r w:rsidR="009D4D71" w:rsidRPr="00237D70">
              <w:rPr>
                <w:b/>
                <w:color w:val="000000" w:themeColor="text1"/>
                <w:sz w:val="20"/>
                <w:szCs w:val="20"/>
              </w:rPr>
              <w:t>ídlo v členskom štáte</w:t>
            </w:r>
            <w:r w:rsidRPr="00256188">
              <w:rPr>
                <w:color w:val="000000" w:themeColor="text1"/>
                <w:sz w:val="20"/>
                <w:szCs w:val="20"/>
              </w:rPr>
              <w:t>,</w:t>
            </w:r>
          </w:p>
          <w:p w14:paraId="20F82895" w14:textId="38AE7A16" w:rsidR="00555713" w:rsidRPr="00256188" w:rsidRDefault="00555713" w:rsidP="00555713">
            <w:pPr>
              <w:pStyle w:val="Odsekzoznamu"/>
              <w:numPr>
                <w:ilvl w:val="0"/>
                <w:numId w:val="12"/>
              </w:numPr>
              <w:shd w:val="clear" w:color="auto" w:fill="FFFFFF"/>
              <w:ind w:left="57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materskú spoločnosť v Európskej únii so sídlom v Slovenskej republike, ako keby bola jediným rezolučným subjektom G-SII.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8FC1" w14:textId="66B5563C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CBEB9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249" w14:textId="739CC69C" w:rsidR="00555713" w:rsidRPr="00B41D59" w:rsidRDefault="00555713" w:rsidP="00555713">
            <w:pPr>
              <w:pStyle w:val="Nadpis1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1B57E" w14:textId="10F576B4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1626D46F" w14:textId="663C7A83" w:rsidTr="000A2DB0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F5F" w14:textId="3AA83C3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čl.2 O:2</w:t>
            </w:r>
          </w:p>
          <w:p w14:paraId="5C1ED905" w14:textId="1846F0EE" w:rsidR="00555713" w:rsidRPr="00B41D59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  <w:r w:rsidRPr="00B41D59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B41D59">
              <w:rPr>
                <w:color w:val="000000" w:themeColor="text1"/>
                <w:sz w:val="20"/>
                <w:szCs w:val="20"/>
              </w:rPr>
              <w:t>Čl. 45f O:6</w:t>
            </w:r>
            <w:r w:rsidRPr="00B41D5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41D59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CE6B" w14:textId="4E045B32" w:rsidR="00555713" w:rsidRPr="00B41D59" w:rsidRDefault="00555713" w:rsidP="00555713">
            <w:pPr>
              <w:pStyle w:val="norm2"/>
              <w:shd w:val="clear" w:color="auto" w:fill="FFFFFF"/>
              <w:spacing w:before="0" w:line="240" w:lineRule="auto"/>
              <w:ind w:left="383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2. V článku 45f sa vypúšťa odsek 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7E66A" w14:textId="3D34D77F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8CBB" w14:textId="6C1BF279" w:rsidR="00555713" w:rsidRPr="00B41D59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D492" w14:textId="0D7E444F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9AD9" w14:textId="60F9863C" w:rsidR="00555713" w:rsidRPr="00B41D59" w:rsidRDefault="00555713" w:rsidP="005557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2478" w14:textId="215EC932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5BB475" w14:textId="65ACB8C8" w:rsidR="00555713" w:rsidRPr="00B41D59" w:rsidRDefault="00555713" w:rsidP="00555713">
            <w:pPr>
              <w:pStyle w:val="Nadpis1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E5B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4E854" w14:textId="7013CB84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339328C8" w14:textId="3DC1B835" w:rsidTr="000A2DB0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85BC" w14:textId="14AAADCE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čl.2 O:3</w:t>
            </w:r>
          </w:p>
          <w:p w14:paraId="32F47A3A" w14:textId="1DE62BD1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0E031770" w14:textId="57F5A889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</w:p>
          <w:p w14:paraId="2FE80286" w14:textId="558617A1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45h O:2 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A478" w14:textId="5A146592" w:rsidR="00555713" w:rsidRPr="00256188" w:rsidRDefault="00555713" w:rsidP="00555713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3. V článku 45 h sa odsek 2 nahrádza takto:</w:t>
            </w:r>
          </w:p>
          <w:p w14:paraId="33999849" w14:textId="64FC1128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2.   Ak sú viaceré subjekty G-SII, ktoré sú súčasťou tej istej G-SII, subjektmi, ktorých krízová situácia sa rieši, alebo subjektmi z tretích krajín, ktoré by boli subjektmi, ktorých krízová situácia sa rieši, keby boli usadené v Únii, orgány pre riešenie krízových situácií uvedené v odseku 1 prerokujú, a ak je to vhodné a v súlade so stratégiou riešenia krízových situácií G-SII, sa dohodnú na uplatňovaní článku 72e nariadenia (EÚ) č. 575/2013 a na akejkoľvek úprave s cieľom minimalizovať alebo odstrániť rozdiel medzi súčtom súm uvedených v článku 45d ods. 4 písm. a) tejto smernice a v článku 12a písm. a) nariadenia (EÚ) č. 575/2013 pre jednotlivé subjekty, ktorých krízová situácia sa rieši, alebo subjekty z tretej krajiny, a súčtom súm uvedených v článku 45d ods. 4 písm. b) tejto smernice a v článku 12a písm. b) nariadenia (EÚ) č. 575/2013.</w:t>
            </w:r>
          </w:p>
          <w:p w14:paraId="352B249E" w14:textId="77777777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48EAB35B" w14:textId="77777777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Takáto úprava sa môže uplatniť za týchto podmienok:</w:t>
            </w:r>
          </w:p>
          <w:p w14:paraId="155C7A2B" w14:textId="77777777" w:rsidR="00555713" w:rsidRPr="00256188" w:rsidRDefault="00555713" w:rsidP="00555713">
            <w:pPr>
              <w:pStyle w:val="norm2"/>
              <w:numPr>
                <w:ilvl w:val="0"/>
                <w:numId w:val="9"/>
              </w:numPr>
              <w:shd w:val="clear" w:color="auto" w:fill="FFFFFF"/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úpravu možno uplatňovať vzhľadom na rozdiely vo výpočte celkových hodnôt rizikovej expozície medzi príslušnými členskými štátmi alebo tretími krajinami úpravou úrovne požiadavky;</w:t>
            </w:r>
          </w:p>
          <w:p w14:paraId="5E2F6550" w14:textId="4921162C" w:rsidR="00555713" w:rsidRPr="00256188" w:rsidRDefault="00555713" w:rsidP="00555713">
            <w:pPr>
              <w:pStyle w:val="norm2"/>
              <w:numPr>
                <w:ilvl w:val="0"/>
                <w:numId w:val="9"/>
              </w:numPr>
              <w:shd w:val="clear" w:color="auto" w:fill="FFFFFF"/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úprava sa neuplatňuje na odstránenie rozdielov vyplývajúcich z expozícií medzi skupinami, ktorých krízová situácia sa rieši.</w:t>
            </w:r>
          </w:p>
          <w:p w14:paraId="5B4E9EC1" w14:textId="77777777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3AF56BAF" w14:textId="722D3325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Súčet súm uvedených v článku 45d ods. 4 písm. a) tejto smernice a v článku 12a písm. a) nariadenia (EÚ) č. 575/2013 pre jednotlivé </w:t>
            </w:r>
            <w:r w:rsidRPr="00256188">
              <w:rPr>
                <w:color w:val="000000" w:themeColor="text1"/>
                <w:sz w:val="20"/>
                <w:szCs w:val="20"/>
              </w:rPr>
              <w:lastRenderedPageBreak/>
              <w:t>subjekty, ktorých krízová situácia sa rieši, alebo subjekty z tretej krajiny, ktoré by boli subjektmi, ktorých krízová situácia sa rieši, keby boli usadené v Únii, nesmie byť nižší ako súčet súm uvedených v článku 45d ods. 4 písm. b) tejto smernice a v článku 12a písm. b) nariadenia (EÚ) č. 575/2013.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0E4A0" w14:textId="1ECFDB4C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E84A" w14:textId="77777777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5FB5085E" w14:textId="1603A523" w:rsidR="00555713" w:rsidRPr="00256188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371/2014a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 xml:space="preserve"> 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174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2B90E4B" w14:textId="5FB2E25C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§ 31f O4</w:t>
            </w:r>
          </w:p>
          <w:p w14:paraId="3EDC47F4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7DB1117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D95C82A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579D83B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B545082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F2A3429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2C431C0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A9A8A0C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19C3C6D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2F080FF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C22D794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311A11A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1A0AC49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C775683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§ 31f O5</w:t>
            </w:r>
          </w:p>
          <w:p w14:paraId="7BBD34BB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100085F4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7760AF1A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559EF62E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31485F84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553D5B6E" w14:textId="24B8E622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§ 31f O6</w:t>
            </w:r>
          </w:p>
          <w:p w14:paraId="2C8D44CA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1E226357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032AADD3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77C3D6F8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3904E520" w14:textId="53B8E8B2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751F" w14:textId="19797985" w:rsidR="00555713" w:rsidRPr="00256188" w:rsidRDefault="00555713" w:rsidP="00555713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lastRenderedPageBreak/>
              <w:br/>
            </w:r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Ak viac ako jeden subjekt G-SII, kto</w:t>
            </w:r>
            <w:r w:rsidR="009D4D71"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rý je súčasťou tej istej G-SII, </w:t>
            </w:r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je rezolučným subjektom</w:t>
            </w:r>
            <w:r w:rsidR="009D4D71" w:rsidRPr="00256188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alebo pobočkou vybranej inštitúcie tretej krajiny, ktorá by bola rezolučným subjektom, ak by mala sídlo v členskom štáte</w:t>
            </w:r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, rezolučné orgány uvedené v odsekoch 1 a 2 prerokujú a prípadne v súlade so stratégiou riešenia krízových situácií G-SII sa dohodnú na uplatňovaní ustanovenia osobitného predpisu</w:t>
            </w:r>
            <w:hyperlink r:id="rId9" w:anchor="poznamky.poznamka-70u" w:tooltip="Odkaz na predpis alebo ustanovenie" w:history="1">
              <w:r w:rsidRPr="00256188">
                <w:rPr>
                  <w:rStyle w:val="Hypertextovprepojenie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  <w:vertAlign w:val="superscript"/>
                </w:rPr>
                <w:t>70u</w:t>
              </w:r>
              <w:r w:rsidRPr="00256188">
                <w:rPr>
                  <w:rStyle w:val="Hypertextovprepojenie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)</w:t>
              </w:r>
            </w:hyperlink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 a na úpravách tejto stratégie s cieľom minimalizovať alebo odstrániť rozdiel medzi súčtom sumy podľa </w:t>
            </w:r>
            <w:hyperlink r:id="rId10" w:anchor="paragraf-31c.odsek-4.pismeno-a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§ 31c ods. 4 písm. a)</w:t>
              </w:r>
            </w:hyperlink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 a sumy podľa osobitného predpisu</w:t>
            </w:r>
            <w:hyperlink r:id="rId11" w:anchor="poznamky.poznamka-70v" w:tooltip="Odkaz na predpis alebo ustanovenie" w:history="1">
              <w:r w:rsidRPr="00256188">
                <w:rPr>
                  <w:rStyle w:val="Hypertextovprepojenie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  <w:vertAlign w:val="superscript"/>
                </w:rPr>
                <w:t>70v</w:t>
              </w:r>
              <w:r w:rsidRPr="00256188">
                <w:rPr>
                  <w:rStyle w:val="Hypertextovprepojenie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)</w:t>
              </w:r>
            </w:hyperlink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 pre jednotlivé rezolučné subjekty a súčtom sumy podľa </w:t>
            </w:r>
            <w:hyperlink r:id="rId12" w:anchor="paragraf-31c.odsek-4.pismeno-b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§ 31c ods. 4 písm. b)</w:t>
              </w:r>
            </w:hyperlink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 a sumy podľa osobitného predpisu.</w:t>
            </w:r>
            <w:hyperlink r:id="rId13" w:anchor="poznamky.poznamka-70v" w:tooltip="Odkaz na predpis alebo ustanovenie" w:history="1">
              <w:r w:rsidRPr="00256188">
                <w:rPr>
                  <w:rStyle w:val="Hypertextovprepojenie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  <w:vertAlign w:val="superscript"/>
                </w:rPr>
                <w:t>70v</w:t>
              </w:r>
              <w:r w:rsidRPr="00256188">
                <w:rPr>
                  <w:rStyle w:val="Hypertextovprepojenie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)</w:t>
              </w:r>
            </w:hyperlink>
          </w:p>
          <w:p w14:paraId="62E389B6" w14:textId="77777777" w:rsidR="00555713" w:rsidRPr="00256188" w:rsidRDefault="00555713" w:rsidP="005557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4226B8" w14:textId="77777777" w:rsidR="00555713" w:rsidRPr="00256188" w:rsidRDefault="00555713" w:rsidP="005557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8B53E1D" w14:textId="55BDE346" w:rsidR="00555713" w:rsidRPr="00256188" w:rsidRDefault="00555713" w:rsidP="00555713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Ustanovenie odseku 4 sa môže uplatniť úpravou úrovne požiadavky vzhľadom na rozdiely vo výpočte celkových hodnôt rizikovej expozície medzi rôznymi členskými štátmi 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>alebo tretími krajinami</w:t>
            </w:r>
            <w:r w:rsidRPr="00256188">
              <w:rPr>
                <w:color w:val="000000" w:themeColor="text1"/>
                <w:sz w:val="20"/>
                <w:szCs w:val="20"/>
              </w:rPr>
              <w:t>; úprava sa neuplatňuje na odstránenie rozdielov vyplývajúcich z expozícií medzi rezolučnými skupinami.</w:t>
            </w:r>
          </w:p>
          <w:p w14:paraId="6C615C87" w14:textId="77777777" w:rsidR="00555713" w:rsidRPr="00256188" w:rsidRDefault="00555713" w:rsidP="00555713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FA0226" w14:textId="22F464D3" w:rsidR="00555713" w:rsidRPr="00256188" w:rsidRDefault="00555713" w:rsidP="00555713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Súčet sumy uvedenej v </w:t>
            </w:r>
            <w:hyperlink r:id="rId14" w:anchor="paragraf-31c.odsek-4.pismeno-a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</w:rPr>
                <w:t>§ 31c ods. 4 písm. a)</w:t>
              </w:r>
            </w:hyperlink>
            <w:r w:rsidRPr="00256188">
              <w:rPr>
                <w:color w:val="000000" w:themeColor="text1"/>
                <w:sz w:val="20"/>
                <w:szCs w:val="20"/>
              </w:rPr>
              <w:t> a sumy podľa osobitného predpisu</w:t>
            </w:r>
            <w:hyperlink r:id="rId15" w:anchor="poznamky.poznamka-70v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  <w:vertAlign w:val="superscript"/>
                </w:rPr>
                <w:t>70v</w:t>
              </w:r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</w:rPr>
                <w:t>)</w:t>
              </w:r>
            </w:hyperlink>
            <w:r w:rsidRPr="00256188">
              <w:rPr>
                <w:color w:val="000000" w:themeColor="text1"/>
                <w:sz w:val="20"/>
                <w:szCs w:val="20"/>
              </w:rPr>
              <w:t xml:space="preserve"> pre jednotlivé rezolučné subjekty 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alebo </w:t>
            </w:r>
            <w:r w:rsidR="009D4D71" w:rsidRPr="00256188">
              <w:rPr>
                <w:b/>
                <w:color w:val="000000" w:themeColor="text1"/>
                <w:sz w:val="20"/>
                <w:szCs w:val="20"/>
              </w:rPr>
              <w:t>pobočky vybraných inštitúcií tretej krajiny, ktoré by boli rezolučnými subjektmi, ak by mali sídlo v členskom štáte</w:t>
            </w:r>
            <w:r w:rsidRPr="00256188">
              <w:rPr>
                <w:color w:val="000000" w:themeColor="text1"/>
                <w:sz w:val="20"/>
                <w:szCs w:val="20"/>
              </w:rPr>
              <w:t xml:space="preserve"> nesmie byť nižší ako súčet sumy uvedenej v </w:t>
            </w:r>
            <w:hyperlink r:id="rId16" w:anchor="paragraf-31c.odsek-4.pismeno-b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</w:rPr>
                <w:t>§ 31c ods. 4 písm. b)</w:t>
              </w:r>
            </w:hyperlink>
            <w:r w:rsidRPr="00256188">
              <w:rPr>
                <w:color w:val="000000" w:themeColor="text1"/>
                <w:sz w:val="20"/>
                <w:szCs w:val="20"/>
              </w:rPr>
              <w:t> a sumy podľa osobitného predpisu.</w:t>
            </w:r>
            <w:hyperlink r:id="rId17" w:anchor="poznamky.poznamka-70v" w:tooltip="Odkaz na predpis alebo ustanovenie" w:history="1"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  <w:vertAlign w:val="superscript"/>
                </w:rPr>
                <w:t>70v</w:t>
              </w:r>
              <w:r w:rsidRPr="00256188">
                <w:rPr>
                  <w:rStyle w:val="Hypertextovprepojenie"/>
                  <w:iCs/>
                  <w:color w:val="000000" w:themeColor="text1"/>
                  <w:sz w:val="20"/>
                  <w:szCs w:val="20"/>
                </w:rPr>
                <w:t>)</w:t>
              </w:r>
            </w:hyperlink>
          </w:p>
          <w:p w14:paraId="494B0210" w14:textId="1589199D" w:rsidR="00555713" w:rsidRPr="00256188" w:rsidRDefault="00555713" w:rsidP="005557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FE98" w14:textId="3FAD8794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604CF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78" w14:textId="331ADE72" w:rsidR="00555713" w:rsidRPr="00B41D59" w:rsidRDefault="00555713" w:rsidP="00555713">
            <w:pPr>
              <w:pStyle w:val="Nadpis1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bCs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48CFD" w14:textId="615D6602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1BFAC381" w14:textId="3046BF41" w:rsidTr="002548FE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54A4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5F5427A" w14:textId="5574852E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čl.2 O:4</w:t>
            </w:r>
          </w:p>
          <w:p w14:paraId="504152D4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147C1BD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(Čl. 129 </w:t>
            </w:r>
          </w:p>
          <w:p w14:paraId="027BC9E1" w14:textId="49AE5D8D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 pod-odsek 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FE73" w14:textId="1A208C88" w:rsidR="00555713" w:rsidRPr="00B41D59" w:rsidRDefault="00555713" w:rsidP="00555713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4. V článku 129 sa dopĺňa tento odsek:</w:t>
            </w:r>
          </w:p>
          <w:p w14:paraId="4B1069D3" w14:textId="6B4E2D2D" w:rsidR="00555713" w:rsidRPr="00B41D59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Komisia do 31. decembra 2022 preskúma vplyv nepriameho upisovania nástrojov oprávnených na splnenie minimálnej požiadavky na vlastné zdroje a oprávnené záväzky na rovnaké podmienky medzi rôznymi typmi štruktúr bankových skupín vrátane prípadov, keď v rámci skupín stojí medzi holdingovou spoločnosťou identifikovanou ako subjekt, ktorého krízová situácia sa rieši, a jej dcérskymi spoločnosťami prevádzková spoločnosť. Posúdi najmä:</w:t>
            </w:r>
          </w:p>
          <w:p w14:paraId="61D21FA2" w14:textId="4BB1354E" w:rsidR="00555713" w:rsidRPr="00B41D59" w:rsidRDefault="00555713" w:rsidP="00555713">
            <w:pPr>
              <w:pStyle w:val="norm2"/>
              <w:numPr>
                <w:ilvl w:val="0"/>
                <w:numId w:val="10"/>
              </w:numPr>
              <w:shd w:val="clear" w:color="auto" w:fill="FFFFFF"/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možnosť povoliť subjektom, ktoré nie sú samy subjektmi, ktorých krízová situácia sa rieši, aby minimálnu požiadavku na vlastné zdroje a oprávnené záväzky plnili na konsolidovanom základe;</w:t>
            </w:r>
          </w:p>
          <w:p w14:paraId="16E66041" w14:textId="6839EB54" w:rsidR="00555713" w:rsidRPr="00B41D59" w:rsidRDefault="00555713" w:rsidP="00555713">
            <w:pPr>
              <w:pStyle w:val="norm2"/>
              <w:numPr>
                <w:ilvl w:val="0"/>
                <w:numId w:val="10"/>
              </w:numPr>
              <w:shd w:val="clear" w:color="auto" w:fill="FFFFFF"/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zaobchádzanie podľa pravidiel upravujúcich minimálnu požiadavku na vlastné zdroje a oprávnené záväzky so subjektmi, ktorých plán riešenia krízovej situácie stanovuje, že sa majú zlikvidovať v rámci bežného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insolvenčného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konania;</w:t>
            </w:r>
          </w:p>
          <w:p w14:paraId="7772D6DA" w14:textId="1CA1BE92" w:rsidR="00555713" w:rsidRPr="00B41D59" w:rsidRDefault="00555713" w:rsidP="00555713">
            <w:pPr>
              <w:pStyle w:val="norm2"/>
              <w:numPr>
                <w:ilvl w:val="0"/>
                <w:numId w:val="10"/>
              </w:numPr>
              <w:shd w:val="clear" w:color="auto" w:fill="FFFFFF"/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vhodnosť obmedzenia výšky odpočtov požadovaných podľa článku 72e ods. 5 nariadenia (EÚ) č. 575/2013.</w:t>
            </w:r>
          </w:p>
          <w:p w14:paraId="61FC6C04" w14:textId="7E0956B1" w:rsidR="00555713" w:rsidRPr="00B41D59" w:rsidRDefault="00555713" w:rsidP="00555713">
            <w:pPr>
              <w:pStyle w:val="norm2"/>
              <w:shd w:val="clear" w:color="auto" w:fill="FFFFFF"/>
              <w:spacing w:before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Komisia o tom predloží Európskemu parlamentu a Rade správu. V prípade potreby sa k uvedenej správe pripojí legislatívny návrh, pričom sa zohľadní dátum začatia uplatňovania článku 72e ods. 5 nariadenia (EÚ) č. 575/2013.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8C6E6" w14:textId="1C8C11F9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302F" w14:textId="36318C08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519E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C5F" w14:textId="6AE6D139" w:rsidR="00555713" w:rsidRPr="00B41D59" w:rsidRDefault="00555713" w:rsidP="00555713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C769" w14:textId="458459D7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91EB3F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807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3EF71" w14:textId="2288F302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535AF3D3" w14:textId="77777777" w:rsidTr="000A2DB0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C0BF" w14:textId="3A204555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Čl:3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DA75" w14:textId="76CDC0A2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1. Členské štáty uvedú do účinnosti zákony, iné právne predpisy a správne opatrenia potrebné na dosiahnutie súladu s článkom 2 bodmi 1 a 3 do 15. novembra 2023. </w:t>
            </w:r>
          </w:p>
          <w:p w14:paraId="4E63FB71" w14:textId="04B23EBF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4915541" w14:textId="77777777" w:rsidR="00CA105A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Znenie týchto opatrení bezodkladne oznámia Komisii. </w:t>
            </w:r>
          </w:p>
          <w:p w14:paraId="33EF74E4" w14:textId="77777777" w:rsidR="00CA105A" w:rsidRPr="00256188" w:rsidRDefault="00CA105A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22B64D5" w14:textId="77777777" w:rsidR="00CA105A" w:rsidRPr="00256188" w:rsidRDefault="00CA105A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7E2BCCF" w14:textId="77777777" w:rsidR="00CA105A" w:rsidRPr="00256188" w:rsidRDefault="00CA105A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5BE95A9" w14:textId="77777777" w:rsidR="00CA105A" w:rsidRPr="00256188" w:rsidRDefault="00CA105A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C9117A0" w14:textId="766FAFF7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Členské štáty uvedú priamo v prijatých opatreniach alebo pri ich úradnom uverejnení odkaz na toto nariadenie. Podrobnosti o odkaze upravia členské štáty. </w:t>
            </w:r>
          </w:p>
          <w:p w14:paraId="21B3C197" w14:textId="52DF9FE1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8056BCE" w14:textId="7EA4B426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FA0059A" w14:textId="4FE293EA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251590A" w14:textId="0898568E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73D359D" w14:textId="3E22FBDD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F251DE8" w14:textId="720D6238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67E00F3" w14:textId="22EF0DA9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7EBD0E1" w14:textId="49DB0CCE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3871A67" w14:textId="4B1FA940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8ACD98A" w14:textId="44133ADD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0C6046E" w14:textId="390C9A21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381BD74" w14:textId="057B347C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2992361" w14:textId="652517E5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B12A067" w14:textId="1FE52D6B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60C20D0" w14:textId="77777777" w:rsidR="002025FD" w:rsidRPr="00256188" w:rsidRDefault="002025FD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08C485D" w14:textId="3B6D5636" w:rsidR="00555713" w:rsidRPr="00256188" w:rsidRDefault="00555713" w:rsidP="00555713">
            <w:pPr>
              <w:pStyle w:val="norm2"/>
              <w:shd w:val="clear" w:color="auto" w:fill="FFFFFF"/>
              <w:spacing w:before="0" w:line="240" w:lineRule="auto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2. Členské štáty oznámia Komisii znenie hlavných opatrení vnútroštátneho práva, ktoré prijmú v oblasti pôsobnosti článku 2 bodov 1 a 3 tohto nariadenia.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0DDB2" w14:textId="311967BB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4C91" w14:textId="29CF7820" w:rsidR="00555713" w:rsidRPr="00256188" w:rsidRDefault="00CE50C2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b/>
                <w:color w:val="000000" w:themeColor="text1"/>
                <w:sz w:val="20"/>
                <w:szCs w:val="20"/>
              </w:rPr>
              <w:t>Návrh zákona čl. II</w:t>
            </w:r>
          </w:p>
          <w:p w14:paraId="14EAB23C" w14:textId="77777777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8E0481B" w14:textId="77777777" w:rsidR="00CA105A" w:rsidRPr="00256188" w:rsidRDefault="00CA105A" w:rsidP="00CA10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575/ 2001</w:t>
            </w:r>
          </w:p>
          <w:p w14:paraId="75C63D45" w14:textId="77777777" w:rsidR="00CA105A" w:rsidRPr="00256188" w:rsidRDefault="00CA105A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1795E7E" w14:textId="77777777" w:rsidR="00CA105A" w:rsidRPr="00256188" w:rsidRDefault="00CA105A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85A3443" w14:textId="77777777" w:rsidR="00CA105A" w:rsidRPr="00256188" w:rsidRDefault="00CA105A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96998D9" w14:textId="358487CB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371/2014</w:t>
            </w:r>
          </w:p>
          <w:p w14:paraId="0037656F" w14:textId="77777777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D97CDA8" w14:textId="77777777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7CD986E" w14:textId="385BBDC9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371/2014a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 xml:space="preserve"> Návrh 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lastRenderedPageBreak/>
              <w:t>zákona čl. I</w:t>
            </w:r>
          </w:p>
          <w:p w14:paraId="5A49A22A" w14:textId="77777777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06FA3E1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AB64E6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922CB9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652DAB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ACE17C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71EA2F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DD06199" w14:textId="4E7AC64C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1631BE" w14:textId="77777777" w:rsidR="002025FD" w:rsidRPr="00256188" w:rsidRDefault="002025FD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4F3B56" w14:textId="77777777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1295C89" w14:textId="77777777" w:rsidR="009D32F9" w:rsidRPr="00256188" w:rsidRDefault="009D32F9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50D23B" w14:textId="5B63E441" w:rsidR="00555713" w:rsidRPr="00256188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575/ 2001</w:t>
            </w:r>
          </w:p>
          <w:p w14:paraId="5205BB32" w14:textId="2B563426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EF0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1EE363A4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3683B15A" w14:textId="0277856F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3221FCE8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28517B7E" w14:textId="77777777" w:rsidR="00CA105A" w:rsidRPr="00256188" w:rsidRDefault="00CA105A" w:rsidP="00CA105A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§ 35</w:t>
            </w:r>
          </w:p>
          <w:p w14:paraId="402A5B3A" w14:textId="0D8D8CC2" w:rsidR="00CA105A" w:rsidRPr="00256188" w:rsidRDefault="00CA105A" w:rsidP="00CA105A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O</w:t>
            </w:r>
            <w:r w:rsidR="004F4E95">
              <w:rPr>
                <w:color w:val="000000" w:themeColor="text1"/>
              </w:rPr>
              <w:t xml:space="preserve"> </w:t>
            </w:r>
            <w:r w:rsidRPr="00256188">
              <w:rPr>
                <w:color w:val="000000" w:themeColor="text1"/>
              </w:rPr>
              <w:t>7</w:t>
            </w:r>
          </w:p>
          <w:p w14:paraId="5881637B" w14:textId="77777777" w:rsidR="00CA105A" w:rsidRPr="00256188" w:rsidRDefault="00CA105A" w:rsidP="00555713">
            <w:pPr>
              <w:pStyle w:val="Normlny0"/>
              <w:rPr>
                <w:color w:val="000000" w:themeColor="text1"/>
              </w:rPr>
            </w:pPr>
          </w:p>
          <w:p w14:paraId="1C1E869A" w14:textId="77777777" w:rsidR="00CA105A" w:rsidRPr="00256188" w:rsidRDefault="00CA105A" w:rsidP="00555713">
            <w:pPr>
              <w:pStyle w:val="Normlny0"/>
              <w:rPr>
                <w:color w:val="000000" w:themeColor="text1"/>
              </w:rPr>
            </w:pPr>
          </w:p>
          <w:p w14:paraId="061B25B8" w14:textId="77777777" w:rsidR="00CA105A" w:rsidRPr="00256188" w:rsidRDefault="00CA105A" w:rsidP="00555713">
            <w:pPr>
              <w:pStyle w:val="Normlny0"/>
              <w:rPr>
                <w:color w:val="000000" w:themeColor="text1"/>
              </w:rPr>
            </w:pPr>
          </w:p>
          <w:p w14:paraId="437CA44E" w14:textId="772CA0A1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§ 100</w:t>
            </w:r>
          </w:p>
          <w:p w14:paraId="1FB80C0B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72B2D550" w14:textId="6B3F6CB0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7B399EAF" w14:textId="77777777" w:rsidR="00CA105A" w:rsidRPr="00256188" w:rsidRDefault="00CA105A" w:rsidP="00555713">
            <w:pPr>
              <w:pStyle w:val="Normlny0"/>
              <w:rPr>
                <w:color w:val="000000" w:themeColor="text1"/>
              </w:rPr>
            </w:pPr>
          </w:p>
          <w:p w14:paraId="6AA46FBA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 xml:space="preserve">Príloha </w:t>
            </w:r>
          </w:p>
          <w:p w14:paraId="2DD1AD16" w14:textId="77777777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51AE5DAA" w14:textId="0048C00E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 xml:space="preserve">bod  </w:t>
            </w:r>
            <w:r w:rsidR="009D32F9" w:rsidRPr="00256188">
              <w:rPr>
                <w:color w:val="000000" w:themeColor="text1"/>
              </w:rPr>
              <w:t>8</w:t>
            </w:r>
          </w:p>
          <w:p w14:paraId="01FC7C89" w14:textId="50278DB7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18748F48" w14:textId="614E18E4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0C1DDC4A" w14:textId="4C2C1F10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53B07577" w14:textId="4F0E42AB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71208916" w14:textId="31D161E2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48A4EE1F" w14:textId="02FD6366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4DDAE645" w14:textId="1C3FA7CA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5114BE62" w14:textId="75A45F78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3DEF761B" w14:textId="7D1B7EAC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22D789B1" w14:textId="4A6D1091" w:rsidR="009D32F9" w:rsidRPr="00256188" w:rsidRDefault="009D32F9" w:rsidP="00555713">
            <w:pPr>
              <w:pStyle w:val="Normlny0"/>
              <w:rPr>
                <w:color w:val="000000" w:themeColor="text1"/>
              </w:rPr>
            </w:pPr>
          </w:p>
          <w:p w14:paraId="3CD1C041" w14:textId="6D25FEA8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6F41C06E" w14:textId="38FF8863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§ 35</w:t>
            </w:r>
          </w:p>
          <w:p w14:paraId="441E16C1" w14:textId="6A89E4B0" w:rsidR="00555713" w:rsidRPr="00256188" w:rsidRDefault="00555713" w:rsidP="00555713">
            <w:pPr>
              <w:pStyle w:val="Normlny0"/>
              <w:rPr>
                <w:color w:val="000000" w:themeColor="text1"/>
              </w:rPr>
            </w:pPr>
            <w:r w:rsidRPr="00256188">
              <w:rPr>
                <w:color w:val="000000" w:themeColor="text1"/>
              </w:rPr>
              <w:t>O</w:t>
            </w:r>
            <w:r w:rsidR="004F4E95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256188">
              <w:rPr>
                <w:color w:val="000000" w:themeColor="text1"/>
              </w:rPr>
              <w:t>7</w:t>
            </w:r>
          </w:p>
          <w:p w14:paraId="40EB5C95" w14:textId="77777777" w:rsidR="00555713" w:rsidRPr="00256188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392A" w14:textId="3264CB8A" w:rsidR="00555713" w:rsidRPr="00256188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b/>
                <w:color w:val="000000" w:themeColor="text1"/>
                <w:sz w:val="20"/>
                <w:szCs w:val="20"/>
              </w:rPr>
              <w:lastRenderedPageBreak/>
              <w:t>Tento zákon nadobúda účinnosť 1</w:t>
            </w:r>
            <w:r w:rsidR="00B41D59" w:rsidRPr="00256188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E50C2" w:rsidRPr="00256188">
              <w:rPr>
                <w:b/>
                <w:color w:val="000000" w:themeColor="text1"/>
                <w:sz w:val="20"/>
                <w:szCs w:val="20"/>
              </w:rPr>
              <w:t>júla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2025FD" w:rsidRPr="00256188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14:paraId="234B59DE" w14:textId="77777777" w:rsidR="00555713" w:rsidRPr="00256188" w:rsidRDefault="00555713" w:rsidP="00555713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  <w:p w14:paraId="05A58679" w14:textId="75406B90" w:rsidR="00555713" w:rsidRPr="00256188" w:rsidRDefault="00555713" w:rsidP="00555713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  <w:p w14:paraId="436B625B" w14:textId="18E606A6" w:rsidR="00555713" w:rsidRPr="00256188" w:rsidRDefault="00555713" w:rsidP="00555713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  <w:p w14:paraId="4B99D0EA" w14:textId="1226910F" w:rsidR="00CA105A" w:rsidRPr="00256188" w:rsidRDefault="00CA105A" w:rsidP="00CA105A">
            <w:pPr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>(7) 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3BF2A616" w14:textId="77777777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Týmto zákonom sa preberajú právne záväzné akty Európskej únie uvedené v </w:t>
            </w:r>
            <w:hyperlink r:id="rId18" w:anchor="prilohy.priloha-priloha_k_zakonu_c_371_2014_z_z.oznacenie" w:tooltip="Odkaz na predpis alebo ustanovenie" w:history="1">
              <w:r w:rsidRPr="00256188">
                <w:rPr>
                  <w:rStyle w:val="Hypertextovprepojenie"/>
                  <w:rFonts w:eastAsiaTheme="majorEastAsia"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prílohe</w:t>
              </w:r>
            </w:hyperlink>
            <w:r w:rsidRPr="00256188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6DA6FEF" w14:textId="77777777" w:rsidR="00555713" w:rsidRPr="00256188" w:rsidRDefault="00555713" w:rsidP="00555713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5050AC6" w14:textId="77777777" w:rsidR="00555713" w:rsidRPr="00256188" w:rsidRDefault="00555713" w:rsidP="00555713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256188">
              <w:rPr>
                <w:bCs/>
                <w:color w:val="000000" w:themeColor="text1"/>
                <w:sz w:val="20"/>
                <w:szCs w:val="20"/>
              </w:rPr>
              <w:t>ZOZNAM PREBERANÝCH PRÁVNE ZÁVÄZNÝCH AKTOV EURÓPSKEJ ÚNIE</w:t>
            </w:r>
          </w:p>
          <w:p w14:paraId="305056F0" w14:textId="77777777" w:rsidR="00CA105A" w:rsidRPr="00256188" w:rsidRDefault="00CA105A" w:rsidP="00555713">
            <w:pPr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14:paraId="615C2D47" w14:textId="40AF1FF8" w:rsidR="00555713" w:rsidRPr="00256188" w:rsidRDefault="00555713" w:rsidP="002025FD">
            <w:pPr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b/>
                <w:bCs/>
                <w:color w:val="000000" w:themeColor="text1"/>
                <w:sz w:val="20"/>
                <w:szCs w:val="20"/>
              </w:rPr>
              <w:t xml:space="preserve">Nariadenie Európskeho parlamentu a Rady (EÚ) 2022/2036 z 19. októbra 2022, ktorým sa mení nariadenie (EÚ) č. 575/2013 a smernica 2014/59/EÚ, pokiaľ ide o </w:t>
            </w:r>
            <w:proofErr w:type="spellStart"/>
            <w:r w:rsidRPr="00256188">
              <w:rPr>
                <w:b/>
                <w:bCs/>
                <w:color w:val="000000" w:themeColor="text1"/>
                <w:sz w:val="20"/>
                <w:szCs w:val="20"/>
              </w:rPr>
              <w:t>prudenciálne</w:t>
            </w:r>
            <w:proofErr w:type="spellEnd"/>
            <w:r w:rsidRPr="00256188">
              <w:rPr>
                <w:b/>
                <w:bCs/>
                <w:color w:val="000000" w:themeColor="text1"/>
                <w:sz w:val="20"/>
                <w:szCs w:val="20"/>
              </w:rPr>
              <w:t xml:space="preserve"> zaobchádzanie s globálnymi systémovo významnými inštitúciami so stratégiou riešenia krízových situácií vo viacerých okamihoch a metódy nepriameho upisovania nástrojov oprávnených na splnenie minimálnej požiadavky na vlastné zdroje a oprávnené záväzky </w:t>
            </w:r>
            <w:r w:rsidRPr="00256188">
              <w:rPr>
                <w:b/>
                <w:color w:val="000000" w:themeColor="text1"/>
                <w:sz w:val="20"/>
                <w:szCs w:val="20"/>
              </w:rPr>
              <w:t>(Ú. v. EÚ L 275, 25. 10. 2022).</w:t>
            </w:r>
          </w:p>
          <w:p w14:paraId="196A45A9" w14:textId="49A69E4B" w:rsidR="009D32F9" w:rsidRPr="00256188" w:rsidRDefault="009D32F9" w:rsidP="002025FD">
            <w:pPr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8F5E562" w14:textId="77777777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204B9DCB" w14:textId="13FD6335" w:rsidR="00555713" w:rsidRPr="00256188" w:rsidRDefault="00D22EBB" w:rsidP="00D22EBB">
            <w:pPr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color w:val="000000" w:themeColor="text1"/>
                <w:sz w:val="20"/>
                <w:szCs w:val="20"/>
              </w:rPr>
              <w:t xml:space="preserve">(7) </w:t>
            </w:r>
            <w:r w:rsidR="00555713" w:rsidRPr="00256188">
              <w:rPr>
                <w:color w:val="000000" w:themeColor="text1"/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2A2C" w14:textId="1D96F3B4" w:rsidR="00555713" w:rsidRPr="00256188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6188">
              <w:rPr>
                <w:b/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EBA105" w14:textId="5ADE5E7C" w:rsidR="00555713" w:rsidRPr="00256188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7C9" w14:textId="11CFBA23" w:rsidR="00555713" w:rsidRPr="00256188" w:rsidRDefault="00701E0C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256188">
              <w:rPr>
                <w:b w:val="0"/>
                <w:bCs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AB1FC" w14:textId="77777777" w:rsidR="00555713" w:rsidRPr="00256188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2068B012" w14:textId="77777777" w:rsidR="00A97A37" w:rsidRPr="00B41D59" w:rsidRDefault="00A97A37" w:rsidP="002E7825">
      <w:pPr>
        <w:pStyle w:val="Default"/>
        <w:rPr>
          <w:color w:val="000000" w:themeColor="text1"/>
          <w:sz w:val="20"/>
          <w:szCs w:val="20"/>
        </w:rPr>
      </w:pPr>
    </w:p>
    <w:p w14:paraId="0035F045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</w:p>
    <w:p w14:paraId="304F32AD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b/>
          <w:bCs/>
          <w:color w:val="000000" w:themeColor="text1"/>
          <w:sz w:val="20"/>
          <w:szCs w:val="20"/>
        </w:rPr>
        <w:t xml:space="preserve">Vysvetlivky </w:t>
      </w:r>
    </w:p>
    <w:p w14:paraId="6957E5BF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V stĺpci (1) sa smernica člení na jednotlivé časti: </w:t>
      </w:r>
    </w:p>
    <w:p w14:paraId="6C15C2E0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Č - článok </w:t>
      </w:r>
    </w:p>
    <w:p w14:paraId="19E1FA32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O - odsek </w:t>
      </w:r>
    </w:p>
    <w:p w14:paraId="0D481C85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V - veta </w:t>
      </w:r>
    </w:p>
    <w:p w14:paraId="227AD151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>P - číslo (písmeno)</w:t>
      </w:r>
    </w:p>
    <w:p w14:paraId="5CBCD057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5291711F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(3):</w:t>
      </w:r>
    </w:p>
    <w:p w14:paraId="30AD9219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N – bežná transpozícia</w:t>
      </w:r>
    </w:p>
    <w:p w14:paraId="0DCA88C6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O – transpozícia s možnosťou voľby</w:t>
      </w:r>
    </w:p>
    <w:p w14:paraId="2DEDD68B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D – transpozícia podľa úvahy (dobrovoľná)</w:t>
      </w:r>
    </w:p>
    <w:p w14:paraId="184C5855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– transpozícia sa neuskutočňuje</w:t>
      </w:r>
    </w:p>
    <w:p w14:paraId="43E57372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548AA997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(5):</w:t>
      </w:r>
    </w:p>
    <w:p w14:paraId="6698E324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Č – článok</w:t>
      </w:r>
    </w:p>
    <w:p w14:paraId="124EBB64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§ – paragraf</w:t>
      </w:r>
    </w:p>
    <w:p w14:paraId="7177A099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O – odsek</w:t>
      </w:r>
    </w:p>
    <w:p w14:paraId="15591368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– veta</w:t>
      </w:r>
    </w:p>
    <w:p w14:paraId="154A4025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P – písmeno (číslo)</w:t>
      </w:r>
    </w:p>
    <w:p w14:paraId="5C8B8A3B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7042DB83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(7):</w:t>
      </w:r>
    </w:p>
    <w:p w14:paraId="4FEC27E0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14:paraId="31C29CCF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lastRenderedPageBreak/>
        <w:t>Č – čiastočná zhoda (ak minimálne jedna z podmienok úplnej zhody nie je splnená)</w:t>
      </w:r>
    </w:p>
    <w:p w14:paraId="12068246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 xml:space="preserve">Ž – žiadna zhoda (ak nebola dosiahnutá ani úplná ani </w:t>
      </w:r>
      <w:proofErr w:type="spellStart"/>
      <w:r w:rsidRPr="00B41D59">
        <w:rPr>
          <w:color w:val="000000" w:themeColor="text1"/>
          <w:sz w:val="20"/>
          <w:szCs w:val="20"/>
          <w:lang w:eastAsia="en-US"/>
        </w:rPr>
        <w:t>čiast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zhoda alebo k prebratiu dôjde v budúcnosti)</w:t>
      </w:r>
    </w:p>
    <w:p w14:paraId="1EC07F70" w14:textId="358B33D3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– neaplikovateľnosť (ak sa ustanovenie smernice netýka SR alebo nie je potrebné ho prebrať)</w:t>
      </w:r>
    </w:p>
    <w:p w14:paraId="384FEF62" w14:textId="2C5E8B2B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</w:p>
    <w:p w14:paraId="420DB2EF" w14:textId="7002CF55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b/>
          <w:color w:val="000000" w:themeColor="text1"/>
          <w:sz w:val="20"/>
          <w:szCs w:val="20"/>
          <w:lang w:eastAsia="en-US"/>
        </w:rPr>
        <w:t>Bold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 xml:space="preserve"> – zmeny v zákone</w:t>
      </w:r>
    </w:p>
    <w:p w14:paraId="59E5B484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0FAFC990" w14:textId="6223530C" w:rsidR="008867F5" w:rsidRPr="00B41D59" w:rsidRDefault="008867F5" w:rsidP="00AC5D9F">
      <w:pPr>
        <w:pStyle w:val="Default"/>
        <w:rPr>
          <w:color w:val="000000" w:themeColor="text1"/>
          <w:sz w:val="20"/>
          <w:szCs w:val="20"/>
        </w:rPr>
      </w:pPr>
    </w:p>
    <w:sectPr w:rsidR="008867F5" w:rsidRPr="00B41D59" w:rsidSect="002E7825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376E" w14:textId="77777777" w:rsidR="005A6DCC" w:rsidRDefault="005A6DCC" w:rsidP="00D9752C">
      <w:r>
        <w:separator/>
      </w:r>
    </w:p>
  </w:endnote>
  <w:endnote w:type="continuationSeparator" w:id="0">
    <w:p w14:paraId="7AA89B1F" w14:textId="77777777" w:rsidR="005A6DCC" w:rsidRDefault="005A6DCC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517853"/>
      <w:docPartObj>
        <w:docPartGallery w:val="Page Numbers (Bottom of Page)"/>
        <w:docPartUnique/>
      </w:docPartObj>
    </w:sdtPr>
    <w:sdtEndPr/>
    <w:sdtContent>
      <w:p w14:paraId="4DB4CEC8" w14:textId="1A7E4B0F" w:rsidR="00AC5D9F" w:rsidRDefault="00AC5D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95">
          <w:rPr>
            <w:noProof/>
          </w:rPr>
          <w:t>5</w:t>
        </w:r>
        <w:r>
          <w:fldChar w:fldCharType="end"/>
        </w:r>
      </w:p>
    </w:sdtContent>
  </w:sdt>
  <w:p w14:paraId="04F17EB7" w14:textId="77777777" w:rsidR="00176115" w:rsidRDefault="001761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51C2" w14:textId="77777777" w:rsidR="005A6DCC" w:rsidRDefault="005A6DCC" w:rsidP="00D9752C">
      <w:r>
        <w:separator/>
      </w:r>
    </w:p>
  </w:footnote>
  <w:footnote w:type="continuationSeparator" w:id="0">
    <w:p w14:paraId="565542EE" w14:textId="77777777" w:rsidR="005A6DCC" w:rsidRDefault="005A6DCC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99"/>
    <w:multiLevelType w:val="hybridMultilevel"/>
    <w:tmpl w:val="2692F77A"/>
    <w:lvl w:ilvl="0" w:tplc="804A0458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61B72DB"/>
    <w:multiLevelType w:val="hybridMultilevel"/>
    <w:tmpl w:val="353219E8"/>
    <w:lvl w:ilvl="0" w:tplc="2AEAAA34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3D790C43"/>
    <w:multiLevelType w:val="hybridMultilevel"/>
    <w:tmpl w:val="511E6234"/>
    <w:lvl w:ilvl="0" w:tplc="6CA8EC3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46712763"/>
    <w:multiLevelType w:val="hybridMultilevel"/>
    <w:tmpl w:val="88D26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440B9"/>
    <w:multiLevelType w:val="hybridMultilevel"/>
    <w:tmpl w:val="4586938C"/>
    <w:lvl w:ilvl="0" w:tplc="DA62A4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0EA6"/>
    <w:multiLevelType w:val="hybridMultilevel"/>
    <w:tmpl w:val="3702A4A2"/>
    <w:lvl w:ilvl="0" w:tplc="8C66A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1D73"/>
    <w:multiLevelType w:val="hybridMultilevel"/>
    <w:tmpl w:val="8244F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046C"/>
    <w:multiLevelType w:val="hybridMultilevel"/>
    <w:tmpl w:val="BAB65DEE"/>
    <w:lvl w:ilvl="0" w:tplc="D930962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68566829"/>
    <w:multiLevelType w:val="hybridMultilevel"/>
    <w:tmpl w:val="DEF4D5DA"/>
    <w:lvl w:ilvl="0" w:tplc="A95EF4AA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 w15:restartNumberingAfterBreak="0">
    <w:nsid w:val="76EA2E6D"/>
    <w:multiLevelType w:val="hybridMultilevel"/>
    <w:tmpl w:val="C17E9576"/>
    <w:lvl w:ilvl="0" w:tplc="041B000F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529E0FF6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9115A89"/>
    <w:multiLevelType w:val="hybridMultilevel"/>
    <w:tmpl w:val="3E3851A6"/>
    <w:lvl w:ilvl="0" w:tplc="C980CB1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09EB"/>
    <w:multiLevelType w:val="hybridMultilevel"/>
    <w:tmpl w:val="D8ACBFC2"/>
    <w:lvl w:ilvl="0" w:tplc="7EE6ACF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2F6"/>
    <w:rsid w:val="00000ACB"/>
    <w:rsid w:val="00022DD8"/>
    <w:rsid w:val="00023762"/>
    <w:rsid w:val="000239BD"/>
    <w:rsid w:val="00026EB4"/>
    <w:rsid w:val="000325F5"/>
    <w:rsid w:val="000525A9"/>
    <w:rsid w:val="0006096D"/>
    <w:rsid w:val="000651F3"/>
    <w:rsid w:val="00074CF4"/>
    <w:rsid w:val="000A2DB0"/>
    <w:rsid w:val="000A4C7D"/>
    <w:rsid w:val="000B2478"/>
    <w:rsid w:val="000B4ED4"/>
    <w:rsid w:val="000B5C85"/>
    <w:rsid w:val="000B6FEB"/>
    <w:rsid w:val="000E2662"/>
    <w:rsid w:val="0012648E"/>
    <w:rsid w:val="00132699"/>
    <w:rsid w:val="00140AD0"/>
    <w:rsid w:val="00152401"/>
    <w:rsid w:val="0015694D"/>
    <w:rsid w:val="0016317B"/>
    <w:rsid w:val="00176115"/>
    <w:rsid w:val="00181047"/>
    <w:rsid w:val="00190A44"/>
    <w:rsid w:val="0019132C"/>
    <w:rsid w:val="001A58D4"/>
    <w:rsid w:val="001A6462"/>
    <w:rsid w:val="001B1235"/>
    <w:rsid w:val="001B5D24"/>
    <w:rsid w:val="001C1B6F"/>
    <w:rsid w:val="001C5BDE"/>
    <w:rsid w:val="001D0B72"/>
    <w:rsid w:val="001D5668"/>
    <w:rsid w:val="001F057F"/>
    <w:rsid w:val="002025FD"/>
    <w:rsid w:val="0020308A"/>
    <w:rsid w:val="00204565"/>
    <w:rsid w:val="0020543A"/>
    <w:rsid w:val="00207A18"/>
    <w:rsid w:val="00211FD0"/>
    <w:rsid w:val="002146E9"/>
    <w:rsid w:val="00237D70"/>
    <w:rsid w:val="00252592"/>
    <w:rsid w:val="002548FE"/>
    <w:rsid w:val="00256188"/>
    <w:rsid w:val="002564C7"/>
    <w:rsid w:val="00280BD8"/>
    <w:rsid w:val="002957F9"/>
    <w:rsid w:val="002A23AB"/>
    <w:rsid w:val="002B00DC"/>
    <w:rsid w:val="002B0CD2"/>
    <w:rsid w:val="002C10EC"/>
    <w:rsid w:val="002C4720"/>
    <w:rsid w:val="002D2F8F"/>
    <w:rsid w:val="002E7825"/>
    <w:rsid w:val="002F2BD4"/>
    <w:rsid w:val="002F3DAF"/>
    <w:rsid w:val="00310AD9"/>
    <w:rsid w:val="0031609E"/>
    <w:rsid w:val="00357DDF"/>
    <w:rsid w:val="003628F0"/>
    <w:rsid w:val="00374F2B"/>
    <w:rsid w:val="00383DC3"/>
    <w:rsid w:val="003876CF"/>
    <w:rsid w:val="0039439D"/>
    <w:rsid w:val="00396B1E"/>
    <w:rsid w:val="003A20D1"/>
    <w:rsid w:val="003A7094"/>
    <w:rsid w:val="003B23C7"/>
    <w:rsid w:val="003C5101"/>
    <w:rsid w:val="003D7973"/>
    <w:rsid w:val="003E039A"/>
    <w:rsid w:val="003E1C6F"/>
    <w:rsid w:val="003E37F3"/>
    <w:rsid w:val="003E4857"/>
    <w:rsid w:val="003F03C7"/>
    <w:rsid w:val="004009F6"/>
    <w:rsid w:val="00401170"/>
    <w:rsid w:val="00404FDD"/>
    <w:rsid w:val="00405D69"/>
    <w:rsid w:val="004347A3"/>
    <w:rsid w:val="00441086"/>
    <w:rsid w:val="00452316"/>
    <w:rsid w:val="004869C0"/>
    <w:rsid w:val="004906D6"/>
    <w:rsid w:val="00493127"/>
    <w:rsid w:val="004A3057"/>
    <w:rsid w:val="004B4957"/>
    <w:rsid w:val="004B5BA2"/>
    <w:rsid w:val="004C0ED6"/>
    <w:rsid w:val="004C73FA"/>
    <w:rsid w:val="004D1734"/>
    <w:rsid w:val="004D32E9"/>
    <w:rsid w:val="004D777C"/>
    <w:rsid w:val="004E39FA"/>
    <w:rsid w:val="004F4E95"/>
    <w:rsid w:val="004F53DC"/>
    <w:rsid w:val="004F7B52"/>
    <w:rsid w:val="005007D0"/>
    <w:rsid w:val="0050201D"/>
    <w:rsid w:val="005118FA"/>
    <w:rsid w:val="00555713"/>
    <w:rsid w:val="0057123A"/>
    <w:rsid w:val="00574975"/>
    <w:rsid w:val="005749D4"/>
    <w:rsid w:val="0057629B"/>
    <w:rsid w:val="00581EDA"/>
    <w:rsid w:val="005839DB"/>
    <w:rsid w:val="00587A80"/>
    <w:rsid w:val="005A2513"/>
    <w:rsid w:val="005A5F8E"/>
    <w:rsid w:val="005A6DCC"/>
    <w:rsid w:val="005B3E0D"/>
    <w:rsid w:val="005B532E"/>
    <w:rsid w:val="005C0413"/>
    <w:rsid w:val="005D3972"/>
    <w:rsid w:val="005E3CFC"/>
    <w:rsid w:val="006065C7"/>
    <w:rsid w:val="00620D34"/>
    <w:rsid w:val="006463A4"/>
    <w:rsid w:val="00652327"/>
    <w:rsid w:val="00683FF6"/>
    <w:rsid w:val="00685013"/>
    <w:rsid w:val="00687EB5"/>
    <w:rsid w:val="00693771"/>
    <w:rsid w:val="006A3665"/>
    <w:rsid w:val="006A6D81"/>
    <w:rsid w:val="006B0304"/>
    <w:rsid w:val="006B2CE6"/>
    <w:rsid w:val="006B625E"/>
    <w:rsid w:val="006C1A78"/>
    <w:rsid w:val="006C7728"/>
    <w:rsid w:val="006F4FE7"/>
    <w:rsid w:val="00701E0C"/>
    <w:rsid w:val="0072073D"/>
    <w:rsid w:val="00726595"/>
    <w:rsid w:val="00747763"/>
    <w:rsid w:val="00750F44"/>
    <w:rsid w:val="007B1C74"/>
    <w:rsid w:val="007C0457"/>
    <w:rsid w:val="007C42B2"/>
    <w:rsid w:val="007C44BD"/>
    <w:rsid w:val="007D2F8C"/>
    <w:rsid w:val="007D3EFD"/>
    <w:rsid w:val="007F0812"/>
    <w:rsid w:val="007F5081"/>
    <w:rsid w:val="007F52BE"/>
    <w:rsid w:val="0081045A"/>
    <w:rsid w:val="00810B75"/>
    <w:rsid w:val="0081483E"/>
    <w:rsid w:val="0082181F"/>
    <w:rsid w:val="00857336"/>
    <w:rsid w:val="00860B57"/>
    <w:rsid w:val="00861886"/>
    <w:rsid w:val="0088155E"/>
    <w:rsid w:val="008867F5"/>
    <w:rsid w:val="00891E79"/>
    <w:rsid w:val="008B226D"/>
    <w:rsid w:val="008B35F4"/>
    <w:rsid w:val="008B70A9"/>
    <w:rsid w:val="008C43CF"/>
    <w:rsid w:val="008D0D17"/>
    <w:rsid w:val="008D2F00"/>
    <w:rsid w:val="00902037"/>
    <w:rsid w:val="00905902"/>
    <w:rsid w:val="009140A7"/>
    <w:rsid w:val="00934615"/>
    <w:rsid w:val="00951958"/>
    <w:rsid w:val="00953B17"/>
    <w:rsid w:val="00962217"/>
    <w:rsid w:val="00975D52"/>
    <w:rsid w:val="00977BE8"/>
    <w:rsid w:val="00986654"/>
    <w:rsid w:val="00992855"/>
    <w:rsid w:val="009A1D60"/>
    <w:rsid w:val="009B64EF"/>
    <w:rsid w:val="009C051E"/>
    <w:rsid w:val="009C6FDA"/>
    <w:rsid w:val="009D0ACB"/>
    <w:rsid w:val="009D32F9"/>
    <w:rsid w:val="009D4D71"/>
    <w:rsid w:val="009E279A"/>
    <w:rsid w:val="009F2EFC"/>
    <w:rsid w:val="00A118AD"/>
    <w:rsid w:val="00A13C67"/>
    <w:rsid w:val="00A15D13"/>
    <w:rsid w:val="00A164F0"/>
    <w:rsid w:val="00A30627"/>
    <w:rsid w:val="00A36052"/>
    <w:rsid w:val="00A52CD2"/>
    <w:rsid w:val="00A6041C"/>
    <w:rsid w:val="00A62649"/>
    <w:rsid w:val="00A676DB"/>
    <w:rsid w:val="00A71447"/>
    <w:rsid w:val="00A7528C"/>
    <w:rsid w:val="00A762B8"/>
    <w:rsid w:val="00A81E7C"/>
    <w:rsid w:val="00A83E6F"/>
    <w:rsid w:val="00A9431D"/>
    <w:rsid w:val="00A97A37"/>
    <w:rsid w:val="00AB18E5"/>
    <w:rsid w:val="00AB69FB"/>
    <w:rsid w:val="00AC5D9F"/>
    <w:rsid w:val="00AE35DD"/>
    <w:rsid w:val="00AE794F"/>
    <w:rsid w:val="00AF2B07"/>
    <w:rsid w:val="00AF6EE7"/>
    <w:rsid w:val="00AF76F1"/>
    <w:rsid w:val="00B0127B"/>
    <w:rsid w:val="00B01295"/>
    <w:rsid w:val="00B11BC2"/>
    <w:rsid w:val="00B21EB7"/>
    <w:rsid w:val="00B30A5A"/>
    <w:rsid w:val="00B41D59"/>
    <w:rsid w:val="00B46758"/>
    <w:rsid w:val="00B50A2C"/>
    <w:rsid w:val="00B61C68"/>
    <w:rsid w:val="00B622E8"/>
    <w:rsid w:val="00B72F7E"/>
    <w:rsid w:val="00B91095"/>
    <w:rsid w:val="00BA3524"/>
    <w:rsid w:val="00BA3830"/>
    <w:rsid w:val="00BA4333"/>
    <w:rsid w:val="00BA5BF7"/>
    <w:rsid w:val="00BA7A67"/>
    <w:rsid w:val="00BD237C"/>
    <w:rsid w:val="00BF2B56"/>
    <w:rsid w:val="00BF6C43"/>
    <w:rsid w:val="00C10D92"/>
    <w:rsid w:val="00C133B3"/>
    <w:rsid w:val="00C16AA0"/>
    <w:rsid w:val="00C26ED7"/>
    <w:rsid w:val="00C301A6"/>
    <w:rsid w:val="00C50433"/>
    <w:rsid w:val="00C548DB"/>
    <w:rsid w:val="00C5581D"/>
    <w:rsid w:val="00C84B55"/>
    <w:rsid w:val="00CA105A"/>
    <w:rsid w:val="00CC4851"/>
    <w:rsid w:val="00CC78CF"/>
    <w:rsid w:val="00CD297F"/>
    <w:rsid w:val="00CD43AC"/>
    <w:rsid w:val="00CD5DD5"/>
    <w:rsid w:val="00CD6707"/>
    <w:rsid w:val="00CD71B4"/>
    <w:rsid w:val="00CE50C2"/>
    <w:rsid w:val="00CF03F6"/>
    <w:rsid w:val="00D004F2"/>
    <w:rsid w:val="00D010C8"/>
    <w:rsid w:val="00D22EBB"/>
    <w:rsid w:val="00D24E20"/>
    <w:rsid w:val="00D26462"/>
    <w:rsid w:val="00D3469D"/>
    <w:rsid w:val="00D35676"/>
    <w:rsid w:val="00D50B44"/>
    <w:rsid w:val="00D5211D"/>
    <w:rsid w:val="00D676E2"/>
    <w:rsid w:val="00D7506F"/>
    <w:rsid w:val="00D752F2"/>
    <w:rsid w:val="00D82355"/>
    <w:rsid w:val="00D82975"/>
    <w:rsid w:val="00D854AE"/>
    <w:rsid w:val="00D9215D"/>
    <w:rsid w:val="00D9752C"/>
    <w:rsid w:val="00DA2DC7"/>
    <w:rsid w:val="00DB602D"/>
    <w:rsid w:val="00DD182F"/>
    <w:rsid w:val="00DE1C67"/>
    <w:rsid w:val="00DF6F35"/>
    <w:rsid w:val="00E11E49"/>
    <w:rsid w:val="00E21C09"/>
    <w:rsid w:val="00E256BE"/>
    <w:rsid w:val="00E405EB"/>
    <w:rsid w:val="00E54D82"/>
    <w:rsid w:val="00E774D5"/>
    <w:rsid w:val="00E85C5D"/>
    <w:rsid w:val="00E9684F"/>
    <w:rsid w:val="00E971D9"/>
    <w:rsid w:val="00EA7CB1"/>
    <w:rsid w:val="00EB1545"/>
    <w:rsid w:val="00EC495E"/>
    <w:rsid w:val="00EF08CA"/>
    <w:rsid w:val="00F46272"/>
    <w:rsid w:val="00F478E5"/>
    <w:rsid w:val="00F534B2"/>
    <w:rsid w:val="00F537F2"/>
    <w:rsid w:val="00F55DD7"/>
    <w:rsid w:val="00F6585D"/>
    <w:rsid w:val="00F821CE"/>
    <w:rsid w:val="00F83F81"/>
    <w:rsid w:val="00F90EA0"/>
    <w:rsid w:val="00F947F8"/>
    <w:rsid w:val="00F9661F"/>
    <w:rsid w:val="00FA6309"/>
    <w:rsid w:val="00FB4869"/>
    <w:rsid w:val="00FB619F"/>
    <w:rsid w:val="00FC5B54"/>
    <w:rsid w:val="00FC698B"/>
    <w:rsid w:val="00FC6F8B"/>
    <w:rsid w:val="00FE0642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603"/>
  <w15:docId w15:val="{B994A8DD-4B2A-451A-9717-0CCC643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4F7B52"/>
    <w:rPr>
      <w:rFonts w:cs="Times New Roman"/>
      <w:vertAlign w:val="superscript"/>
    </w:rPr>
  </w:style>
  <w:style w:type="character" w:styleId="Zvraznenie">
    <w:name w:val="Emphasis"/>
    <w:basedOn w:val="Predvolenpsmoodseku"/>
    <w:uiPriority w:val="20"/>
    <w:qFormat/>
    <w:rsid w:val="006F4FE7"/>
    <w:rPr>
      <w:i/>
      <w:iCs/>
    </w:rPr>
  </w:style>
  <w:style w:type="paragraph" w:customStyle="1" w:styleId="oj-ti-art">
    <w:name w:val="oj-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sti-art">
    <w:name w:val="oj-s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normal">
    <w:name w:val="oj-normal"/>
    <w:basedOn w:val="Normlny"/>
    <w:rsid w:val="00D3469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36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1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5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1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9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1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3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371/" TargetMode="External"/><Relationship Id="rId13" Type="http://schemas.openxmlformats.org/officeDocument/2006/relationships/hyperlink" Target="https://www.slov-lex.sk/pravne-predpisy/SK/ZZ/2014/371/" TargetMode="External"/><Relationship Id="rId18" Type="http://schemas.openxmlformats.org/officeDocument/2006/relationships/hyperlink" Target="https://www.slov-lex.sk/pravne-predpisy/SK/ZZ/2014/371/20191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4/371/" TargetMode="External"/><Relationship Id="rId17" Type="http://schemas.openxmlformats.org/officeDocument/2006/relationships/hyperlink" Target="https://www.slov-lex.sk/pravne-predpisy/SK/ZZ/2014/3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4/37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4/371/" TargetMode="External"/><Relationship Id="rId10" Type="http://schemas.openxmlformats.org/officeDocument/2006/relationships/hyperlink" Target="https://www.slov-lex.sk/pravne-predpisy/SK/ZZ/2014/37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4/371/" TargetMode="External"/><Relationship Id="rId14" Type="http://schemas.openxmlformats.org/officeDocument/2006/relationships/hyperlink" Target="https://www.slov-lex.sk/pravne-predpisy/SK/ZZ/2014/37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8833-FEEB-4101-98DA-3D60A618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Bartikova Anna</dc:creator>
  <cp:lastModifiedBy>Zamecnikova Petra</cp:lastModifiedBy>
  <cp:revision>6</cp:revision>
  <dcterms:created xsi:type="dcterms:W3CDTF">2025-02-10T14:58:00Z</dcterms:created>
  <dcterms:modified xsi:type="dcterms:W3CDTF">2025-02-13T09:10:00Z</dcterms:modified>
</cp:coreProperties>
</file>