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5812"/>
        <w:gridCol w:w="567"/>
        <w:gridCol w:w="850"/>
        <w:gridCol w:w="709"/>
        <w:gridCol w:w="4961"/>
        <w:gridCol w:w="567"/>
        <w:gridCol w:w="567"/>
        <w:gridCol w:w="567"/>
        <w:gridCol w:w="709"/>
      </w:tblGrid>
      <w:tr w:rsidR="002314E9" w:rsidRPr="00AA73AF" w:rsidTr="004F6566">
        <w:tc>
          <w:tcPr>
            <w:tcW w:w="1599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 w:rsidP="0078287E">
            <w:pPr>
              <w:pStyle w:val="Nadpis1"/>
            </w:pPr>
            <w:r w:rsidRPr="00AA73AF">
              <w:t>TABUĽKA  ZHODY</w:t>
            </w:r>
          </w:p>
          <w:p w:rsidR="002314E9" w:rsidRPr="00AA73AF" w:rsidRDefault="002314E9" w:rsidP="007306ED">
            <w:pPr>
              <w:pStyle w:val="Nadpis1"/>
            </w:pPr>
            <w:r w:rsidRPr="00AA73AF">
              <w:rPr>
                <w:b w:val="0"/>
              </w:rPr>
              <w:t> </w:t>
            </w:r>
            <w:r w:rsidR="007306ED" w:rsidRPr="00AA73AF">
              <w:t>n</w:t>
            </w:r>
            <w:r w:rsidRPr="00AA73AF">
              <w:t>ávrhu</w:t>
            </w:r>
            <w:r w:rsidR="007306ED" w:rsidRPr="00AA73AF">
              <w:t xml:space="preserve"> právneho predpisu</w:t>
            </w:r>
            <w:r w:rsidRPr="00AA73AF">
              <w:t xml:space="preserve"> s právom Európskej únie</w:t>
            </w:r>
          </w:p>
        </w:tc>
      </w:tr>
      <w:tr w:rsidR="002314E9" w:rsidRPr="00AA73AF" w:rsidTr="00F054AC">
        <w:trPr>
          <w:trHeight w:val="567"/>
        </w:trPr>
        <w:tc>
          <w:tcPr>
            <w:tcW w:w="70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 w:rsidP="00926E0B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AA73AF">
              <w:rPr>
                <w:sz w:val="24"/>
                <w:szCs w:val="24"/>
              </w:rPr>
              <w:t xml:space="preserve">Smernica </w:t>
            </w:r>
          </w:p>
          <w:p w:rsidR="002314E9" w:rsidRPr="00AA73AF" w:rsidRDefault="00BD5AC2" w:rsidP="00926E0B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AA73AF">
              <w:rPr>
                <w:bCs w:val="0"/>
                <w:color w:val="333333"/>
                <w:sz w:val="24"/>
                <w:szCs w:val="24"/>
                <w:shd w:val="clear" w:color="auto" w:fill="FFFFFF"/>
              </w:rPr>
              <w:t>Smernica Európskeho parlamentu a Rady (EÚ) 2017/2399 z 12. decembra 2017, ktorou sa mení smernica 2014/59/EÚ, pokiaľ ide o postavenie nezabezpečených dlhových nástrojov v hierarchii konkurzného konania</w:t>
            </w:r>
            <w:r w:rsidRPr="00AA73AF">
              <w:rPr>
                <w:bCs w:val="0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E7353" w:rsidRPr="00AA73AF">
              <w:rPr>
                <w:bCs w:val="0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7E7353" w:rsidRPr="00AA73AF">
              <w:rPr>
                <w:rStyle w:val="Zvraznenie"/>
                <w:i w:val="0"/>
                <w:iCs/>
                <w:color w:val="333333"/>
                <w:sz w:val="24"/>
                <w:szCs w:val="24"/>
                <w:shd w:val="clear" w:color="auto" w:fill="FFFFFF"/>
              </w:rPr>
              <w:t>Ú. v. EÚ L 345, 27.12.2017)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 w:rsidP="00342407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AA73AF">
              <w:rPr>
                <w:sz w:val="24"/>
                <w:szCs w:val="24"/>
              </w:rPr>
              <w:t>Právne predpisy Slovenskej republiky</w:t>
            </w:r>
          </w:p>
          <w:p w:rsidR="007E7353" w:rsidRPr="00AA73AF" w:rsidRDefault="007E7353" w:rsidP="00871958">
            <w:pPr>
              <w:tabs>
                <w:tab w:val="left" w:pos="0"/>
              </w:tabs>
              <w:ind w:right="101"/>
              <w:jc w:val="both"/>
              <w:rPr>
                <w:b/>
              </w:rPr>
            </w:pPr>
            <w:r w:rsidRPr="00AA73AF">
              <w:rPr>
                <w:b/>
              </w:rPr>
              <w:t xml:space="preserve">Návrh zákona, ktorým sa mení a dopĺňa zákon č. 371/2014 Z. z. o riešení krízových situácií na finančnom trhu a o zmene a doplnení niektorých zákonov v znení neskorších predpisov </w:t>
            </w:r>
            <w:r w:rsidRPr="00AA73AF">
              <w:rPr>
                <w:b/>
                <w:bCs/>
              </w:rPr>
              <w:t>(ďalej „návrh zákona“)</w:t>
            </w:r>
            <w:r w:rsidRPr="00AA73AF">
              <w:rPr>
                <w:b/>
              </w:rPr>
              <w:t xml:space="preserve"> </w:t>
            </w:r>
          </w:p>
          <w:p w:rsidR="002314E9" w:rsidRPr="00AA73AF" w:rsidRDefault="007E7353" w:rsidP="00871958">
            <w:pPr>
              <w:tabs>
                <w:tab w:val="left" w:pos="0"/>
              </w:tabs>
              <w:ind w:right="101"/>
              <w:jc w:val="both"/>
              <w:rPr>
                <w:bCs/>
              </w:rPr>
            </w:pPr>
            <w:r w:rsidRPr="00AA73AF">
              <w:t xml:space="preserve">Zákon č. 371/2014 Z. z. o riešení krízových situácií na finančnom trhu a o zmene a doplnení niektorých zákonov v znení neskorších predpisov </w:t>
            </w:r>
            <w:r w:rsidRPr="00AA73AF">
              <w:rPr>
                <w:bCs/>
              </w:rPr>
              <w:t>(ďalej „371/2014“)</w:t>
            </w:r>
          </w:p>
        </w:tc>
      </w:tr>
      <w:tr w:rsidR="002314E9" w:rsidRPr="00AA73AF" w:rsidTr="00F054AC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AA73AF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AA73A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10</w:t>
            </w:r>
          </w:p>
        </w:tc>
      </w:tr>
      <w:tr w:rsidR="002314E9" w:rsidRPr="00AA73AF" w:rsidTr="00F054AC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>Článok</w:t>
            </w:r>
          </w:p>
          <w:p w:rsidR="002314E9" w:rsidRPr="00AA73AF" w:rsidRDefault="002314E9">
            <w:pPr>
              <w:pStyle w:val="Normlny0"/>
              <w:jc w:val="center"/>
            </w:pPr>
            <w:r w:rsidRPr="00AA73AF">
              <w:t>(Č, O,</w:t>
            </w:r>
          </w:p>
          <w:p w:rsidR="002314E9" w:rsidRPr="00AA73AF" w:rsidRDefault="002314E9">
            <w:pPr>
              <w:pStyle w:val="Normlny0"/>
              <w:jc w:val="center"/>
            </w:pPr>
            <w:r w:rsidRPr="00AA73AF">
              <w:t>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 xml:space="preserve">Spôsob </w:t>
            </w:r>
            <w:proofErr w:type="spellStart"/>
            <w:r w:rsidRPr="00AA73AF">
              <w:t>transp</w:t>
            </w:r>
            <w:proofErr w:type="spellEnd"/>
            <w:r w:rsidRPr="00AA73AF">
              <w:t>.</w:t>
            </w:r>
          </w:p>
          <w:p w:rsidR="002314E9" w:rsidRPr="00AA73AF" w:rsidRDefault="002314E9">
            <w:pPr>
              <w:pStyle w:val="Normlny0"/>
              <w:jc w:val="center"/>
            </w:pPr>
            <w:r w:rsidRPr="00AA73AF">
              <w:t xml:space="preserve">(N, O, D, </w:t>
            </w:r>
            <w:proofErr w:type="spellStart"/>
            <w:r w:rsidRPr="00AA73AF">
              <w:t>n.a</w:t>
            </w:r>
            <w:proofErr w:type="spellEnd"/>
            <w:r w:rsidRPr="00AA73AF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>Číslo</w:t>
            </w:r>
          </w:p>
          <w:p w:rsidR="002314E9" w:rsidRPr="00AA73AF" w:rsidRDefault="002314E9">
            <w:pPr>
              <w:pStyle w:val="Normlny0"/>
              <w:jc w:val="center"/>
            </w:pPr>
            <w:r w:rsidRPr="00AA73AF"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>Zhoda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pStyle w:val="Normlny0"/>
              <w:jc w:val="center"/>
            </w:pPr>
            <w:r w:rsidRPr="00AA73AF">
              <w:t>Poznámky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 w:rsidP="002314E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AF">
              <w:rPr>
                <w:rFonts w:ascii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AA73AF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AA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14E9" w:rsidRPr="00AA73AF" w:rsidRDefault="002314E9">
            <w:pPr>
              <w:pStyle w:val="Normlny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 w:rsidP="002314E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3AF">
              <w:rPr>
                <w:rFonts w:ascii="Times New Roman" w:hAnsi="Times New Roman" w:cs="Times New Roman"/>
                <w:sz w:val="16"/>
                <w:szCs w:val="16"/>
              </w:rPr>
              <w:t xml:space="preserve">Identifikácia oblasti </w:t>
            </w:r>
            <w:proofErr w:type="spellStart"/>
            <w:r w:rsidRPr="00AA73AF">
              <w:rPr>
                <w:rFonts w:ascii="Times New Roman" w:hAnsi="Times New Roman" w:cs="Times New Roman"/>
                <w:sz w:val="16"/>
                <w:szCs w:val="16"/>
              </w:rPr>
              <w:t>gold</w:t>
            </w:r>
            <w:proofErr w:type="spellEnd"/>
            <w:r w:rsidRPr="00AA73A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A73AF">
              <w:rPr>
                <w:rFonts w:ascii="Times New Roman" w:hAnsi="Times New Roman" w:cs="Times New Roman"/>
                <w:sz w:val="16"/>
                <w:szCs w:val="16"/>
              </w:rPr>
              <w:t>platingu</w:t>
            </w:r>
            <w:proofErr w:type="spellEnd"/>
            <w:r w:rsidRPr="00AA73AF">
              <w:rPr>
                <w:rFonts w:ascii="Times New Roman" w:hAnsi="Times New Roman" w:cs="Times New Roman"/>
                <w:sz w:val="16"/>
                <w:szCs w:val="16"/>
              </w:rPr>
              <w:t xml:space="preserve"> a vyjadrenie k </w:t>
            </w:r>
          </w:p>
          <w:p w:rsidR="002314E9" w:rsidRPr="00AA73AF" w:rsidRDefault="002314E9" w:rsidP="002314E9">
            <w:pPr>
              <w:pStyle w:val="Normlny0"/>
              <w:jc w:val="center"/>
              <w:rPr>
                <w:sz w:val="24"/>
                <w:szCs w:val="24"/>
              </w:rPr>
            </w:pPr>
            <w:r w:rsidRPr="00AA73AF">
              <w:rPr>
                <w:sz w:val="16"/>
                <w:szCs w:val="16"/>
              </w:rPr>
              <w:t xml:space="preserve">opodstatnenosti </w:t>
            </w:r>
            <w:proofErr w:type="spellStart"/>
            <w:r w:rsidRPr="00AA73AF">
              <w:rPr>
                <w:sz w:val="16"/>
                <w:szCs w:val="16"/>
              </w:rPr>
              <w:t>goldplatingu</w:t>
            </w:r>
            <w:proofErr w:type="spellEnd"/>
          </w:p>
        </w:tc>
      </w:tr>
      <w:tr w:rsidR="002314E9" w:rsidRPr="00AA73AF" w:rsidTr="00F054AC">
        <w:trPr>
          <w:trHeight w:val="2716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BD5AC2" w:rsidP="00162F3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3AF">
              <w:rPr>
                <w:sz w:val="20"/>
                <w:szCs w:val="20"/>
              </w:rPr>
              <w:t>Čl.1</w:t>
            </w:r>
          </w:p>
          <w:p w:rsidR="008106C3" w:rsidRPr="00AA73AF" w:rsidRDefault="008106C3" w:rsidP="00162F3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3AF">
              <w:rPr>
                <w:sz w:val="20"/>
                <w:szCs w:val="20"/>
              </w:rPr>
              <w:t>O:1</w:t>
            </w:r>
          </w:p>
          <w:p w:rsidR="00BD5AC2" w:rsidRPr="00AA73AF" w:rsidRDefault="00BD5AC2" w:rsidP="00162F3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74B14" w:rsidRPr="00AA73AF" w:rsidRDefault="00BD5AC2" w:rsidP="00BD5AC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A73AF">
              <w:rPr>
                <w:sz w:val="20"/>
                <w:szCs w:val="20"/>
              </w:rPr>
              <w:t xml:space="preserve">(čl.2 O: 1 </w:t>
            </w:r>
            <w:r w:rsidR="003D4337" w:rsidRPr="00AA73AF">
              <w:rPr>
                <w:sz w:val="20"/>
                <w:szCs w:val="20"/>
              </w:rPr>
              <w:t xml:space="preserve"> </w:t>
            </w:r>
            <w:r w:rsidRPr="00AA73AF">
              <w:rPr>
                <w:sz w:val="20"/>
                <w:szCs w:val="20"/>
              </w:rPr>
              <w:t>B: 48</w:t>
            </w:r>
          </w:p>
          <w:p w:rsidR="00D74B14" w:rsidRPr="00AA73AF" w:rsidRDefault="00D74B14" w:rsidP="00BD5AC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A73AF">
              <w:rPr>
                <w:sz w:val="20"/>
                <w:szCs w:val="20"/>
              </w:rPr>
              <w:t>P: i)</w:t>
            </w:r>
          </w:p>
          <w:p w:rsidR="00BD5AC2" w:rsidRPr="00AA73AF" w:rsidRDefault="00BD5AC2" w:rsidP="00BD5AC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A73AF">
              <w:rPr>
                <w:sz w:val="20"/>
                <w:szCs w:val="20"/>
              </w:rPr>
              <w:t>smer. 2014/</w:t>
            </w:r>
            <w:r w:rsidR="003D4337" w:rsidRPr="00AA73AF">
              <w:rPr>
                <w:sz w:val="20"/>
                <w:szCs w:val="20"/>
              </w:rPr>
              <w:t xml:space="preserve"> </w:t>
            </w:r>
            <w:r w:rsidRPr="00AA73AF">
              <w:rPr>
                <w:sz w:val="20"/>
                <w:szCs w:val="20"/>
              </w:rPr>
              <w:t xml:space="preserve">59)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2" w:rsidRPr="00AA73AF" w:rsidRDefault="00BD5AC2" w:rsidP="00D83E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3AF">
              <w:rPr>
                <w:rFonts w:ascii="Times New Roman" w:hAnsi="Times New Roman" w:cs="Times New Roman"/>
                <w:sz w:val="20"/>
                <w:szCs w:val="20"/>
              </w:rPr>
              <w:t xml:space="preserve">Článok 1 </w:t>
            </w:r>
          </w:p>
          <w:p w:rsidR="00BD5AC2" w:rsidRPr="00AA73AF" w:rsidRDefault="00BD5AC2" w:rsidP="00D83E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3AF">
              <w:rPr>
                <w:rFonts w:ascii="Times New Roman" w:hAnsi="Times New Roman" w:cs="Times New Roman"/>
                <w:sz w:val="20"/>
                <w:szCs w:val="20"/>
              </w:rPr>
              <w:t xml:space="preserve">Zmeny smernice 2014/59/EÚ </w:t>
            </w:r>
          </w:p>
          <w:p w:rsidR="00BD5AC2" w:rsidRPr="00AA73AF" w:rsidRDefault="00BD5AC2" w:rsidP="00D83E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3AF">
              <w:rPr>
                <w:rFonts w:ascii="Times New Roman" w:hAnsi="Times New Roman" w:cs="Times New Roman"/>
                <w:sz w:val="20"/>
                <w:szCs w:val="20"/>
              </w:rPr>
              <w:t xml:space="preserve">Smernica 2014/59/EÚ sa mení takto: </w:t>
            </w:r>
          </w:p>
          <w:p w:rsidR="00BD5AC2" w:rsidRPr="00AA73AF" w:rsidRDefault="00BD5AC2" w:rsidP="00D83E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3AF">
              <w:rPr>
                <w:rFonts w:ascii="Times New Roman" w:hAnsi="Times New Roman" w:cs="Times New Roman"/>
                <w:sz w:val="20"/>
                <w:szCs w:val="20"/>
              </w:rPr>
              <w:t>1. v článku 2 ods. 1 sa bod 48 nahrádza takto:</w:t>
            </w:r>
          </w:p>
          <w:p w:rsidR="00BD5AC2" w:rsidRPr="00AA73AF" w:rsidRDefault="00BD5AC2" w:rsidP="00D83E5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3AF">
              <w:rPr>
                <w:rFonts w:ascii="Times New Roman" w:hAnsi="Times New Roman" w:cs="Times New Roman"/>
                <w:sz w:val="20"/>
                <w:szCs w:val="20"/>
              </w:rPr>
              <w:t xml:space="preserve"> „48. ‚dlhové nástroje‘: </w:t>
            </w:r>
          </w:p>
          <w:p w:rsidR="002314E9" w:rsidRPr="00AA73AF" w:rsidRDefault="00BD5AC2" w:rsidP="008106C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3AF">
              <w:rPr>
                <w:rFonts w:ascii="Times New Roman" w:hAnsi="Times New Roman" w:cs="Times New Roman"/>
                <w:sz w:val="20"/>
                <w:szCs w:val="20"/>
              </w:rPr>
              <w:t xml:space="preserve">i) na účely článku 63 ods. 1 písm. g) a j) sú to dlhopisy a iné formy prevoditeľného dlhu, nástroje, ktorými sa vytvára alebo uznáva dlh, a nástroje, ktorými sa poskytuje právo nadobudnúť dlhové nástroje; 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353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E7353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E7353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314E9" w:rsidRPr="00AA73AF" w:rsidRDefault="00BD5AC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A73AF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353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314E9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73AF">
              <w:rPr>
                <w:sz w:val="20"/>
                <w:szCs w:val="20"/>
              </w:rPr>
              <w:t>371/ 2014 a</w:t>
            </w:r>
            <w:r w:rsidRPr="00AA73AF">
              <w:rPr>
                <w:b/>
                <w:sz w:val="20"/>
                <w:szCs w:val="20"/>
              </w:rPr>
              <w:t xml:space="preserve"> návrh zákona čl.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53" w:rsidRPr="00AA73AF" w:rsidRDefault="007E7353" w:rsidP="00A47BED">
            <w:pPr>
              <w:pStyle w:val="Normlny0"/>
            </w:pPr>
          </w:p>
          <w:p w:rsidR="007E7353" w:rsidRPr="00AA73AF" w:rsidRDefault="007E7353" w:rsidP="00A47BED">
            <w:pPr>
              <w:pStyle w:val="Normlny0"/>
            </w:pPr>
          </w:p>
          <w:p w:rsidR="007E7353" w:rsidRPr="00AA73AF" w:rsidRDefault="007E7353" w:rsidP="00A47BED">
            <w:pPr>
              <w:pStyle w:val="Normlny0"/>
            </w:pPr>
          </w:p>
          <w:p w:rsidR="002314E9" w:rsidRPr="00AA73AF" w:rsidRDefault="007E7353" w:rsidP="00A47BED">
            <w:pPr>
              <w:pStyle w:val="Normlny0"/>
            </w:pPr>
            <w:r w:rsidRPr="00AA73AF">
              <w:t xml:space="preserve">§ 2 </w:t>
            </w:r>
          </w:p>
          <w:p w:rsidR="007E7353" w:rsidRPr="00AA73AF" w:rsidRDefault="000429D3" w:rsidP="00A47BED">
            <w:pPr>
              <w:pStyle w:val="Normlny0"/>
            </w:pPr>
            <w:r>
              <w:t>P</w:t>
            </w:r>
            <w:r w:rsidR="007E7353" w:rsidRPr="00AA73AF">
              <w:t xml:space="preserve"> </w:t>
            </w:r>
            <w:proofErr w:type="spellStart"/>
            <w:r w:rsidR="007E7353" w:rsidRPr="00AA73AF">
              <w:t>am</w:t>
            </w:r>
            <w:proofErr w:type="spellEnd"/>
            <w:r w:rsidR="007E7353" w:rsidRPr="00AA73AF"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53" w:rsidRPr="00AA73AF" w:rsidRDefault="007E7353" w:rsidP="00162F39">
            <w:pPr>
              <w:pStyle w:val="Normlny0"/>
              <w:jc w:val="both"/>
              <w:rPr>
                <w:shd w:val="clear" w:color="auto" w:fill="FFFFFF"/>
              </w:rPr>
            </w:pPr>
          </w:p>
          <w:p w:rsidR="007E7353" w:rsidRPr="00AA73AF" w:rsidRDefault="007E7353" w:rsidP="00162F39">
            <w:pPr>
              <w:pStyle w:val="Normlny0"/>
              <w:jc w:val="both"/>
              <w:rPr>
                <w:shd w:val="clear" w:color="auto" w:fill="FFFFFF"/>
              </w:rPr>
            </w:pPr>
          </w:p>
          <w:p w:rsidR="007E7353" w:rsidRPr="00AA73AF" w:rsidRDefault="007E7353" w:rsidP="00162F39">
            <w:pPr>
              <w:pStyle w:val="Normlny0"/>
              <w:jc w:val="both"/>
              <w:rPr>
                <w:shd w:val="clear" w:color="auto" w:fill="FFFFFF"/>
              </w:rPr>
            </w:pPr>
          </w:p>
          <w:p w:rsidR="002314E9" w:rsidRPr="00AA73AF" w:rsidRDefault="007E7353" w:rsidP="00162F39">
            <w:pPr>
              <w:pStyle w:val="Normlny0"/>
              <w:jc w:val="both"/>
              <w:rPr>
                <w:shd w:val="clear" w:color="auto" w:fill="FFFFFF"/>
              </w:rPr>
            </w:pPr>
            <w:r w:rsidRPr="00AA73AF">
              <w:rPr>
                <w:shd w:val="clear" w:color="auto" w:fill="FFFFFF"/>
              </w:rPr>
              <w:t>Na účely tohto zákona sa rozumie</w:t>
            </w:r>
          </w:p>
          <w:p w:rsidR="007E7353" w:rsidRPr="00AA73AF" w:rsidRDefault="007E7353" w:rsidP="00162F39">
            <w:pPr>
              <w:pStyle w:val="Normlny0"/>
              <w:jc w:val="both"/>
              <w:rPr>
                <w:b/>
              </w:rPr>
            </w:pPr>
            <w:proofErr w:type="spellStart"/>
            <w:r w:rsidRPr="00AA73AF">
              <w:rPr>
                <w:b/>
              </w:rPr>
              <w:t>am</w:t>
            </w:r>
            <w:proofErr w:type="spellEnd"/>
            <w:r w:rsidRPr="00AA73AF">
              <w:rPr>
                <w:b/>
              </w:rPr>
              <w:t>) dlhovými nástrojmi dlhopisy</w:t>
            </w:r>
            <w:r w:rsidRPr="00AA73AF">
              <w:rPr>
                <w:b/>
                <w:vertAlign w:val="superscript"/>
              </w:rPr>
              <w:t>19h)</w:t>
            </w:r>
            <w:r w:rsidRPr="00AA73AF">
              <w:rPr>
                <w:b/>
              </w:rPr>
              <w:t xml:space="preserve"> a iné formy prevoditeľného dlhu, nástroje, ktorými sa vytvára alebo uznáva dlh, a nástroje, ktorými sa poskytuje právo nadobudnúť dlhové nástroje,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E9" w:rsidRPr="00AA73AF" w:rsidRDefault="002314E9">
            <w:pPr>
              <w:autoSpaceDE w:val="0"/>
              <w:autoSpaceDN w:val="0"/>
              <w:spacing w:before="0" w:beforeAutospacing="0" w:after="0" w:afterAutospacing="0"/>
              <w:jc w:val="center"/>
            </w:pPr>
          </w:p>
          <w:p w:rsidR="007E7353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</w:pPr>
          </w:p>
          <w:p w:rsidR="007E7353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</w:pPr>
          </w:p>
          <w:p w:rsidR="007E7353" w:rsidRPr="00AA73AF" w:rsidRDefault="007E7353">
            <w:pPr>
              <w:autoSpaceDE w:val="0"/>
              <w:autoSpaceDN w:val="0"/>
              <w:spacing w:before="0" w:beforeAutospacing="0" w:after="0" w:afterAutospacing="0"/>
              <w:jc w:val="center"/>
            </w:pPr>
            <w:r w:rsidRPr="00AA73AF"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7E7353" w:rsidP="0000076E">
            <w:pPr>
              <w:pStyle w:val="Nadpis1"/>
              <w:rPr>
                <w:b w:val="0"/>
                <w:bCs w:val="0"/>
                <w:sz w:val="16"/>
                <w:szCs w:val="16"/>
              </w:rPr>
            </w:pPr>
            <w:r w:rsidRPr="00AA73AF">
              <w:rPr>
                <w:b w:val="0"/>
                <w:sz w:val="16"/>
                <w:szCs w:val="16"/>
              </w:rPr>
              <w:t xml:space="preserve">GP- </w:t>
            </w:r>
            <w:r w:rsidR="0000076E" w:rsidRPr="00AA73AF">
              <w:rPr>
                <w:b w:val="0"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14E9" w:rsidRPr="00AA73AF" w:rsidRDefault="002314E9">
            <w:pPr>
              <w:pStyle w:val="Nadpis1"/>
              <w:rPr>
                <w:b w:val="0"/>
                <w:bCs w:val="0"/>
              </w:rPr>
            </w:pPr>
          </w:p>
        </w:tc>
      </w:tr>
    </w:tbl>
    <w:p w:rsidR="008C54C3" w:rsidRPr="00AA73AF" w:rsidRDefault="008C54C3">
      <w:pPr>
        <w:pStyle w:val="Hlavika"/>
        <w:tabs>
          <w:tab w:val="clear" w:pos="4536"/>
          <w:tab w:val="clear" w:pos="9072"/>
        </w:tabs>
        <w:autoSpaceDE/>
        <w:autoSpaceDN/>
      </w:pPr>
      <w:bookmarkStart w:id="0" w:name="_GoBack"/>
      <w:bookmarkEnd w:id="0"/>
    </w:p>
    <w:p w:rsidR="008D39E9" w:rsidRPr="00AA73AF" w:rsidRDefault="008D39E9" w:rsidP="008D39E9">
      <w:pPr>
        <w:pStyle w:val="Hlavika"/>
      </w:pPr>
      <w:r w:rsidRPr="00AA73AF">
        <w:t xml:space="preserve">Vysvetlivky </w:t>
      </w:r>
    </w:p>
    <w:p w:rsidR="008D39E9" w:rsidRPr="00AA73AF" w:rsidRDefault="008D39E9" w:rsidP="008D39E9">
      <w:pPr>
        <w:pStyle w:val="Hlavika"/>
      </w:pPr>
      <w:r w:rsidRPr="00AA73AF">
        <w:t xml:space="preserve">V stĺpci (1) sa smernica člení na jednotlivé časti: </w:t>
      </w:r>
    </w:p>
    <w:p w:rsidR="008D39E9" w:rsidRPr="00AA73AF" w:rsidRDefault="008D39E9" w:rsidP="008D39E9">
      <w:pPr>
        <w:pStyle w:val="Hlavika"/>
      </w:pPr>
      <w:r w:rsidRPr="00AA73AF">
        <w:t xml:space="preserve">Č - článok </w:t>
      </w:r>
    </w:p>
    <w:p w:rsidR="008D39E9" w:rsidRPr="00AA73AF" w:rsidRDefault="008D39E9" w:rsidP="008D39E9">
      <w:pPr>
        <w:pStyle w:val="Hlavika"/>
      </w:pPr>
      <w:r w:rsidRPr="00AA73AF">
        <w:t xml:space="preserve">O - odsek </w:t>
      </w:r>
    </w:p>
    <w:p w:rsidR="008D39E9" w:rsidRPr="00AA73AF" w:rsidRDefault="008D39E9" w:rsidP="008D39E9">
      <w:pPr>
        <w:pStyle w:val="Hlavika"/>
      </w:pPr>
      <w:r w:rsidRPr="00AA73AF">
        <w:t xml:space="preserve">V - veta </w:t>
      </w:r>
    </w:p>
    <w:p w:rsidR="008D39E9" w:rsidRPr="00AA73AF" w:rsidRDefault="008D39E9" w:rsidP="008D39E9">
      <w:pPr>
        <w:pStyle w:val="Hlavika"/>
      </w:pPr>
      <w:r w:rsidRPr="00AA73AF">
        <w:lastRenderedPageBreak/>
        <w:t>P - číslo (písmeno)</w:t>
      </w:r>
    </w:p>
    <w:p w:rsidR="008D39E9" w:rsidRPr="00AA73AF" w:rsidRDefault="008D39E9" w:rsidP="008D39E9">
      <w:pPr>
        <w:pStyle w:val="Hlavika"/>
      </w:pPr>
    </w:p>
    <w:p w:rsidR="008D39E9" w:rsidRPr="00AA73AF" w:rsidRDefault="008D39E9" w:rsidP="008D39E9">
      <w:pPr>
        <w:pStyle w:val="Hlavika"/>
      </w:pPr>
      <w:r w:rsidRPr="00AA73AF">
        <w:t>V stĺpci (3):</w:t>
      </w:r>
    </w:p>
    <w:p w:rsidR="008D39E9" w:rsidRPr="00AA73AF" w:rsidRDefault="008D39E9" w:rsidP="008D39E9">
      <w:pPr>
        <w:pStyle w:val="Hlavika"/>
      </w:pPr>
      <w:r w:rsidRPr="00AA73AF">
        <w:t>N – bežná transpozícia</w:t>
      </w:r>
    </w:p>
    <w:p w:rsidR="008D39E9" w:rsidRPr="00AA73AF" w:rsidRDefault="008D39E9" w:rsidP="008D39E9">
      <w:pPr>
        <w:pStyle w:val="Hlavika"/>
      </w:pPr>
      <w:r w:rsidRPr="00AA73AF">
        <w:t>O – transpozícia s možnosťou voľby</w:t>
      </w:r>
    </w:p>
    <w:p w:rsidR="008D39E9" w:rsidRPr="00AA73AF" w:rsidRDefault="008D39E9" w:rsidP="008D39E9">
      <w:pPr>
        <w:pStyle w:val="Hlavika"/>
      </w:pPr>
      <w:r w:rsidRPr="00AA73AF">
        <w:t>D – transpozícia podľa úvahy (dobrovoľná)</w:t>
      </w:r>
    </w:p>
    <w:p w:rsidR="008D39E9" w:rsidRPr="00AA73AF" w:rsidRDefault="008D39E9" w:rsidP="008D39E9">
      <w:pPr>
        <w:pStyle w:val="Hlavika"/>
      </w:pPr>
      <w:proofErr w:type="spellStart"/>
      <w:r w:rsidRPr="00AA73AF">
        <w:t>n.a</w:t>
      </w:r>
      <w:proofErr w:type="spellEnd"/>
      <w:r w:rsidRPr="00AA73AF">
        <w:t>. – transpozícia sa neuskutočňuje</w:t>
      </w:r>
    </w:p>
    <w:p w:rsidR="008D39E9" w:rsidRPr="00AA73AF" w:rsidRDefault="008D39E9" w:rsidP="008D39E9">
      <w:pPr>
        <w:pStyle w:val="Hlavika"/>
      </w:pPr>
    </w:p>
    <w:p w:rsidR="008D39E9" w:rsidRPr="00AA73AF" w:rsidRDefault="008D39E9" w:rsidP="008D39E9">
      <w:pPr>
        <w:pStyle w:val="Hlavika"/>
      </w:pPr>
      <w:r w:rsidRPr="00AA73AF">
        <w:t>V stĺpci (5):</w:t>
      </w:r>
    </w:p>
    <w:p w:rsidR="008D39E9" w:rsidRPr="00AA73AF" w:rsidRDefault="008D39E9" w:rsidP="008D39E9">
      <w:pPr>
        <w:pStyle w:val="Hlavika"/>
      </w:pPr>
      <w:r w:rsidRPr="00AA73AF">
        <w:t>Č – článok</w:t>
      </w:r>
    </w:p>
    <w:p w:rsidR="008D39E9" w:rsidRPr="00AA73AF" w:rsidRDefault="008D39E9" w:rsidP="008D39E9">
      <w:pPr>
        <w:pStyle w:val="Hlavika"/>
      </w:pPr>
      <w:r w:rsidRPr="00AA73AF">
        <w:t>§ – paragraf</w:t>
      </w:r>
    </w:p>
    <w:p w:rsidR="008D39E9" w:rsidRPr="00AA73AF" w:rsidRDefault="008D39E9" w:rsidP="008D39E9">
      <w:pPr>
        <w:pStyle w:val="Hlavika"/>
      </w:pPr>
      <w:r w:rsidRPr="00AA73AF">
        <w:t>O – odsek</w:t>
      </w:r>
    </w:p>
    <w:p w:rsidR="008D39E9" w:rsidRPr="00AA73AF" w:rsidRDefault="008D39E9" w:rsidP="008D39E9">
      <w:pPr>
        <w:pStyle w:val="Hlavika"/>
      </w:pPr>
      <w:r w:rsidRPr="00AA73AF">
        <w:t>V – veta</w:t>
      </w:r>
    </w:p>
    <w:p w:rsidR="008D39E9" w:rsidRPr="00AA73AF" w:rsidRDefault="008D39E9" w:rsidP="008D39E9">
      <w:pPr>
        <w:pStyle w:val="Hlavika"/>
      </w:pPr>
      <w:r w:rsidRPr="00AA73AF">
        <w:t>P – písmeno (číslo)</w:t>
      </w:r>
    </w:p>
    <w:p w:rsidR="008D39E9" w:rsidRPr="00AA73AF" w:rsidRDefault="008D39E9" w:rsidP="008D39E9">
      <w:pPr>
        <w:pStyle w:val="Hlavika"/>
      </w:pPr>
    </w:p>
    <w:p w:rsidR="008D39E9" w:rsidRPr="00AA73AF" w:rsidRDefault="008D39E9" w:rsidP="008D39E9">
      <w:pPr>
        <w:pStyle w:val="Hlavika"/>
      </w:pPr>
      <w:r w:rsidRPr="00AA73AF">
        <w:t>V stĺpci (7):</w:t>
      </w:r>
    </w:p>
    <w:p w:rsidR="008D39E9" w:rsidRPr="00AA73AF" w:rsidRDefault="008D39E9" w:rsidP="008D39E9">
      <w:pPr>
        <w:pStyle w:val="Hlavika"/>
      </w:pPr>
      <w:r w:rsidRPr="00AA73AF">
        <w:t>Ú – úplná zhoda (ak bolo ustanovenie smernice prebraté v celom rozsahu, správne, v príslušnej forme, so zabezpečenou inštitucionálnou  infraštruktúrou, s príslušnými sankciami a vo vzájomnej súvislosti)</w:t>
      </w:r>
    </w:p>
    <w:p w:rsidR="008D39E9" w:rsidRPr="00AA73AF" w:rsidRDefault="008D39E9" w:rsidP="008D39E9">
      <w:pPr>
        <w:pStyle w:val="Hlavika"/>
      </w:pPr>
      <w:r w:rsidRPr="00AA73AF">
        <w:t>Č – čiastočná zhoda (ak minimálne jedna z podmienok úplnej zhody nie je splnená)</w:t>
      </w:r>
    </w:p>
    <w:p w:rsidR="008D39E9" w:rsidRPr="00AA73AF" w:rsidRDefault="008D39E9" w:rsidP="008D39E9">
      <w:pPr>
        <w:pStyle w:val="Hlavika"/>
      </w:pPr>
      <w:r w:rsidRPr="00AA73AF">
        <w:t xml:space="preserve">Ž – žiadna zhoda (ak nebola dosiahnutá ani úplná ani </w:t>
      </w:r>
      <w:proofErr w:type="spellStart"/>
      <w:r w:rsidRPr="00AA73AF">
        <w:t>čiast</w:t>
      </w:r>
      <w:proofErr w:type="spellEnd"/>
      <w:r w:rsidRPr="00AA73AF">
        <w:t>. zhoda alebo k prebratiu dôjde v budúcnosti)</w:t>
      </w:r>
    </w:p>
    <w:p w:rsidR="008D39E9" w:rsidRPr="00AA73AF" w:rsidRDefault="008D39E9" w:rsidP="008D39E9">
      <w:pPr>
        <w:pStyle w:val="Hlavika"/>
      </w:pPr>
      <w:proofErr w:type="spellStart"/>
      <w:r w:rsidRPr="00AA73AF">
        <w:t>n.a</w:t>
      </w:r>
      <w:proofErr w:type="spellEnd"/>
      <w:r w:rsidRPr="00AA73AF">
        <w:t>. – neaplikovateľnosť (ak sa ustanovenie smernice netýka SR alebo nie je potrebné ho prebrať)</w:t>
      </w:r>
    </w:p>
    <w:p w:rsidR="008D39E9" w:rsidRPr="00AA73AF" w:rsidRDefault="008D39E9" w:rsidP="008D39E9">
      <w:pPr>
        <w:pStyle w:val="Hlavika"/>
      </w:pPr>
    </w:p>
    <w:p w:rsidR="008D39E9" w:rsidRPr="00AA73AF" w:rsidRDefault="008D39E9" w:rsidP="008D39E9">
      <w:pPr>
        <w:pStyle w:val="Hlavika"/>
        <w:tabs>
          <w:tab w:val="clear" w:pos="4536"/>
          <w:tab w:val="clear" w:pos="9072"/>
        </w:tabs>
        <w:autoSpaceDE/>
        <w:autoSpaceDN/>
        <w:rPr>
          <w:b/>
        </w:rPr>
      </w:pPr>
      <w:proofErr w:type="spellStart"/>
      <w:r w:rsidRPr="00AA73AF">
        <w:rPr>
          <w:b/>
        </w:rPr>
        <w:t>Bold</w:t>
      </w:r>
      <w:proofErr w:type="spellEnd"/>
      <w:r w:rsidRPr="00AA73AF">
        <w:rPr>
          <w:b/>
        </w:rPr>
        <w:t xml:space="preserve"> – zmeny v zákone</w:t>
      </w:r>
    </w:p>
    <w:sectPr w:rsidR="008D39E9" w:rsidRPr="00AA73AF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AF" w:rsidRDefault="00A61AAF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A61AAF" w:rsidRDefault="00A61AAF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D" w:rsidRDefault="00CB2E5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03157">
      <w:rPr>
        <w:rStyle w:val="slostrany"/>
        <w:noProof/>
      </w:rPr>
      <w:t>1</w:t>
    </w:r>
    <w:r>
      <w:rPr>
        <w:rStyle w:val="slostrany"/>
      </w:rP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AF" w:rsidRDefault="00A61AAF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A61AAF" w:rsidRDefault="00A61AAF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4F5"/>
    <w:multiLevelType w:val="hybridMultilevel"/>
    <w:tmpl w:val="749AA052"/>
    <w:lvl w:ilvl="0" w:tplc="E0DE5C5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961051"/>
    <w:multiLevelType w:val="hybridMultilevel"/>
    <w:tmpl w:val="11AC47D8"/>
    <w:lvl w:ilvl="0" w:tplc="F8F451C6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A9CA6016">
      <w:start w:val="1"/>
      <w:numFmt w:val="lowerLetter"/>
      <w:lvlText w:val="%2)"/>
      <w:lvlJc w:val="left"/>
      <w:pPr>
        <w:ind w:left="166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3" w15:restartNumberingAfterBreak="0">
    <w:nsid w:val="0CC05D9D"/>
    <w:multiLevelType w:val="hybridMultilevel"/>
    <w:tmpl w:val="168408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7" w15:restartNumberingAfterBreak="0">
    <w:nsid w:val="1B8500A3"/>
    <w:multiLevelType w:val="hybridMultilevel"/>
    <w:tmpl w:val="E30C05AC"/>
    <w:lvl w:ilvl="0" w:tplc="1076DCBE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4F2118"/>
    <w:multiLevelType w:val="hybridMultilevel"/>
    <w:tmpl w:val="31D2A3DC"/>
    <w:lvl w:ilvl="0" w:tplc="44DABE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B74446"/>
    <w:multiLevelType w:val="hybridMultilevel"/>
    <w:tmpl w:val="11AC47D8"/>
    <w:lvl w:ilvl="0" w:tplc="F8F451C6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A9CA6016">
      <w:start w:val="1"/>
      <w:numFmt w:val="lowerLetter"/>
      <w:lvlText w:val="%2)"/>
      <w:lvlJc w:val="left"/>
      <w:pPr>
        <w:ind w:left="166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4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5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90191"/>
    <w:multiLevelType w:val="hybridMultilevel"/>
    <w:tmpl w:val="C1E878A6"/>
    <w:lvl w:ilvl="0" w:tplc="539C1AC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56CA4D96"/>
    <w:multiLevelType w:val="hybridMultilevel"/>
    <w:tmpl w:val="71B6C34A"/>
    <w:lvl w:ilvl="0" w:tplc="BCF8FA7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39AD"/>
    <w:multiLevelType w:val="hybridMultilevel"/>
    <w:tmpl w:val="11AC47D8"/>
    <w:lvl w:ilvl="0" w:tplc="F8F451C6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A9CA6016">
      <w:start w:val="1"/>
      <w:numFmt w:val="lowerLetter"/>
      <w:lvlText w:val="%2)"/>
      <w:lvlJc w:val="left"/>
      <w:pPr>
        <w:ind w:left="166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14"/>
  </w:num>
  <w:num w:numId="4">
    <w:abstractNumId w:val="14"/>
    <w:lvlOverride w:ilvl="0">
      <w:startOverride w:val="2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20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2"/>
  </w:num>
  <w:num w:numId="17">
    <w:abstractNumId w:val="10"/>
  </w:num>
  <w:num w:numId="18">
    <w:abstractNumId w:val="2"/>
  </w:num>
  <w:num w:numId="19">
    <w:abstractNumId w:val="7"/>
  </w:num>
  <w:num w:numId="20">
    <w:abstractNumId w:val="0"/>
  </w:num>
  <w:num w:numId="21">
    <w:abstractNumId w:val="19"/>
  </w:num>
  <w:num w:numId="22">
    <w:abstractNumId w:val="18"/>
  </w:num>
  <w:num w:numId="23">
    <w:abstractNumId w:val="9"/>
  </w:num>
  <w:num w:numId="24">
    <w:abstractNumId w:val="21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76E"/>
    <w:rsid w:val="00024E42"/>
    <w:rsid w:val="000429D3"/>
    <w:rsid w:val="00093769"/>
    <w:rsid w:val="000A2F88"/>
    <w:rsid w:val="000C2E53"/>
    <w:rsid w:val="000D02C4"/>
    <w:rsid w:val="000E689A"/>
    <w:rsid w:val="00127033"/>
    <w:rsid w:val="00153B33"/>
    <w:rsid w:val="00162F39"/>
    <w:rsid w:val="00175C69"/>
    <w:rsid w:val="0017797B"/>
    <w:rsid w:val="00190168"/>
    <w:rsid w:val="001A5550"/>
    <w:rsid w:val="001B460A"/>
    <w:rsid w:val="001F70DE"/>
    <w:rsid w:val="002056F6"/>
    <w:rsid w:val="00212E60"/>
    <w:rsid w:val="002153F7"/>
    <w:rsid w:val="00217BF4"/>
    <w:rsid w:val="002314E9"/>
    <w:rsid w:val="00266DB0"/>
    <w:rsid w:val="00270E65"/>
    <w:rsid w:val="002E1D16"/>
    <w:rsid w:val="002F4DEC"/>
    <w:rsid w:val="00317FDF"/>
    <w:rsid w:val="00333B78"/>
    <w:rsid w:val="00342407"/>
    <w:rsid w:val="00344B44"/>
    <w:rsid w:val="00346101"/>
    <w:rsid w:val="00347BB0"/>
    <w:rsid w:val="00355AB8"/>
    <w:rsid w:val="00390B94"/>
    <w:rsid w:val="00391DC5"/>
    <w:rsid w:val="003D4337"/>
    <w:rsid w:val="003E7B78"/>
    <w:rsid w:val="004219E0"/>
    <w:rsid w:val="00424270"/>
    <w:rsid w:val="00440A2A"/>
    <w:rsid w:val="004577EC"/>
    <w:rsid w:val="00494CFC"/>
    <w:rsid w:val="004C3A75"/>
    <w:rsid w:val="004C4430"/>
    <w:rsid w:val="004D28FC"/>
    <w:rsid w:val="004E78A4"/>
    <w:rsid w:val="004F6566"/>
    <w:rsid w:val="00510804"/>
    <w:rsid w:val="005170A9"/>
    <w:rsid w:val="00563187"/>
    <w:rsid w:val="00582CB7"/>
    <w:rsid w:val="0059213B"/>
    <w:rsid w:val="005947B8"/>
    <w:rsid w:val="00595892"/>
    <w:rsid w:val="005A2D0D"/>
    <w:rsid w:val="005E0477"/>
    <w:rsid w:val="005E147F"/>
    <w:rsid w:val="005E566B"/>
    <w:rsid w:val="005F7D88"/>
    <w:rsid w:val="00601F13"/>
    <w:rsid w:val="0062299D"/>
    <w:rsid w:val="0064397E"/>
    <w:rsid w:val="00656B18"/>
    <w:rsid w:val="00683A6B"/>
    <w:rsid w:val="006B6290"/>
    <w:rsid w:val="006D1602"/>
    <w:rsid w:val="006E689D"/>
    <w:rsid w:val="007306ED"/>
    <w:rsid w:val="007515D8"/>
    <w:rsid w:val="007715D2"/>
    <w:rsid w:val="0078287E"/>
    <w:rsid w:val="007E7353"/>
    <w:rsid w:val="008106C3"/>
    <w:rsid w:val="00824556"/>
    <w:rsid w:val="00827A1C"/>
    <w:rsid w:val="00847A5D"/>
    <w:rsid w:val="00851837"/>
    <w:rsid w:val="00861E2E"/>
    <w:rsid w:val="00871958"/>
    <w:rsid w:val="00890830"/>
    <w:rsid w:val="008A0B4B"/>
    <w:rsid w:val="008A5161"/>
    <w:rsid w:val="008C54C3"/>
    <w:rsid w:val="008D39E9"/>
    <w:rsid w:val="00903157"/>
    <w:rsid w:val="0091636B"/>
    <w:rsid w:val="00926E0B"/>
    <w:rsid w:val="00953E16"/>
    <w:rsid w:val="009612CE"/>
    <w:rsid w:val="009719C2"/>
    <w:rsid w:val="009826E3"/>
    <w:rsid w:val="00984D3F"/>
    <w:rsid w:val="009C5E2D"/>
    <w:rsid w:val="009D767F"/>
    <w:rsid w:val="00A02F9A"/>
    <w:rsid w:val="00A4317F"/>
    <w:rsid w:val="00A47BED"/>
    <w:rsid w:val="00A61AAF"/>
    <w:rsid w:val="00A62E01"/>
    <w:rsid w:val="00A9063F"/>
    <w:rsid w:val="00A91B17"/>
    <w:rsid w:val="00A97B14"/>
    <w:rsid w:val="00AA55DA"/>
    <w:rsid w:val="00AA73AF"/>
    <w:rsid w:val="00AB7D27"/>
    <w:rsid w:val="00AF20FF"/>
    <w:rsid w:val="00B32EB6"/>
    <w:rsid w:val="00B64B09"/>
    <w:rsid w:val="00BA00A2"/>
    <w:rsid w:val="00BD410A"/>
    <w:rsid w:val="00BD5AC2"/>
    <w:rsid w:val="00C010F6"/>
    <w:rsid w:val="00C139A5"/>
    <w:rsid w:val="00C21CEF"/>
    <w:rsid w:val="00C34EF5"/>
    <w:rsid w:val="00C41D9D"/>
    <w:rsid w:val="00C46781"/>
    <w:rsid w:val="00C55157"/>
    <w:rsid w:val="00C8496F"/>
    <w:rsid w:val="00CB2E5D"/>
    <w:rsid w:val="00CB4925"/>
    <w:rsid w:val="00CD3434"/>
    <w:rsid w:val="00CE5BE3"/>
    <w:rsid w:val="00D04A73"/>
    <w:rsid w:val="00D05D6E"/>
    <w:rsid w:val="00D1232C"/>
    <w:rsid w:val="00D13288"/>
    <w:rsid w:val="00D205AC"/>
    <w:rsid w:val="00D211D7"/>
    <w:rsid w:val="00D22A7B"/>
    <w:rsid w:val="00D33B5F"/>
    <w:rsid w:val="00D3404B"/>
    <w:rsid w:val="00D74B14"/>
    <w:rsid w:val="00D83E5B"/>
    <w:rsid w:val="00DA0F6C"/>
    <w:rsid w:val="00DC0F95"/>
    <w:rsid w:val="00DE0F85"/>
    <w:rsid w:val="00E030B3"/>
    <w:rsid w:val="00E463CF"/>
    <w:rsid w:val="00E70357"/>
    <w:rsid w:val="00E7627E"/>
    <w:rsid w:val="00EB6D90"/>
    <w:rsid w:val="00ED5087"/>
    <w:rsid w:val="00EE7DD6"/>
    <w:rsid w:val="00EF4774"/>
    <w:rsid w:val="00EF7861"/>
    <w:rsid w:val="00F047A8"/>
    <w:rsid w:val="00F054AC"/>
    <w:rsid w:val="00F1389D"/>
    <w:rsid w:val="00F4080C"/>
    <w:rsid w:val="00F535EB"/>
    <w:rsid w:val="00FB5103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150C4-46D2-4DFE-9686-C826E394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17FD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spacing w:before="120" w:beforeAutospacing="0" w:after="0" w:afterAutospacing="0" w:line="312" w:lineRule="atLeast"/>
      <w:jc w:val="both"/>
    </w:pPr>
  </w:style>
  <w:style w:type="character" w:customStyle="1" w:styleId="italic">
    <w:name w:val="italic"/>
    <w:rsid w:val="00926E0B"/>
  </w:style>
  <w:style w:type="paragraph" w:customStyle="1" w:styleId="ti-art">
    <w:name w:val="ti-art"/>
    <w:basedOn w:val="Normlny"/>
    <w:rsid w:val="00BD5AC2"/>
  </w:style>
  <w:style w:type="paragraph" w:customStyle="1" w:styleId="sti-art">
    <w:name w:val="sti-art"/>
    <w:basedOn w:val="Normlny"/>
    <w:rsid w:val="00BD5AC2"/>
  </w:style>
  <w:style w:type="paragraph" w:styleId="Bezriadkovania">
    <w:name w:val="No Spacing"/>
    <w:uiPriority w:val="1"/>
    <w:qFormat/>
    <w:rsid w:val="00BD5AC2"/>
    <w:pPr>
      <w:spacing w:beforeAutospacing="1" w:after="0" w:afterAutospacing="1" w:line="240" w:lineRule="auto"/>
    </w:pPr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E7353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426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42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3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428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42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3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2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2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3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2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2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643C-29AF-4756-B492-6DBBF00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Zamecnikova Petra</cp:lastModifiedBy>
  <cp:revision>2</cp:revision>
  <cp:lastPrinted>2006-12-14T14:09:00Z</cp:lastPrinted>
  <dcterms:created xsi:type="dcterms:W3CDTF">2025-02-10T12:39:00Z</dcterms:created>
  <dcterms:modified xsi:type="dcterms:W3CDTF">2025-02-10T12:39:00Z</dcterms:modified>
</cp:coreProperties>
</file>