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Náhľad vyhodnotenia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371/2014 Z. z. o riešení krízových situácií na finančnom trhu a o zmene a doplnení niektorých zákonov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LP/2024/678</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60/0</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0</w:t>
      </w:r>
      <w:r w:rsidR="00754CB0">
        <w:rPr>
          <w:rFonts w:ascii="Times New Roman" w:eastAsia="Times New Roman" w:hAnsi="Times New Roman" w:cs="Times New Roman"/>
          <w:sz w:val="24"/>
          <w:szCs w:val="24"/>
        </w:rPr>
        <w:t>/0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0</w:t>
      </w:r>
      <w:r w:rsidR="004A48F0">
        <w:rPr>
          <w:rFonts w:ascii="Times New Roman" w:eastAsia="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4 navrhujeme časť novelizujúcu  písmeno e) odčleniť do samostatného bodu a nasledujúce body primerane prečíslovať.</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Akceptovaná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 navrhujeme upraviť znenie  novelizačnej inštrukcie nasledovne: „V §8a ods. 3 sa na konci bodka nahrádza bodkočiarkou a pripájajú sa tieto slová:“ a v nadväznosti na uvedené na konci pripájaného textu doplniť bodku. Pripomienka platí primerane aj pre čl. I bod 16.</w:t>
            </w:r>
          </w:p>
        </w:tc>
        <w:tc>
          <w:tcPr>
            <w:tcW w:w="778" w:type="dxa"/>
            <w:vAlign w:val="center"/>
          </w:tcPr>
          <w:p w:rsidR="001449BB" w:rsidRPr="00E3312D" w:rsidRDefault="004F0AC6">
            <w:pPr>
              <w:spacing w:after="0"/>
              <w:jc w:val="center"/>
              <w:rPr>
                <w:highlight w:val="yellow"/>
              </w:rPr>
            </w:pPr>
            <w:r w:rsidRPr="004D7977">
              <w:t>N</w:t>
            </w:r>
          </w:p>
        </w:tc>
        <w:tc>
          <w:tcPr>
            <w:tcW w:w="2462" w:type="dxa"/>
          </w:tcPr>
          <w:p w:rsidR="001449BB" w:rsidRPr="00E3312D" w:rsidRDefault="004D7977" w:rsidP="00E3312D">
            <w:pPr>
              <w:spacing w:after="0"/>
              <w:rPr>
                <w:highlight w:val="yellow"/>
              </w:rPr>
            </w:pPr>
            <w:r>
              <w:t>N</w:t>
            </w:r>
            <w:r w:rsidR="00E3312D" w:rsidRPr="004D7977">
              <w:t xml:space="preserve">a základe zaužívanej legislatívnej praxe a aktuálne platným legislatívnym pravidlám, nesúhlasíme s danou úpravou.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19 navrhujeme upraviť nasledovne „V § 17b ... sa slová „§ 14 a 15“ nahrádzajú slovami „§ 14, § 15 a 17“.</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20 navrhujeme časť novelizujúcu písmeno b) </w:t>
            </w:r>
            <w:r>
              <w:rPr>
                <w:rFonts w:ascii="Times New Roman" w:eastAsia="Times New Roman" w:hAnsi="Times New Roman" w:cs="Times New Roman"/>
                <w:color w:val="000000"/>
                <w:sz w:val="24"/>
              </w:rPr>
              <w:lastRenderedPageBreak/>
              <w:t>odčleniť do samostatného bodu a nasledujúce body primerane prečíslovať.</w:t>
            </w:r>
          </w:p>
        </w:tc>
        <w:tc>
          <w:tcPr>
            <w:tcW w:w="778" w:type="dxa"/>
            <w:vAlign w:val="center"/>
          </w:tcPr>
          <w:p w:rsidR="001449BB" w:rsidRDefault="004F0AC6">
            <w:pPr>
              <w:spacing w:after="0"/>
              <w:jc w:val="center"/>
            </w:pPr>
            <w:r>
              <w:lastRenderedPageBreak/>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30 navrhujeme časť novelizujúcu písmeno b) odčleniť do samostatného body a nasledujúce body primerane prečíslovať.</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34 navrhujeme na začiatok citácie poznámky pod čiarou k odkazu 70kb vložiť „Čl.“.</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59 v § 31e ods. 4 písm. a) prvom bode  bodoch 1c a 1d navrhujeme na konci čiarku nahradiť významovo správnou spojkou.</w:t>
            </w:r>
          </w:p>
        </w:tc>
        <w:tc>
          <w:tcPr>
            <w:tcW w:w="778" w:type="dxa"/>
            <w:vAlign w:val="center"/>
          </w:tcPr>
          <w:p w:rsidR="001449BB" w:rsidRDefault="001C6D7C">
            <w:pPr>
              <w:spacing w:after="0"/>
              <w:jc w:val="center"/>
            </w:pPr>
            <w:r w:rsidRPr="004D7977">
              <w:t>N</w:t>
            </w:r>
          </w:p>
        </w:tc>
        <w:tc>
          <w:tcPr>
            <w:tcW w:w="2462" w:type="dxa"/>
          </w:tcPr>
          <w:p w:rsidR="001449BB" w:rsidRDefault="001C6D7C" w:rsidP="004D7977">
            <w:pPr>
              <w:spacing w:after="0"/>
              <w:jc w:val="both"/>
            </w:pPr>
            <w:r w:rsidRPr="004D7977">
              <w:t>Pripomienka nie je akceptovaná, keďže aktuálne znenie v plnej miere kopíruje znenie smernice. Ak by sa tam dodala spojka, mohlo by prísť k neprávnemu výkladu, čo by mohlo mať dopady na nesúhlasné vyhodnotenie transpozície smernice do slovenského právneho poriadku.</w:t>
            </w:r>
            <w:r>
              <w:t xml:space="preserve">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64 navrhujeme časť novelizujúcu písmeno d) odčleniť do samostatného body a nasledujúce body primerane prečíslovať.</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66 v § 31e ods. 12 úvodnej časti vety navrhujeme vypustiť slová „písm. a) a b)“.</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81 navrhujeme vypustiť slová „prvej vete“.</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90 navrhujeme slová „Ak v odsekoch 4 a 5 nie je ustanovené“ nahradiť slovami „Ak odseky 4 a 5 neustanovujú“.</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91 navrhujeme poslednú vetu upraviť takto: „Osobitný predpis106c) sa použije primerane.“.</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 6e ods.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 6e ods. 16 poukazujeme na skutočnosť, že kým v jeho druhej vete sa žaloba proti oceneniu priamo spája so žalobou proti rozhodnutiu rady v pléne, ktorého je súčasťou, upresnenie pre rozklad proti takémuto rozhodnutiu sa v predmetnom ustanovení nespomína. Z prvej vety síce ako pre správnu žalobu proti oceneniu, tak aj pre rozklad proti oceneniu vyplýva, že nesmú byť podané samostatne, avšak v ustanovení chýba upresnenie v intenciách druhej vety aj pre rozklad.</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 31b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navrhovanom § 31b ods. 4 písm. b) odporúčame pri určení </w:t>
            </w:r>
            <w:r>
              <w:rPr>
                <w:rFonts w:ascii="Times New Roman" w:eastAsia="Times New Roman" w:hAnsi="Times New Roman" w:cs="Times New Roman"/>
                <w:color w:val="000000"/>
                <w:sz w:val="24"/>
              </w:rPr>
              <w:lastRenderedPageBreak/>
              <w:t>príslušných záväzkov dôsledne dodržiavať bod 23.1 Prílohy č. 1 Legislatívnych pravidiel vlády. Z dôvodu všeobecnej zrozumiteľnosti je potrebné presne v texte ustanovenia určiť, o aké záväzky ide.</w:t>
            </w:r>
          </w:p>
        </w:tc>
        <w:tc>
          <w:tcPr>
            <w:tcW w:w="778" w:type="dxa"/>
            <w:vAlign w:val="center"/>
          </w:tcPr>
          <w:p w:rsidR="001449BB" w:rsidRDefault="004F0AC6">
            <w:pPr>
              <w:spacing w:after="0"/>
              <w:jc w:val="center"/>
            </w:pPr>
            <w:r>
              <w:lastRenderedPageBreak/>
              <w:t>N</w:t>
            </w:r>
          </w:p>
        </w:tc>
        <w:tc>
          <w:tcPr>
            <w:tcW w:w="2462" w:type="dxa"/>
          </w:tcPr>
          <w:p w:rsidR="001449BB" w:rsidRDefault="006377F5" w:rsidP="004D7977">
            <w:pPr>
              <w:spacing w:after="0"/>
              <w:jc w:val="both"/>
            </w:pPr>
            <w:r w:rsidRPr="004D7977">
              <w:t xml:space="preserve">Neakceptujeme, keďže sme toho názoru, že  </w:t>
            </w:r>
            <w:r w:rsidRPr="004D7977">
              <w:lastRenderedPageBreak/>
              <w:t>v predmetnom bode sa v odkazoch 70ak) a 70 kb) jasne odkazuje na záväzky</w:t>
            </w:r>
            <w:r w:rsidR="004D7977" w:rsidRPr="004D7977">
              <w:t xml:space="preserve">, ktoré sú stanovené v smernici, </w:t>
            </w:r>
            <w:r w:rsidRPr="004D7977">
              <w:t>resp. ktoré sa odkazuje na jednotlivé ustanovenia nariadenia 575/2013.</w:t>
            </w:r>
            <w:r>
              <w:t xml:space="preserve">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bodu 59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59 odporúčame v súvislosti s ovládaním dcérskej spoločnosti použiť iný pojem než dosiaľ neustálený a nejasný pojem „priama držba“,  a to napríklad použitím pojmov súvisiacich s vlastníctvom obchodného podielu resp. akcií.</w:t>
            </w:r>
          </w:p>
        </w:tc>
        <w:tc>
          <w:tcPr>
            <w:tcW w:w="778" w:type="dxa"/>
            <w:vAlign w:val="center"/>
          </w:tcPr>
          <w:p w:rsidR="001449BB" w:rsidRDefault="004F0AC6">
            <w:pPr>
              <w:spacing w:after="0"/>
              <w:jc w:val="center"/>
            </w:pPr>
            <w:r>
              <w:t>A</w:t>
            </w:r>
          </w:p>
        </w:tc>
        <w:tc>
          <w:tcPr>
            <w:tcW w:w="2462" w:type="dxa"/>
          </w:tcPr>
          <w:p w:rsidR="001449BB" w:rsidRDefault="004F0AC6">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tabuľke zhody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konštatovanie uvádzané v predkladacej správe ako aj v dôvodovej správe k návrhu zákona, že predkladaným materiálom má dochádzať k transpozícii čl. 1 smernice Európskeho parlamentu a Rady (EÚ) 2024/1174 z 11. apríla 2024, ktorou sa mení smernica 2014/59/EÚ a nariadenie (EÚ) č. 806/2014, pokiaľ ide o určité aspekty minimálnej požiadavky na vlastné zdroje a oprávnené záväzky (ďalej len „smernica 2024/1174“), ako aj vzhľadom na navrhované doplnenie transpozičnej prílohy zákona č. 371/2014 Z. z. v novelizačnom čl. I, bode 92., odporúčame predkladateľovi vypracovať a k materiálu pripojiť v súlade s § 7 ods. 1 písm. g) zákona č. 400/2015 Z. z. o tvorbe právnych predpisov a o Zbierke zákonov Slovenskej republiky a o zmene a doplnení niektorých zákonov v znení neskorších predpisov a čl. 18 ods. 1 písm. h) </w:t>
            </w:r>
            <w:r>
              <w:rPr>
                <w:rFonts w:ascii="Times New Roman" w:eastAsia="Times New Roman" w:hAnsi="Times New Roman" w:cs="Times New Roman"/>
                <w:color w:val="000000"/>
                <w:sz w:val="24"/>
              </w:rPr>
              <w:lastRenderedPageBreak/>
              <w:t>Legislatívnych pravidiel vlády Slovenskej republiky aj príslušnú tabuľku zhody k smernici 2024/1174.</w:t>
            </w:r>
          </w:p>
        </w:tc>
        <w:tc>
          <w:tcPr>
            <w:tcW w:w="778" w:type="dxa"/>
            <w:vAlign w:val="center"/>
          </w:tcPr>
          <w:p w:rsidR="001449BB" w:rsidRDefault="004F0AC6">
            <w:pPr>
              <w:spacing w:after="0"/>
              <w:jc w:val="center"/>
            </w:pPr>
            <w:r>
              <w:lastRenderedPageBreak/>
              <w:t>A</w:t>
            </w:r>
          </w:p>
        </w:tc>
        <w:tc>
          <w:tcPr>
            <w:tcW w:w="2462" w:type="dxa"/>
          </w:tcPr>
          <w:p w:rsidR="001449BB" w:rsidRDefault="004F0AC6">
            <w:pPr>
              <w:spacing w:after="0"/>
            </w:pPr>
            <w:r>
              <w:t>Akceptované, tabuľka zhody je vypracovaná.</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 4. (§ 6b ods. 2 písm. d) a 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zmeny, ktoré sa navrhujú v § 6b ods. 2 vykonať rozdeliť do dvoch samostatných novelizačných bodov. Akceptovanie pripomienky by si vyžiadalo prečíslovanie nasledujúcich novelizačných bodov. Ide o legislatívno-technickú pripomienku.</w:t>
            </w:r>
          </w:p>
        </w:tc>
        <w:tc>
          <w:tcPr>
            <w:tcW w:w="778" w:type="dxa"/>
            <w:vAlign w:val="center"/>
          </w:tcPr>
          <w:p w:rsidR="001449BB" w:rsidRDefault="00C57CD4">
            <w:pPr>
              <w:spacing w:after="0"/>
              <w:jc w:val="center"/>
            </w:pPr>
            <w:r>
              <w:t>A</w:t>
            </w:r>
          </w:p>
        </w:tc>
        <w:tc>
          <w:tcPr>
            <w:tcW w:w="2462" w:type="dxa"/>
          </w:tcPr>
          <w:p w:rsidR="001449BB" w:rsidRDefault="00C57CD4">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 5. (§ 6e ods. 16)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odôvodnením navrhovaného doplnenia ustanovenia § 6e o nový odsek 16 uvádzaným v osobitnej časti dôvodovej správy môžeme uviesť, že všeobecne rozumieme potrebe predmetnej úpravy avšak dávame predkladateľovi na zváženie jej iné jazykovo-štylistické vyjadrenie. Najmä s ohľadom na znenie § 51 ods.  1 v spojení s § 51 ods. 5 a 17 zákona č. 371/2014 Z. z., ktoré uvádza, že ocenenie je „podkladom rozhodnutia rady“, pričom toto sa vykonáva za účelom preskúmania naplnenia zákonných podmienok (resp. zabezpečenia vecného podloženia rozhodnutia) ešte pred vynesením rozhodnutia alebo iným výkonom právomoci zvereným zákonom č. 371/2014 Z. z. rade, resp. výkonnému členovi rady, teda samo o sebe má povahu dôkazného prostriedku (ktorým sa náležite objasňujú skutočnosti dôležité pre konečné rozhodnutie vo veci samej) sa ako vhodnejšie javí, aby predmetná úprava bola formulovaná všeobecnejšie (po vzore iných procesných poriadkov). Dávame predkladateľovi na zváženie ustanovenie formulovať nasledovne:</w:t>
            </w:r>
            <w:r>
              <w:rPr>
                <w:rFonts w:ascii="Times New Roman" w:eastAsia="Times New Roman" w:hAnsi="Times New Roman" w:cs="Times New Roman"/>
                <w:color w:val="000000"/>
                <w:sz w:val="24"/>
              </w:rPr>
              <w:br/>
              <w:t xml:space="preserve">„(16) Rozklad alebo správna žaloba podľa osobitného predpisu28f) len proti odôvodneniu rozhodnutia nie je prípustná.“. alebo v alternatíve „ (16) Rozklad alebo správna žaloba podľa osobitného predpisu28f) len proti dôvodom </w:t>
            </w:r>
            <w:r>
              <w:rPr>
                <w:rFonts w:ascii="Times New Roman" w:eastAsia="Times New Roman" w:hAnsi="Times New Roman" w:cs="Times New Roman"/>
                <w:color w:val="000000"/>
                <w:sz w:val="24"/>
              </w:rPr>
              <w:lastRenderedPageBreak/>
              <w:t>rozhodnutia, ktorých podkladom je výlučne len ocenenie podľa § 51 nie je prípustná. “.</w:t>
            </w:r>
            <w:r>
              <w:rPr>
                <w:rFonts w:ascii="Times New Roman" w:eastAsia="Times New Roman" w:hAnsi="Times New Roman" w:cs="Times New Roman"/>
                <w:color w:val="000000"/>
                <w:sz w:val="24"/>
              </w:rPr>
              <w:br/>
              <w:t>Dovetok v zmysle druhej vety navrhovaného ustanovenia v znení „Ocenenie podľa § 51 sa posudzuje v rámci konania pred správnym súdom na základe správnej žaloby podľa osobitného predpisu28f) proti rozhodnutiu rady v pléne, ktorého je súčasťou.“. sa nám javí ako nadbytočný. Rozumieme, že predkladateľ aj v tomto prípade vychádza zo znenia čl. 36 ods. 13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v znení smernice 2024/1174 a odporúčaní vyplývajúcich z kontroly Európskej Komisie (Ares(2023)3533375) ako sa uvádza v osobitnej časti dôvodovej správy, uvedená skutočnosť (t. j. možnosť preskúmania ocenenia podľa § 51 len v rámci súdneho prieskumu správneho rozhodnutia, ktorého bolo ocenenie podľa § 51 podkladom) je však daná už len tým, že ide o správne rozhodnutie podliehajúce súdnemu prieskumu. Takáto výslovná pozitívno-právna formulácia teda deklaratórne konštatuje to, čo je aktuálne platné a preto sa javí ako účelová a nadbytočná.</w:t>
            </w:r>
          </w:p>
        </w:tc>
        <w:tc>
          <w:tcPr>
            <w:tcW w:w="778" w:type="dxa"/>
            <w:vAlign w:val="center"/>
          </w:tcPr>
          <w:p w:rsidR="001449BB" w:rsidRDefault="00C57CD4">
            <w:pPr>
              <w:spacing w:after="0"/>
              <w:jc w:val="center"/>
            </w:pPr>
            <w:r>
              <w:lastRenderedPageBreak/>
              <w:t>A</w:t>
            </w:r>
          </w:p>
        </w:tc>
        <w:tc>
          <w:tcPr>
            <w:tcW w:w="2462" w:type="dxa"/>
          </w:tcPr>
          <w:p w:rsidR="001449BB" w:rsidRDefault="00C57CD4">
            <w:pPr>
              <w:spacing w:after="0"/>
            </w:pPr>
            <w:r>
              <w:t>Akceptované úpravou textu podľa alternatívy č. 2.</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 8. (§ 8a ods. 4 písm. 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Dovoľujeme si predkladateľa upozorniť, že ustanovenia § 17 ods. 3 až 7, na ktoré sa v § 8a ods. 4 písm. b) vnútorne odkazuje sa predloženým návrhom zákona neprečíslovávajú. Ide o legislatívno-technickú pripomienku.</w:t>
            </w:r>
          </w:p>
        </w:tc>
        <w:tc>
          <w:tcPr>
            <w:tcW w:w="778" w:type="dxa"/>
            <w:vAlign w:val="center"/>
          </w:tcPr>
          <w:p w:rsidR="001449BB" w:rsidRPr="002D4DDA" w:rsidRDefault="002D4DDA">
            <w:pPr>
              <w:spacing w:after="0"/>
              <w:jc w:val="center"/>
              <w:rPr>
                <w:highlight w:val="yellow"/>
              </w:rPr>
            </w:pPr>
            <w:r w:rsidRPr="004D7977">
              <w:t>A</w:t>
            </w:r>
          </w:p>
        </w:tc>
        <w:tc>
          <w:tcPr>
            <w:tcW w:w="2462" w:type="dxa"/>
          </w:tcPr>
          <w:p w:rsidR="001449BB" w:rsidRPr="002D4DDA" w:rsidRDefault="002D4DDA">
            <w:pPr>
              <w:spacing w:after="0"/>
              <w:rPr>
                <w:highlight w:val="yellow"/>
              </w:rPr>
            </w:pPr>
            <w:r w:rsidRPr="004D7977">
              <w:t xml:space="preserve">Doplnené správne odôvodnenie k predmetnej úprave.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 53. (§ 31b ods. 36)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prehodnotiť znenie navrhovaného ustanovenia najmä s poukazom na použitie slov „podľa toho čo je vhodné“, nakoľko tieto pôsobia, že ustanovenie ako také nie je pre adresátov normy podľa nášho názoru dostatočne určité a zrozumiteľné.</w:t>
            </w:r>
          </w:p>
        </w:tc>
        <w:tc>
          <w:tcPr>
            <w:tcW w:w="778" w:type="dxa"/>
            <w:vAlign w:val="center"/>
          </w:tcPr>
          <w:p w:rsidR="001449BB" w:rsidRPr="002D4DDA" w:rsidRDefault="00C57CD4">
            <w:pPr>
              <w:spacing w:after="0"/>
              <w:jc w:val="center"/>
              <w:rPr>
                <w:highlight w:val="yellow"/>
              </w:rPr>
            </w:pPr>
            <w:r w:rsidRPr="004D7977">
              <w:t>N</w:t>
            </w:r>
          </w:p>
        </w:tc>
        <w:tc>
          <w:tcPr>
            <w:tcW w:w="2462" w:type="dxa"/>
          </w:tcPr>
          <w:p w:rsidR="001449BB" w:rsidRPr="002D4DDA" w:rsidRDefault="002D4DDA" w:rsidP="004D7977">
            <w:pPr>
              <w:spacing w:after="0"/>
              <w:jc w:val="both"/>
              <w:rPr>
                <w:highlight w:val="yellow"/>
              </w:rPr>
            </w:pPr>
            <w:r w:rsidRPr="004D7977">
              <w:t xml:space="preserve">Neakceptujeme pripomienku, keďže ide o presné znenie smernice. V prípade rozdielnej úpravy by mohli byť zmeny vyhodnotené ako nesúladné so znením smernice.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Čl. I, bod 59. (§ 31e ods. 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Rozumieme, že uvedené ustanovenie je výsledkom transpozície čl. 45f ods. 1 tretí pododsek Smernice 2014/59/EU v znení smernice 2024/1174, v tejto súvislosti však považujeme za potrebné upozorniť, že slovenský právny poriadok nepozná, resp. nedefinuje obsah pojmu „priama držba“ obchodnej spoločnosti. V tejto súvislosti je možné hovoriť o držbe akcií, resp. o vlastníctve obchodného podielu v obchodnej spoločnosti, ktorý vzhľadom na podiel hlasovacích práv s nimi spojených alebo podiel na základnom imaní umožňujú výkon priameho vplyvu na ich správu a riadenie, ale nie o „držbe“ obchodnej spoločnosti. Napriek tomu, že v danom prípade identické znenie obsahuje priamo smernica 2014/59/EU v znení smernice 2024/1174, ani to však nebráni tomu, aby príslušný gestor transpozície túto zasadil do kontextu vnútroštátnej právnej úpravy. Transpozícia smernice 2014/59/EU v znení smernice 2024/1174 by sa podľa nášho názoru nemala obmedziť len formálne (jazykovo) doslovné prebratie textu právneho aktu EU, ale mala by zohľadniť systém národného právneho poriadku, a tým minimalizovať nezrovnalosti, ktoré tak môžu vzniknúť nielen v rovine terminologickej, no najmä v rovine vecnej.</w:t>
            </w:r>
          </w:p>
        </w:tc>
        <w:tc>
          <w:tcPr>
            <w:tcW w:w="778" w:type="dxa"/>
            <w:vAlign w:val="center"/>
          </w:tcPr>
          <w:p w:rsidR="001449BB" w:rsidRDefault="00C57CD4">
            <w:pPr>
              <w:spacing w:after="0"/>
              <w:jc w:val="center"/>
            </w:pPr>
            <w:r>
              <w:t>A</w:t>
            </w:r>
          </w:p>
        </w:tc>
        <w:tc>
          <w:tcPr>
            <w:tcW w:w="2462" w:type="dxa"/>
          </w:tcPr>
          <w:p w:rsidR="001449BB" w:rsidRDefault="00C57CD4">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obale materiálu odporúčame ako podnet uviesť iniciatívny návrh a to podľa čl. 5 ods. 1 písm. e) Smernice na prípravu a predkladanie materiálov na rokovanie vlády Slovenskej republiky.</w:t>
            </w:r>
          </w:p>
        </w:tc>
        <w:tc>
          <w:tcPr>
            <w:tcW w:w="778" w:type="dxa"/>
            <w:vAlign w:val="center"/>
          </w:tcPr>
          <w:p w:rsidR="001449BB" w:rsidRPr="004D7977" w:rsidRDefault="00BE16E5">
            <w:pPr>
              <w:spacing w:after="0"/>
              <w:jc w:val="center"/>
            </w:pPr>
            <w:r w:rsidRPr="004D7977">
              <w:t>ČA</w:t>
            </w:r>
          </w:p>
        </w:tc>
        <w:tc>
          <w:tcPr>
            <w:tcW w:w="2462" w:type="dxa"/>
          </w:tcPr>
          <w:p w:rsidR="001449BB" w:rsidRPr="004D7977" w:rsidRDefault="00BE16E5" w:rsidP="00BE16E5">
            <w:pPr>
              <w:spacing w:after="0"/>
            </w:pPr>
            <w:r w:rsidRPr="004D7977">
              <w:t xml:space="preserve">Ako podnet bolo uvedené uznesenie vlády SR č. 589 zo dňa 02. 10. 2024 - úloha: B.17.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Tabuľka zhody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Tabuľke zhody odporúčame uviesť aj</w:t>
            </w:r>
            <w:r>
              <w:rPr>
                <w:rFonts w:ascii="Times New Roman" w:eastAsia="Times New Roman" w:hAnsi="Times New Roman" w:cs="Times New Roman"/>
                <w:color w:val="000000"/>
                <w:sz w:val="24"/>
              </w:rPr>
              <w:br/>
              <w:t>-  smernicu Európskeho parlamentu a Rady (EÚ) 2024/1174 z 11. apríla 2024, ktorou sa mení smernica 2014/59/EÚ a nariadenia (EÚ) č. 806/2014, pokiaľ ide o určité aspekty minimálnej požiadavky na vlastné zdroje a oprávnené záväzky,</w:t>
            </w:r>
            <w:r>
              <w:rPr>
                <w:rFonts w:ascii="Times New Roman" w:eastAsia="Times New Roman" w:hAnsi="Times New Roman" w:cs="Times New Roman"/>
                <w:color w:val="000000"/>
                <w:sz w:val="24"/>
              </w:rPr>
              <w:br/>
              <w:t>- nariadenie Európskeho Parlamentu a Rady (EÚ) 2022/2036 z 19. októbra 2022, ktorým sa mení nariadenie (EÚ) č. 575/2013 a smernica 2014/59/EÚ, pokiaľ ide o prudenciálne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Legislatívno-technická pripomienka.</w:t>
            </w:r>
          </w:p>
        </w:tc>
        <w:tc>
          <w:tcPr>
            <w:tcW w:w="778" w:type="dxa"/>
            <w:vAlign w:val="center"/>
          </w:tcPr>
          <w:p w:rsidR="001449BB" w:rsidRPr="002D4DDA" w:rsidRDefault="002D4DDA">
            <w:pPr>
              <w:spacing w:after="0"/>
              <w:jc w:val="center"/>
              <w:rPr>
                <w:highlight w:val="yellow"/>
              </w:rPr>
            </w:pPr>
            <w:r w:rsidRPr="004D7977">
              <w:t>A</w:t>
            </w:r>
          </w:p>
        </w:tc>
        <w:tc>
          <w:tcPr>
            <w:tcW w:w="2462" w:type="dxa"/>
          </w:tcPr>
          <w:p w:rsidR="001449BB" w:rsidRPr="002D4DDA" w:rsidRDefault="002D4DDA">
            <w:pPr>
              <w:spacing w:after="0"/>
              <w:rPr>
                <w:highlight w:val="yellow"/>
              </w:rPr>
            </w:pPr>
            <w:r w:rsidRPr="004D7977">
              <w:t xml:space="preserve">K predmetným smerniciam boli predložené samostatné tabuľky zhody. V rámci MPK tieto neboli systémovou chybou nahraté na Slov-lex.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prvej vete predkladacej správy odporúčame slová „smernice 2014/59/EÚ  smernice" nahradiť slovami "a smernica 2014/59/EÚ“.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Gramatická pripomienka.</w:t>
            </w:r>
          </w:p>
        </w:tc>
        <w:tc>
          <w:tcPr>
            <w:tcW w:w="778" w:type="dxa"/>
            <w:vAlign w:val="center"/>
          </w:tcPr>
          <w:p w:rsidR="001449BB" w:rsidRDefault="00C57CD4">
            <w:pPr>
              <w:spacing w:after="0"/>
              <w:jc w:val="center"/>
            </w:pPr>
            <w:r>
              <w:t>A</w:t>
            </w:r>
          </w:p>
        </w:tc>
        <w:tc>
          <w:tcPr>
            <w:tcW w:w="2462" w:type="dxa"/>
          </w:tcPr>
          <w:p w:rsidR="001449BB" w:rsidRDefault="00C57CD4">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Dôvodová správa - všeobecná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všeobecnej časti dôvodovej správy odporúčame preformulovať vetu: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sa teda predkladá z dôvodu povinnosti implementovať smernicu BRRD a jej následné novely do slovenského právneho poriadku (do zákona č. 371/2014 Z. z. o riešení krízových situácií na finančnom trhu a o zmene a doplnení niektorých zákonov v znení neskorších predpisov) s cieľom znižovania rizík v bankovom sektore, posilňovania odolnosti regulovaných subjektov voči prípadným ekonomickým otrasom a tým prispievať k upevneniu finančného systému.“,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„Návrhom zákona sa do slovenského právneho poriadku implementuje smernica Európskeho parlamentu a Rady (EÚ) 2024/1174 z 11. apríla 2024, ktorou sa mení smernica 2014/59/EÚ a nariadenia (EÚ) č. 806/2014, pokiaľ ide o určité aspekty minimálnej požiadavky na vlastné zdroje a oprávnené záväzky a nariadenie Európskeho Parlamentu a Rady (EÚ) 2022/2036 z 19. októbra 2022, ktorým sa mení nariadenie (EÚ) č. 575/2013 a smernica 2014/59/EÚ, pokiaľ ide o prudenciálne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Formulačné spresnenie; návrhom zákona sa neimplementuje bezprostredne smernica BRRD.</w:t>
            </w:r>
          </w:p>
        </w:tc>
        <w:tc>
          <w:tcPr>
            <w:tcW w:w="778" w:type="dxa"/>
            <w:vAlign w:val="center"/>
          </w:tcPr>
          <w:p w:rsidR="001449BB" w:rsidRDefault="003974B9">
            <w:pPr>
              <w:spacing w:after="0"/>
              <w:jc w:val="center"/>
            </w:pPr>
            <w:r>
              <w:t>A</w:t>
            </w:r>
          </w:p>
        </w:tc>
        <w:tc>
          <w:tcPr>
            <w:tcW w:w="2462" w:type="dxa"/>
          </w:tcPr>
          <w:p w:rsidR="001449BB" w:rsidRDefault="003974B9">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Dôvodová správa - osobitná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Poslednú vetu osobitnej časti dôvodovej správy  k bodu 81 odporúčame upraviť nasledovne: „Takéto náklady môžu mať nanajvýš dočasný negatívny vplyv na štátny rozpočet, pretože sa zároveň zavádza povinnosť Rady vzniknuté náklady vymáhať od finančných inštitúcií a následne ich po vymožení previesť na účet štátnych finančných aktív.“.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Formulačné spresnenie.</w:t>
            </w:r>
          </w:p>
        </w:tc>
        <w:tc>
          <w:tcPr>
            <w:tcW w:w="778" w:type="dxa"/>
            <w:vAlign w:val="center"/>
          </w:tcPr>
          <w:p w:rsidR="001449BB" w:rsidRPr="001542ED" w:rsidRDefault="00E3312D">
            <w:pPr>
              <w:spacing w:after="0"/>
              <w:jc w:val="center"/>
              <w:rPr>
                <w:highlight w:val="yellow"/>
              </w:rPr>
            </w:pPr>
            <w:r w:rsidRPr="00571F06">
              <w:t>N</w:t>
            </w:r>
          </w:p>
        </w:tc>
        <w:tc>
          <w:tcPr>
            <w:tcW w:w="2462" w:type="dxa"/>
          </w:tcPr>
          <w:p w:rsidR="001542ED" w:rsidRPr="001542ED" w:rsidRDefault="00E3312D" w:rsidP="00571F06">
            <w:pPr>
              <w:spacing w:after="0"/>
              <w:jc w:val="both"/>
              <w:rPr>
                <w:highlight w:val="yellow"/>
              </w:rPr>
            </w:pPr>
            <w:r w:rsidRPr="00571F06">
              <w:t>Sme toho názoru, že vzhľadom ku skutočnosti, že poskytnuté finančné prostriedky budú preplatené zo strany finančných inštitúcií jedná sa o neutrálny vplyv na štátny rozpočet.</w:t>
            </w:r>
            <w:r w:rsidR="001542ED" w:rsidRPr="00571F06">
              <w:t xml:space="preserve">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Upozorňujeme, že predkladaný návrh zákona predstavuje transpozíciu viacerých sekundárnych právnych aktov EÚ, avšak  preukázanie úplnosti a správnosti transpozícii prostredníctvom tabuliek zhody absentuje.</w:t>
            </w:r>
          </w:p>
        </w:tc>
        <w:tc>
          <w:tcPr>
            <w:tcW w:w="778" w:type="dxa"/>
            <w:vAlign w:val="center"/>
          </w:tcPr>
          <w:p w:rsidR="001449BB" w:rsidRDefault="003974B9">
            <w:pPr>
              <w:spacing w:after="0"/>
              <w:jc w:val="center"/>
            </w:pPr>
            <w:r>
              <w:t>A</w:t>
            </w:r>
          </w:p>
        </w:tc>
        <w:tc>
          <w:tcPr>
            <w:tcW w:w="2462" w:type="dxa"/>
          </w:tcPr>
          <w:p w:rsidR="001449BB" w:rsidRDefault="003974B9">
            <w:pPr>
              <w:spacing w:after="0"/>
            </w:pPr>
            <w:r>
              <w:t xml:space="preserve">Akceptované – tabuľky zhody sú doložené k návrhu zákona.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Predkladaným návrhom zákona dochádza k transpozícii viacerých ustanovení smernice (EÚ) 2024/1174. Ide napríklad o čl. 1 ods. 1 smernice (EÚ) 2024/1174, ktorý sa transponuje do navrhovaného § 2 písm. at),  čl. 1 ods. 2 smernice (EÚ) 2024/1174, ktorý sa transponuje do navrhovaného § 31b ods. 5 až 7, ďalej je to ustanovenie čl. 1 ods. 3 písm. a) smernice (EÚ) 2024/1174, ktorý sa transponuje do navrhovaného § 31e ods. 4,  čl. 1 ods. 3 písm. b) smernice (EÚ) 2024/1174, ktorý sa transponuje do navrhovaného § 31e ods. 11 a 12,  čl. 1 ods. 4 smernice (EÚ) 2024/1174, ktorý sa transponuje do navrhovaného § 31g ods. 6,  a ustanovenie čl. 1 ods. 5 smernice (EÚ) 2024/1174, ktoré sa transponuje do navrhovaného § 31h. V tejto súvislosti žiadame predložiť v ďalšom štádiu tohto </w:t>
            </w:r>
            <w:r>
              <w:rPr>
                <w:rFonts w:ascii="Times New Roman" w:eastAsia="Times New Roman" w:hAnsi="Times New Roman" w:cs="Times New Roman"/>
                <w:color w:val="000000"/>
                <w:sz w:val="24"/>
              </w:rPr>
              <w:lastRenderedPageBreak/>
              <w:t>legislatívneho procesu tabuľku zhody so smernicou (EÚ) 2024/1174, ktorou dôjde k preukázaniu úplnosti a správnosti transpozície uvedených článkov smernice.</w:t>
            </w:r>
          </w:p>
        </w:tc>
        <w:tc>
          <w:tcPr>
            <w:tcW w:w="778" w:type="dxa"/>
            <w:vAlign w:val="center"/>
          </w:tcPr>
          <w:p w:rsidR="001449BB" w:rsidRDefault="003974B9">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Podľa doložky zlučiteľnosti dochádza predkladaným návrhom zákona k transpozícii čl. 1 bodu 17 smernice (EÚ) 2019/879 v platnom znení a to v dôsledku zmeny ustanovenia čl. 45i ods. 3 smernice 2014/59/EÚ v platnom znení. V nadväznosti na uvedené žiadame predložiť v ďalšom štádiu tohto legislatívneho procesu tabuľku zhody so smernicou (EÚ) 2019/879 v platnom znení, ktorou dôjde k preukázaniu úplnosti a správnosti všetkých relevantných transpozícií v súvislosti s predkladaným návrhom zákona.</w:t>
            </w:r>
          </w:p>
        </w:tc>
        <w:tc>
          <w:tcPr>
            <w:tcW w:w="778" w:type="dxa"/>
            <w:vAlign w:val="center"/>
          </w:tcPr>
          <w:p w:rsidR="001449BB" w:rsidRDefault="003974B9">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Čl. I bod 34: Žiadame doplniť osobitnú časť dôvodovej správy k tomuto ustanoveniu.</w:t>
            </w:r>
          </w:p>
        </w:tc>
        <w:tc>
          <w:tcPr>
            <w:tcW w:w="778" w:type="dxa"/>
            <w:vAlign w:val="center"/>
          </w:tcPr>
          <w:p w:rsidR="001449BB" w:rsidRPr="00B340E9" w:rsidRDefault="00B340E9">
            <w:pPr>
              <w:spacing w:after="0"/>
              <w:jc w:val="center"/>
              <w:rPr>
                <w:highlight w:val="yellow"/>
              </w:rPr>
            </w:pPr>
            <w:r w:rsidRPr="00571F06">
              <w:t>A</w:t>
            </w:r>
          </w:p>
        </w:tc>
        <w:tc>
          <w:tcPr>
            <w:tcW w:w="2462" w:type="dxa"/>
          </w:tcPr>
          <w:p w:rsidR="001449BB" w:rsidRPr="00B340E9" w:rsidRDefault="00B340E9" w:rsidP="00571F06">
            <w:pPr>
              <w:spacing w:after="0"/>
              <w:jc w:val="both"/>
              <w:rPr>
                <w:highlight w:val="yellow"/>
              </w:rPr>
            </w:pPr>
            <w:r w:rsidRPr="00172BC3">
              <w:t>Doplnené odôvodnenie, že ide o transpozícia čl. 1 ods. 2 smernice (EÚ) 2024/1174, ktorou sa mení smernica 2014/59/EÚ a nariadenie (EÚ) č. 806/2014, pokiaľ ide o určité aspekty minimálnej požiadavky na vlastné zdroje a oprávnené záväzky, ktorá vkladá nový odsek 2a v článku 45c smernice 2014/59/EÚ.</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lastRenderedPageBreak/>
              <w:t>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 K Čl. I bod 34: Žiadame vysvetliť navrhované znenie ustanovenia § 31b ods. 4 písm. b) pokiaľ ide o vylúčenie určitej kategórie záväzkov, ktoré spĺňajú kritéria oprávnenosti podľa čl. </w:t>
            </w:r>
            <w:r>
              <w:rPr>
                <w:rFonts w:ascii="Times New Roman" w:eastAsia="Times New Roman" w:hAnsi="Times New Roman" w:cs="Times New Roman"/>
                <w:color w:val="000000"/>
                <w:sz w:val="24"/>
              </w:rPr>
              <w:lastRenderedPageBreak/>
              <w:t>72b ods. 2 písm. b) a d) nariadenia (EÚ) č. 575/2013 v platnom znení. Nie je zrejmé, z čoho navrhované obmedzenie vyplýva.</w:t>
            </w:r>
          </w:p>
        </w:tc>
        <w:tc>
          <w:tcPr>
            <w:tcW w:w="778" w:type="dxa"/>
            <w:vAlign w:val="center"/>
          </w:tcPr>
          <w:p w:rsidR="001449BB" w:rsidRPr="00B340E9" w:rsidRDefault="00B340E9">
            <w:pPr>
              <w:spacing w:after="0"/>
              <w:jc w:val="center"/>
              <w:rPr>
                <w:highlight w:val="yellow"/>
              </w:rPr>
            </w:pPr>
            <w:r w:rsidRPr="00172BC3">
              <w:lastRenderedPageBreak/>
              <w:t>A</w:t>
            </w:r>
          </w:p>
        </w:tc>
        <w:tc>
          <w:tcPr>
            <w:tcW w:w="2462" w:type="dxa"/>
          </w:tcPr>
          <w:p w:rsidR="001449BB" w:rsidRPr="00172BC3" w:rsidRDefault="00B340E9" w:rsidP="00172BC3">
            <w:pPr>
              <w:spacing w:after="0"/>
              <w:jc w:val="both"/>
            </w:pPr>
            <w:r w:rsidRPr="00172BC3">
              <w:t xml:space="preserve">Doplnené odôvodnenie, že ide o transpozícia čl. 1 ods. 2 smernice (EÚ) 2024/1174, ktorou sa </w:t>
            </w:r>
            <w:r w:rsidRPr="00172BC3">
              <w:lastRenderedPageBreak/>
              <w:t>mení smernica 2014/59/EÚ a nariadenie (EÚ) č. 806/2014, pokiaľ ide o určité aspekty minimálnej požiadavky na vlastné zdroje a oprávnené záväzky, ktorá vkladá nový odsek 2a v článku 45c smernice 2014/59/EÚ.</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K Čl. I bod 83: Žiadame prepracovať osobitnú časť dôvodovej správy k tomuto bodu a uviesť, že ide o transpozíciu čl. 48 ods. 1 písm. e) smernice 2014/59/EÚ v platnom znení. Zároveň žiadame doplniť tabuľku zhody k smernici 2014/59/EÚ v platnom znení, ktorou dôjde k preukázaniu úplnej a správnej transpozície daného ustanovenia do predkladaného návrhu zákona.</w:t>
            </w:r>
          </w:p>
        </w:tc>
        <w:tc>
          <w:tcPr>
            <w:tcW w:w="778" w:type="dxa"/>
            <w:vAlign w:val="center"/>
          </w:tcPr>
          <w:p w:rsidR="001449BB" w:rsidRPr="001542ED" w:rsidRDefault="001542ED">
            <w:pPr>
              <w:spacing w:after="0"/>
              <w:jc w:val="center"/>
              <w:rPr>
                <w:highlight w:val="yellow"/>
              </w:rPr>
            </w:pPr>
            <w:r w:rsidRPr="00172BC3">
              <w:t>A</w:t>
            </w:r>
          </w:p>
        </w:tc>
        <w:tc>
          <w:tcPr>
            <w:tcW w:w="2462" w:type="dxa"/>
          </w:tcPr>
          <w:p w:rsidR="001449BB" w:rsidRPr="00172BC3" w:rsidRDefault="001542ED" w:rsidP="00172BC3">
            <w:pPr>
              <w:spacing w:after="0"/>
              <w:jc w:val="both"/>
            </w:pPr>
            <w:r w:rsidRPr="00172BC3">
              <w:t>Dopracovné v zmysle, že ide o zmeny, ktorých cieľom je spresnenie transpozície ustanovenia čl. 48 ods. 1 písm. e) BRRD.</w:t>
            </w:r>
          </w:p>
          <w:p w:rsidR="001542ED" w:rsidRPr="001542ED" w:rsidRDefault="001542ED" w:rsidP="00172BC3">
            <w:pPr>
              <w:spacing w:after="0"/>
              <w:jc w:val="both"/>
              <w:rPr>
                <w:highlight w:val="yellow"/>
              </w:rPr>
            </w:pPr>
            <w:r w:rsidRPr="00172BC3">
              <w:t>Zároveň boli zmeny upravené v tabuľke zhody k smernici 2019/879, ktorou sa mení smernica 2014/59/EÚ.</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K Čl. I bod 92: V navrhovanom znení bodu 92 dochádza k doplneniu transpozičnej prílohy o nariadenie (EÚ) 2022/2036, ktorým dochádza k zmene niektorých ustanovení smernice 2014/59/EÚ v platnom znení. Upozorňujeme, že pokiaľ nariadenie EÚ mení smernicu, správa sa ako smernica a je potrebné ho transponovať. V tejto súvislosti požadujeme predložiť tabuľku zhody k nariadeniu (EÚ) 2022/2036, ktorou dôjde k preukázaniu úplnosti a správnosti transpozície jednotlivých ustanovení do predkladaného návrhu zákona.</w:t>
            </w:r>
          </w:p>
        </w:tc>
        <w:tc>
          <w:tcPr>
            <w:tcW w:w="778" w:type="dxa"/>
            <w:vAlign w:val="center"/>
          </w:tcPr>
          <w:p w:rsidR="001449BB" w:rsidRDefault="003974B9">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ľavom záhlaví tabuľky zhody žiadame upraviť citáciu smernice nasledovne: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w:t>
            </w:r>
          </w:p>
        </w:tc>
        <w:tc>
          <w:tcPr>
            <w:tcW w:w="778" w:type="dxa"/>
            <w:vAlign w:val="center"/>
          </w:tcPr>
          <w:p w:rsidR="001449BB" w:rsidRDefault="003974B9">
            <w:pPr>
              <w:spacing w:after="0"/>
              <w:jc w:val="center"/>
            </w:pPr>
            <w:r>
              <w:t>A</w:t>
            </w:r>
          </w:p>
        </w:tc>
        <w:tc>
          <w:tcPr>
            <w:tcW w:w="2462" w:type="dxa"/>
          </w:tcPr>
          <w:p w:rsidR="001449BB" w:rsidRDefault="003974B9">
            <w:pPr>
              <w:spacing w:after="0"/>
            </w:pPr>
            <w:r>
              <w:t>Akceptované úpravou textu.</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Žiadame do tabuľky zhody doplniť a preukázať transpozíciu článku 9 ods. 2 smernice 2014/59/EÚ v platnom znení, nakoľko podľa osobitnej časti dôvodovej správy dochádza k transpozícii tohto článku smernice do navrhovaného Čl. I bod 91, ktorým dochádza k doplneniu § 97 ods. 6. Tabuľku zhody žiadame predložiť tak, aby bolo možné posúdiť správnosť a úplnosť transpozície daného článku smernice 2014/59/EÚ v platnom znení.</w:t>
            </w:r>
          </w:p>
        </w:tc>
        <w:tc>
          <w:tcPr>
            <w:tcW w:w="778" w:type="dxa"/>
            <w:vAlign w:val="center"/>
          </w:tcPr>
          <w:p w:rsidR="001449BB" w:rsidRPr="001542ED" w:rsidRDefault="001542ED">
            <w:pPr>
              <w:spacing w:after="0"/>
              <w:jc w:val="center"/>
              <w:rPr>
                <w:highlight w:val="yellow"/>
              </w:rPr>
            </w:pPr>
            <w:r w:rsidRPr="00172BC3">
              <w:t>ČA</w:t>
            </w:r>
          </w:p>
        </w:tc>
        <w:tc>
          <w:tcPr>
            <w:tcW w:w="2462" w:type="dxa"/>
          </w:tcPr>
          <w:p w:rsidR="001449BB" w:rsidRPr="001542ED" w:rsidRDefault="001542ED" w:rsidP="00172BC3">
            <w:pPr>
              <w:spacing w:after="0"/>
              <w:jc w:val="both"/>
              <w:rPr>
                <w:highlight w:val="yellow"/>
              </w:rPr>
            </w:pPr>
            <w:r w:rsidRPr="00172BC3">
              <w:t>Transpozícia bola vykázaná v tabuľke zhody k smernici č. 2014/49, keďže navrhovanou zmenou dochádza k precizovaniu transpozície čl. 9 ods. 2 smernice 2014/49/EÚ zo 16. apríla 2014 o systémoch ochrany vkladov, ktorý upravuje nárok systému ochrany vkladov voči banke v prípade uskutočnenia výplat v súvislosti s postupom riešenia krízových situácií.</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lastRenderedPageBreak/>
              <w:t>3. Žiadame do tabuľky zhody doplniť a preukázať transpozíciu článku 18 ods. 1 smernice 2014/59/EÚ v platnom znení, nakoľko podľa osobitnej časti dôvodovej správy dochádza k zmene transpozičného opatrenia v navrhovanom Čl. I bod 21, ktorým dochádza k zmene § 29 ods. 1.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Žiadame do tabuľky zhody doplniť a preukázať transpozíciu článku 18 ods. 3 smernice 2014/59/EÚ v platnom znení, nakoľko podľa osobitnej časti dôvodovej správy dochádza k zmene transpozičného opatrenia v navrhovanom Čl. I bod 22 a 23, ktorými dochádza k zmene § 29 ods. 6 a 7.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Žiadame do tabuľky zhody doplniť a preukázať transpozíciu článku 18 ods. 6a smernice 2014/59/EÚ v platnom znení, nakoľko podľa osobitnej časti dôvodovej správy dochádza k zmene transpozičného opatrenia v navrhovanom Čl. I bod 24, ktorým dochádza k zmene odkazu pod čiarou 68a.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w:t>
            </w:r>
            <w:r>
              <w:rPr>
                <w:rFonts w:ascii="Times New Roman" w:eastAsia="Times New Roman" w:hAnsi="Times New Roman" w:cs="Times New Roman"/>
                <w:color w:val="000000"/>
                <w:sz w:val="24"/>
              </w:rPr>
              <w:lastRenderedPageBreak/>
              <w:t>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 Žiadame do tabuľky zhody doplniť a preukázať transpozíciu </w:t>
            </w:r>
            <w:r>
              <w:rPr>
                <w:rFonts w:ascii="Times New Roman" w:eastAsia="Times New Roman" w:hAnsi="Times New Roman" w:cs="Times New Roman"/>
                <w:color w:val="000000"/>
                <w:sz w:val="24"/>
              </w:rPr>
              <w:lastRenderedPageBreak/>
              <w:t>článku 18 ods. 7 smernice 2014/59/EÚ v platnom znení, nakoľko podľa osobitnej časti dôvodovej správy dochádza k zmene transpozičného opatrenia v navrhovanom Čl. I bod 25, ktorým dochádza k zmene § 29 ods. 15.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Žiadame do tabuľky zhody doplniť a preukázať transpozíciu článku 32 ods. 1 smernice 2014/59/EÚ v platnom znení, nakoľko podľa osobitnej časti dôvodovej správy dochádza k zmene transpozičného opatrenia v navrhovanom Čl. I bod 76, ktorým dochádza k zmene § 34 ods. 1.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Žiadame do tabuľky zhody doplniť a preukázať transpozíciu článku 32b smernice 2014/59/EÚ v platnom znení, nakoľko podľa osobitnej časti dôvodovej správy dochádza k zmene transpozičného opatrenia v navrhovanom Čl. I bod 77, ktorým dochádza k zmene § 38 ods. 5.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lastRenderedPageBreak/>
              <w:t>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9. Žiadame do tabuľky zhody doplniť a preukázať transpozíciu článku 33a ods. 10 písm. a) a b) smernice 2014/59/EÚ v platnom </w:t>
            </w:r>
            <w:r>
              <w:rPr>
                <w:rFonts w:ascii="Times New Roman" w:eastAsia="Times New Roman" w:hAnsi="Times New Roman" w:cs="Times New Roman"/>
                <w:color w:val="000000"/>
                <w:sz w:val="24"/>
              </w:rPr>
              <w:lastRenderedPageBreak/>
              <w:t>znení, nakoľko podľa osobitnej časti dôvodovej správy dochádza k zmene transpozičného opatrenia v navrhovanom Čl. I bod 6 a 7, ktorým dochádza k zmene § 8a. Tabuľku zhody žiadame predložiť tak, aby bolo možné posúdiť správnosť a úplnosť transpozície daného článku smernice 2014/59/EÚ v platnom znení.</w:t>
            </w:r>
          </w:p>
        </w:tc>
        <w:tc>
          <w:tcPr>
            <w:tcW w:w="778" w:type="dxa"/>
            <w:vAlign w:val="center"/>
          </w:tcPr>
          <w:p w:rsidR="001449BB" w:rsidRDefault="00223FC0">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Žiadame do tabuľky zhody doplniť a preukázať transpozíciu článku 36 ods. 4  smernice 2014/59/EÚ v platnom znení, nakoľko podľa osobitnej časti dôvodovej správy dochádza k zmene transpozičného opatrenia v navrhovanom Čl. I bod 79, ktorým dochádza k zmene § 51 ods. 5.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Žiadame do tabuľky zhody doplniť a preukázať transpozíciu článku 36 ods. 13 smernice 2014/59/EÚ v platnom znení, nakoľko podľa osobitnej časti dôvodovej správy dochádza k transpozícii tohto článku smernice do navrhovaného Čl. I bod 5, ktorým dochádza k doplneniu §6e o odsek 16. Tabuľku zhody žiadame predložiť tak, aby bolo možné posúdiť správnosť a úplnosť transpozície daného článku smernice 2014/59/EÚ v platnom znení.</w:t>
            </w:r>
          </w:p>
        </w:tc>
        <w:tc>
          <w:tcPr>
            <w:tcW w:w="778" w:type="dxa"/>
            <w:vAlign w:val="center"/>
          </w:tcPr>
          <w:p w:rsidR="001449BB" w:rsidRDefault="00E760D8">
            <w:pPr>
              <w:spacing w:after="0"/>
              <w:jc w:val="center"/>
            </w:pPr>
            <w:r>
              <w:t>A</w:t>
            </w:r>
          </w:p>
        </w:tc>
        <w:tc>
          <w:tcPr>
            <w:tcW w:w="2462" w:type="dxa"/>
          </w:tcPr>
          <w:p w:rsidR="001449BB" w:rsidRDefault="00E760D8">
            <w:pPr>
              <w:spacing w:after="0"/>
            </w:pPr>
            <w:r>
              <w:t>Čl. 36 ods. 13 už bol uvedený v tabuľke zhody k smernici 2014/59 a bola preukázaná transpozícia § 6a ods. 16</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12. Žiadame do tabuľky zhody doplniť a preukázať transpozíciu článku 44a ods. 2 smernice 2014/59/EÚ v platnom znení, nakoľko podľa osobitnej časti dôvodovej správy dochádza k </w:t>
            </w:r>
            <w:r>
              <w:rPr>
                <w:rFonts w:ascii="Times New Roman" w:eastAsia="Times New Roman" w:hAnsi="Times New Roman" w:cs="Times New Roman"/>
                <w:color w:val="000000"/>
                <w:sz w:val="24"/>
              </w:rPr>
              <w:lastRenderedPageBreak/>
              <w:t>zmene transpozičného opatrenia v navrhovanom Čl. I bod 74 ktorým dochádza k zmene § 31j.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Žiadame do tabuľky zhody doplniť a preukázať transpozíciu článku 45b ods. 3 a 4 smernice 2014/59/EÚ v platnom znení, nakoľko podľa osobitnej časti dôvodovej správy dochádza k zmene transpozičného opatrenia v navrhovanom Čl. I bod 27 a 28, ktorými dochádza k zmene ustanovenia § 31a.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Žiadame do tabuľky zhody doplniť a preukázať transpozíciu článku 45c ods. 3 a 7 smernice 2014/59/EÚ v platnom znení, nakoľko podľa osobitnej časti dôvodovej správy dochádza k zmene transpozičného opatrenia v navrhovanom Čl. I bod 37 a 45, ktorými dochádza k zmene § 31b.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15. Žiadame do tabuľky zhody doplniť a preukázať transpozíciu článku 45d ods. 1 smernice 2014/59/EÚ v platnom znení, nakoľko podľa osobitnej časti dôvodovej správy dochádza k zmene transpozičného opatrenia v navrhovanom Čl. I bod 54, </w:t>
            </w:r>
            <w:r>
              <w:rPr>
                <w:rFonts w:ascii="Times New Roman" w:eastAsia="Times New Roman" w:hAnsi="Times New Roman" w:cs="Times New Roman"/>
                <w:color w:val="000000"/>
                <w:sz w:val="24"/>
              </w:rPr>
              <w:lastRenderedPageBreak/>
              <w:t>ktorým dochádza k zmene § 31c.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16. Žiadame do tabuľky zhody doplniť a preukázať transpozíciu článku 45f ods. 2 a 5 smernice 2014/59/EÚ v platnom znení, nakoľko podľa osobitnej časti dôvodovej správy dochádza k zmene transpozičného opatrenia v navrhovanom Čl. I bod 61 a 64, ktorými dochádza k zmene § 31e.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17. Žiadame do tabuľky zhody doplniť a preukázať transpozíciu článku 45h ods. 1 a 5 smernice 2014/59/EÚ v platnom znení, nakoľko podľa osobitnej časti dôvodovej správy dochádza k zmene transpozičného opatrenia v navrhovanom Čl. I bod 67 a 71, ktorými dochádza k zmene § 31f.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18. Žiadame do tabuľky zhody doplniť a preukázať transpozíciu článku 45m ods. 4 smernice 2014/59/EÚ v platnom znení, nakoľko podľa osobitnej časti dôvodovej správy dochádza k zmene transpozičného opatrenia v navrhovanom Čl. I bod 53, ktorým dochádza k zmene § 31b ods. 36. Tabuľku zhody </w:t>
            </w:r>
            <w:r>
              <w:rPr>
                <w:rFonts w:ascii="Times New Roman" w:eastAsia="Times New Roman" w:hAnsi="Times New Roman" w:cs="Times New Roman"/>
                <w:color w:val="000000"/>
                <w:sz w:val="24"/>
              </w:rPr>
              <w:lastRenderedPageBreak/>
              <w:t>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19. Žiadame do tabuľky zhody doplniť a preukázať transpozíciu článku 46 ods. 2 smernice 2014/59/EÚ v platnom znení, nakoľko podľa osobitnej časti dôvodovej správy dochádza k zmene transpozičného opatrenia v navrhovanom Čl. I bod 82, ktorým dochádza k zmene § 60 ods. 2.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20. Žiadame do tabuľky zhody doplniť a preukázať transpozíciu článku 55 ods. 2 smernice 2014/59/EÚ v platnom znení, nakoľko podľa osobitnej časti dôvodovej správy dochádza k zmene transpozičného opatrenia v navrhovanom Čl. I bod 85 a 86, ktorými dochádza k zmene § 69.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21. Žiadame do tabuľky zhody doplniť a preukázať transpozíciu článku 59 ods. 1, 3 a 4 smernice 2014/59/EÚ v platnom znení, nakoľko podľa osobitnej časti dôvodovej správy dochádza k zmene transpozičného opatrenia v navrhovanom Čl. I bod 87 a 88, ktorými dochádza k zmene § 70 ods. 1 a 4. Tabuľku zhody žiadame predložiť tak, aby bolo možné posúdiť správnosť a </w:t>
            </w:r>
            <w:r>
              <w:rPr>
                <w:rFonts w:ascii="Times New Roman" w:eastAsia="Times New Roman" w:hAnsi="Times New Roman" w:cs="Times New Roman"/>
                <w:color w:val="000000"/>
                <w:sz w:val="24"/>
              </w:rPr>
              <w:lastRenderedPageBreak/>
              <w:t>úplnosť transpozície daného článku smernice 2014/59/EÚ v platnom znení.</w:t>
            </w:r>
          </w:p>
        </w:tc>
        <w:tc>
          <w:tcPr>
            <w:tcW w:w="778" w:type="dxa"/>
            <w:vAlign w:val="center"/>
          </w:tcPr>
          <w:p w:rsidR="001449BB" w:rsidRDefault="007431B4">
            <w:pPr>
              <w:spacing w:after="0"/>
              <w:jc w:val="center"/>
            </w:pPr>
            <w:r>
              <w:lastRenderedPageBreak/>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22. Žiadame do tabuľky zhody doplniť a preukázať transpozíciu článku 63 ods. 2 smernice 2014/59/EÚ v platnom znení, nakoľko podľa osobitnej časti dôvodovej správy dochádza k zmene transpozičného opatrenia v navrhovanom Čl. I bod 11, ktorým dochádza k zmene § 9 ods. 3. Tabuľku zhody žiadame predložiť tak, aby bolo možné posúdiť správnosť a úplnosť transpozície daného článku smernice 2014/59/EÚ v platnom znení.</w:t>
            </w:r>
          </w:p>
        </w:tc>
        <w:tc>
          <w:tcPr>
            <w:tcW w:w="778" w:type="dxa"/>
            <w:vAlign w:val="center"/>
          </w:tcPr>
          <w:p w:rsidR="001449BB" w:rsidRDefault="00E760D8">
            <w:pPr>
              <w:spacing w:after="0"/>
              <w:jc w:val="center"/>
            </w:pPr>
            <w:r>
              <w:t>N</w:t>
            </w:r>
          </w:p>
        </w:tc>
        <w:tc>
          <w:tcPr>
            <w:tcW w:w="2462" w:type="dxa"/>
          </w:tcPr>
          <w:p w:rsidR="001449BB" w:rsidRDefault="00E760D8">
            <w:pPr>
              <w:spacing w:after="0"/>
            </w:pPr>
            <w:r>
              <w:t>Čl. 63 ods. 2 už bol uvedený v tabuľke zhody k smernici 2014/59 a bola preukázaná transpozícia § 9 ods. 3.</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23. Žiadame do tabuľky zhody doplniť a preukázať transpozíciu článku 69 ods. 5 smernice 2014/59/EÚ v platnom znení, nakoľko podľa osobitnej časti dôvodovej správy dochádza k zmene transpozičného opatrenia v navrhovanom Čl. I bod 16 a 17, ktorými dochádza k zmene § 14 ods. 5 a § 15.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E760D8">
            <w:pPr>
              <w:spacing w:after="0"/>
            </w:pPr>
            <w:r>
              <w:t>Doplnené do tabuľky zhody k smernici 2014/59 (čl. 69 ods. 5 prvá veta  § 15 ods. 4).</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24. Žiadame do tabuľky zhody doplniť a preukázať transpozíciu článku 71a ods. 2 smernice 2014/59/EÚ v platnom znení, nakoľko podľa osobitnej časti dôvodovej správy dochádza k zmene transpozičného opatrenia v navrhovanom Čl. I bod 19 a 20, ktorými dochádza k zmene § 17b.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transpozícii a tabuľke zhody so smernicou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25. Žiadame do tabuľky zhody doplniť a preukázať transpozíciu článku 89 ods. 3 a 5 smernice 2014/59/EÚ v platnom znení, nakoľko podľa osobitnej časti dôvodovej správy dochádza k zmene transpozičného opatrenia v navrhovanom Čl. I bod 89 a 90, ktorými dochádza k zmene § 85 ods. 4 a doplneniu nového transpozičného opatrenia prostredníctvom § 85 ods. 6. Tabuľku zhody žiadame predložiť tak, aby bolo možné posúdiť správnosť a úplnosť transpozície daného článku smernice 2014/59/EÚ v platnom znení.</w:t>
            </w:r>
          </w:p>
        </w:tc>
        <w:tc>
          <w:tcPr>
            <w:tcW w:w="778" w:type="dxa"/>
            <w:vAlign w:val="center"/>
          </w:tcPr>
          <w:p w:rsidR="001449BB" w:rsidRDefault="007431B4">
            <w:pPr>
              <w:spacing w:after="0"/>
              <w:jc w:val="center"/>
            </w:pPr>
            <w:r>
              <w:t>A</w:t>
            </w:r>
          </w:p>
        </w:tc>
        <w:tc>
          <w:tcPr>
            <w:tcW w:w="2462" w:type="dxa"/>
          </w:tcPr>
          <w:p w:rsidR="001449BB" w:rsidRDefault="001449BB">
            <w:pPr>
              <w:spacing w:after="0"/>
            </w:pP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t>O</w:t>
            </w:r>
          </w:p>
        </w:tc>
        <w:tc>
          <w:tcPr>
            <w:tcW w:w="6480" w:type="dxa"/>
          </w:tcPr>
          <w:p w:rsidR="001449BB" w:rsidRDefault="004F0AC6">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3 písm. b) doložky zlučiteľnosti žiadame vypustiť smernicu (EÚ) 2017/2399,  nariadenie (EÚ)  č. 648/2012 v platnom znení, nariadenie (EÚ) č. 806/2014 v platnom znení a nariadenie  (EÚ) 2021/23 nakoľko uvádzané sekundárne právne akty EÚ sa na predkladaný návrh zákona nevzťahujú.</w:t>
            </w:r>
          </w:p>
        </w:tc>
        <w:tc>
          <w:tcPr>
            <w:tcW w:w="778" w:type="dxa"/>
            <w:vAlign w:val="center"/>
          </w:tcPr>
          <w:p w:rsidR="001449BB" w:rsidRDefault="00E760D8">
            <w:pPr>
              <w:spacing w:after="0"/>
              <w:jc w:val="center"/>
            </w:pPr>
            <w:r>
              <w:t>ČA</w:t>
            </w:r>
          </w:p>
        </w:tc>
        <w:tc>
          <w:tcPr>
            <w:tcW w:w="2462" w:type="dxa"/>
          </w:tcPr>
          <w:p w:rsidR="001449BB" w:rsidRDefault="00E760D8">
            <w:pPr>
              <w:spacing w:after="0"/>
            </w:pPr>
            <w:r>
              <w:t xml:space="preserve">Pripomienku akceptujeme, pokiaľ sa týka nariadení, avšak neakceptujeme ju v prípade smernice (EÚ) 2017/2399, pretože návrhom zákona (čl. I § 2 písm. am)) sa transponuje čl. 1 ods. 1 smernice (EÚ) 2017/2399, takže je potrebné túto smernicu v bode 3b) doložky zlučiteľnosti. </w:t>
            </w:r>
          </w:p>
        </w:tc>
      </w:tr>
      <w:tr w:rsidR="001449BB">
        <w:trPr>
          <w:trHeight w:val="648"/>
          <w:jc w:val="center"/>
        </w:trPr>
        <w:tc>
          <w:tcPr>
            <w:tcW w:w="1944" w:type="dxa"/>
          </w:tcPr>
          <w:p w:rsidR="001449BB" w:rsidRDefault="004F0AC6">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1449BB" w:rsidRDefault="004F0AC6">
            <w:pPr>
              <w:spacing w:after="0"/>
              <w:jc w:val="center"/>
            </w:pPr>
            <w:r>
              <w:rPr>
                <w:rFonts w:ascii="Times New Roman" w:eastAsia="Times New Roman" w:hAnsi="Times New Roman" w:cs="Times New Roman"/>
                <w:color w:val="000000"/>
                <w:sz w:val="24"/>
              </w:rPr>
              <w:lastRenderedPageBreak/>
              <w:t>O</w:t>
            </w:r>
          </w:p>
        </w:tc>
        <w:tc>
          <w:tcPr>
            <w:tcW w:w="6480" w:type="dxa"/>
          </w:tcPr>
          <w:p w:rsidR="001449BB" w:rsidRDefault="004F0AC6">
            <w:pPr>
              <w:spacing w:after="0"/>
            </w:pPr>
            <w:r>
              <w:rPr>
                <w:rFonts w:ascii="Times New Roman" w:eastAsia="Times New Roman" w:hAnsi="Times New Roman" w:cs="Times New Roman"/>
                <w:b/>
                <w:color w:val="000000"/>
                <w:sz w:val="24"/>
              </w:rPr>
              <w:t>K sprievodným dokumentom: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všetkých sprievodných dokumentoch žiadame upraviť citáciu uvádzaných smerníc a nariadení v zmysle platných legislatívnych pravidiel vlády SR a to pokiaľ ide o ich úplnú aj skrátenú citáciu.</w:t>
            </w:r>
          </w:p>
        </w:tc>
        <w:tc>
          <w:tcPr>
            <w:tcW w:w="778" w:type="dxa"/>
            <w:vAlign w:val="center"/>
          </w:tcPr>
          <w:p w:rsidR="001449BB" w:rsidRDefault="00172BC3">
            <w:pPr>
              <w:spacing w:after="0"/>
              <w:jc w:val="center"/>
            </w:pPr>
            <w:r>
              <w:t>A</w:t>
            </w:r>
            <w:bookmarkStart w:id="0" w:name="_GoBack"/>
            <w:bookmarkEnd w:id="0"/>
          </w:p>
        </w:tc>
        <w:tc>
          <w:tcPr>
            <w:tcW w:w="2462" w:type="dxa"/>
          </w:tcPr>
          <w:p w:rsidR="001449BB" w:rsidRDefault="001449BB">
            <w:pPr>
              <w:spacing w:after="0"/>
            </w:pP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4F0AC6" w:rsidTr="004F0AC6">
        <w:trPr>
          <w:trHeight w:val="648"/>
          <w:jc w:val="center"/>
        </w:trPr>
        <w:tc>
          <w:tcPr>
            <w:tcW w:w="12960" w:type="dxa"/>
            <w:gridSpan w:val="5"/>
            <w:vAlign w:val="center"/>
          </w:tcPr>
          <w:p w:rsidR="001449BB" w:rsidRDefault="004F0AC6">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w:t>
            </w:r>
          </w:p>
        </w:tc>
        <w:tc>
          <w:tcPr>
            <w:tcW w:w="0" w:type="auto"/>
          </w:tcPr>
          <w:p w:rsidR="001449BB" w:rsidRDefault="004F0AC6">
            <w:pPr>
              <w:spacing w:after="0"/>
            </w:pPr>
            <w:r>
              <w:rPr>
                <w:rFonts w:ascii="Times New Roman" w:eastAsia="Times New Roman" w:hAnsi="Times New Roman" w:cs="Times New Roman"/>
                <w:b/>
                <w:color w:val="000000"/>
                <w:sz w:val="24"/>
              </w:rPr>
              <w:t>AOCP</w:t>
            </w:r>
            <w:r>
              <w:rPr>
                <w:rFonts w:ascii="Times New Roman" w:eastAsia="Times New Roman" w:hAnsi="Times New Roman" w:cs="Times New Roman"/>
                <w:color w:val="000000"/>
                <w:sz w:val="24"/>
              </w:rPr>
              <w:t xml:space="preserve"> – Asociácia obchodníkov s cennými papiermi</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w:t>
            </w:r>
          </w:p>
        </w:tc>
        <w:tc>
          <w:tcPr>
            <w:tcW w:w="0" w:type="auto"/>
          </w:tcPr>
          <w:p w:rsidR="001449BB" w:rsidRDefault="004F0AC6">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w:t>
            </w:r>
          </w:p>
        </w:tc>
        <w:tc>
          <w:tcPr>
            <w:tcW w:w="0" w:type="auto"/>
          </w:tcPr>
          <w:p w:rsidR="001449BB" w:rsidRDefault="004F0AC6">
            <w:pPr>
              <w:spacing w:after="0"/>
            </w:pPr>
            <w:r>
              <w:rPr>
                <w:rFonts w:ascii="Times New Roman" w:eastAsia="Times New Roman" w:hAnsi="Times New Roman" w:cs="Times New Roman"/>
                <w:b/>
                <w:color w:val="000000"/>
                <w:sz w:val="24"/>
              </w:rPr>
              <w:t>ARDAL</w:t>
            </w:r>
            <w:r>
              <w:rPr>
                <w:rFonts w:ascii="Times New Roman" w:eastAsia="Times New Roman" w:hAnsi="Times New Roman" w:cs="Times New Roman"/>
                <w:color w:val="000000"/>
                <w:sz w:val="24"/>
              </w:rPr>
              <w:t xml:space="preserve"> – Agentúra pre riadenie dlhu a likvidity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w:t>
            </w:r>
          </w:p>
        </w:tc>
        <w:tc>
          <w:tcPr>
            <w:tcW w:w="0" w:type="auto"/>
          </w:tcPr>
          <w:p w:rsidR="001449BB" w:rsidRDefault="004F0AC6">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w:t>
            </w:r>
          </w:p>
        </w:tc>
        <w:tc>
          <w:tcPr>
            <w:tcW w:w="0" w:type="auto"/>
          </w:tcPr>
          <w:p w:rsidR="001449BB" w:rsidRDefault="004F0AC6">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w:t>
            </w:r>
          </w:p>
        </w:tc>
        <w:tc>
          <w:tcPr>
            <w:tcW w:w="0" w:type="auto"/>
          </w:tcPr>
          <w:p w:rsidR="001449BB" w:rsidRDefault="004F0AC6">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7.</w:t>
            </w:r>
          </w:p>
        </w:tc>
        <w:tc>
          <w:tcPr>
            <w:tcW w:w="0" w:type="auto"/>
          </w:tcPr>
          <w:p w:rsidR="001449BB" w:rsidRDefault="004F0AC6">
            <w:pPr>
              <w:spacing w:after="0"/>
            </w:pPr>
            <w:r>
              <w:rPr>
                <w:rFonts w:ascii="Times New Roman" w:eastAsia="Times New Roman" w:hAnsi="Times New Roman" w:cs="Times New Roman"/>
                <w:b/>
                <w:color w:val="000000"/>
                <w:sz w:val="24"/>
              </w:rPr>
              <w:t>CDCP</w:t>
            </w:r>
            <w:r>
              <w:rPr>
                <w:rFonts w:ascii="Times New Roman" w:eastAsia="Times New Roman" w:hAnsi="Times New Roman" w:cs="Times New Roman"/>
                <w:color w:val="000000"/>
                <w:sz w:val="24"/>
              </w:rPr>
              <w:t xml:space="preserve"> – Centrálny depozitár cenných papierov SR, a.s.</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lastRenderedPageBreak/>
              <w:t>8.</w:t>
            </w:r>
          </w:p>
        </w:tc>
        <w:tc>
          <w:tcPr>
            <w:tcW w:w="0" w:type="auto"/>
          </w:tcPr>
          <w:p w:rsidR="001449BB" w:rsidRDefault="004F0AC6">
            <w:pPr>
              <w:spacing w:after="0"/>
            </w:pPr>
            <w:r>
              <w:rPr>
                <w:rFonts w:ascii="Times New Roman" w:eastAsia="Times New Roman" w:hAnsi="Times New Roman" w:cs="Times New Roman"/>
                <w:b/>
                <w:color w:val="000000"/>
                <w:sz w:val="24"/>
              </w:rPr>
              <w:t>EXIMBANKA SR</w:t>
            </w:r>
            <w:r>
              <w:rPr>
                <w:rFonts w:ascii="Times New Roman" w:eastAsia="Times New Roman" w:hAnsi="Times New Roman" w:cs="Times New Roman"/>
                <w:color w:val="000000"/>
                <w:sz w:val="24"/>
              </w:rPr>
              <w:t xml:space="preserve"> – Exportno-importná banka Slovenskej repuliky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9.</w:t>
            </w:r>
          </w:p>
        </w:tc>
        <w:tc>
          <w:tcPr>
            <w:tcW w:w="0" w:type="auto"/>
          </w:tcPr>
          <w:p w:rsidR="001449BB" w:rsidRDefault="004F0AC6">
            <w:pPr>
              <w:spacing w:after="0"/>
            </w:pPr>
            <w:r>
              <w:rPr>
                <w:rFonts w:ascii="Times New Roman" w:eastAsia="Times New Roman" w:hAnsi="Times New Roman" w:cs="Times New Roman"/>
                <w:b/>
                <w:color w:val="000000"/>
                <w:sz w:val="24"/>
              </w:rPr>
              <w:t>FOV</w:t>
            </w:r>
            <w:r>
              <w:rPr>
                <w:rFonts w:ascii="Times New Roman" w:eastAsia="Times New Roman" w:hAnsi="Times New Roman" w:cs="Times New Roman"/>
                <w:color w:val="000000"/>
                <w:sz w:val="24"/>
              </w:rPr>
              <w:t xml:space="preserve"> – Fond ochrany vkladov</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10.</w:t>
            </w:r>
          </w:p>
        </w:tc>
        <w:tc>
          <w:tcPr>
            <w:tcW w:w="0" w:type="auto"/>
          </w:tcPr>
          <w:p w:rsidR="001449BB" w:rsidRDefault="004F0AC6">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11.</w:t>
            </w:r>
          </w:p>
        </w:tc>
        <w:tc>
          <w:tcPr>
            <w:tcW w:w="0" w:type="auto"/>
          </w:tcPr>
          <w:p w:rsidR="001449BB" w:rsidRDefault="004F0AC6">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12.</w:t>
            </w:r>
          </w:p>
        </w:tc>
        <w:tc>
          <w:tcPr>
            <w:tcW w:w="0" w:type="auto"/>
          </w:tcPr>
          <w:p w:rsidR="001449BB" w:rsidRDefault="004F0AC6">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13.</w:t>
            </w:r>
          </w:p>
        </w:tc>
        <w:tc>
          <w:tcPr>
            <w:tcW w:w="0" w:type="auto"/>
          </w:tcPr>
          <w:p w:rsidR="001449BB" w:rsidRDefault="004F0AC6">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14.</w:t>
            </w:r>
          </w:p>
        </w:tc>
        <w:tc>
          <w:tcPr>
            <w:tcW w:w="0" w:type="auto"/>
          </w:tcPr>
          <w:p w:rsidR="001449BB" w:rsidRDefault="004F0AC6">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15.</w:t>
            </w:r>
          </w:p>
        </w:tc>
        <w:tc>
          <w:tcPr>
            <w:tcW w:w="0" w:type="auto"/>
          </w:tcPr>
          <w:p w:rsidR="001449BB" w:rsidRDefault="004F0AC6">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12 (12o,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16.</w:t>
            </w:r>
          </w:p>
        </w:tc>
        <w:tc>
          <w:tcPr>
            <w:tcW w:w="0" w:type="auto"/>
          </w:tcPr>
          <w:p w:rsidR="001449BB" w:rsidRDefault="004F0AC6">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17.</w:t>
            </w:r>
          </w:p>
        </w:tc>
        <w:tc>
          <w:tcPr>
            <w:tcW w:w="0" w:type="auto"/>
          </w:tcPr>
          <w:p w:rsidR="001449BB" w:rsidRDefault="004F0AC6">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18.</w:t>
            </w:r>
          </w:p>
        </w:tc>
        <w:tc>
          <w:tcPr>
            <w:tcW w:w="0" w:type="auto"/>
          </w:tcPr>
          <w:p w:rsidR="001449BB" w:rsidRDefault="004F0AC6">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3 (3o,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19.</w:t>
            </w:r>
          </w:p>
        </w:tc>
        <w:tc>
          <w:tcPr>
            <w:tcW w:w="0" w:type="auto"/>
          </w:tcPr>
          <w:p w:rsidR="001449BB" w:rsidRDefault="004F0AC6">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20.</w:t>
            </w:r>
          </w:p>
        </w:tc>
        <w:tc>
          <w:tcPr>
            <w:tcW w:w="0" w:type="auto"/>
          </w:tcPr>
          <w:p w:rsidR="001449BB" w:rsidRDefault="004F0AC6">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21.</w:t>
            </w:r>
          </w:p>
        </w:tc>
        <w:tc>
          <w:tcPr>
            <w:tcW w:w="0" w:type="auto"/>
          </w:tcPr>
          <w:p w:rsidR="001449BB" w:rsidRDefault="004F0AC6">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lastRenderedPageBreak/>
              <w:t>22.</w:t>
            </w:r>
          </w:p>
        </w:tc>
        <w:tc>
          <w:tcPr>
            <w:tcW w:w="0" w:type="auto"/>
          </w:tcPr>
          <w:p w:rsidR="001449BB" w:rsidRDefault="004F0AC6">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23.</w:t>
            </w:r>
          </w:p>
        </w:tc>
        <w:tc>
          <w:tcPr>
            <w:tcW w:w="0" w:type="auto"/>
          </w:tcPr>
          <w:p w:rsidR="001449BB" w:rsidRDefault="004F0AC6">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24.</w:t>
            </w:r>
          </w:p>
        </w:tc>
        <w:tc>
          <w:tcPr>
            <w:tcW w:w="0" w:type="auto"/>
          </w:tcPr>
          <w:p w:rsidR="001449BB" w:rsidRDefault="004F0AC6">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6 (6o,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25.</w:t>
            </w:r>
          </w:p>
        </w:tc>
        <w:tc>
          <w:tcPr>
            <w:tcW w:w="0" w:type="auto"/>
          </w:tcPr>
          <w:p w:rsidR="001449BB" w:rsidRDefault="004F0AC6">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26.</w:t>
            </w:r>
          </w:p>
        </w:tc>
        <w:tc>
          <w:tcPr>
            <w:tcW w:w="0" w:type="auto"/>
          </w:tcPr>
          <w:p w:rsidR="001449BB" w:rsidRDefault="004F0AC6">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1 (1o,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27.</w:t>
            </w:r>
          </w:p>
        </w:tc>
        <w:tc>
          <w:tcPr>
            <w:tcW w:w="0" w:type="auto"/>
          </w:tcPr>
          <w:p w:rsidR="001449BB" w:rsidRDefault="004F0AC6">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28.</w:t>
            </w:r>
          </w:p>
        </w:tc>
        <w:tc>
          <w:tcPr>
            <w:tcW w:w="0" w:type="auto"/>
          </w:tcPr>
          <w:p w:rsidR="001449BB" w:rsidRDefault="004F0AC6">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29.</w:t>
            </w:r>
          </w:p>
        </w:tc>
        <w:tc>
          <w:tcPr>
            <w:tcW w:w="0" w:type="auto"/>
          </w:tcPr>
          <w:p w:rsidR="001449BB" w:rsidRDefault="004F0AC6">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30.</w:t>
            </w:r>
          </w:p>
        </w:tc>
        <w:tc>
          <w:tcPr>
            <w:tcW w:w="0" w:type="auto"/>
          </w:tcPr>
          <w:p w:rsidR="001449BB" w:rsidRDefault="004F0AC6">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4 (4o,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31.</w:t>
            </w:r>
          </w:p>
        </w:tc>
        <w:tc>
          <w:tcPr>
            <w:tcW w:w="0" w:type="auto"/>
          </w:tcPr>
          <w:p w:rsidR="001449BB" w:rsidRDefault="004F0AC6">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32.</w:t>
            </w:r>
          </w:p>
        </w:tc>
        <w:tc>
          <w:tcPr>
            <w:tcW w:w="0" w:type="auto"/>
          </w:tcPr>
          <w:p w:rsidR="001449BB" w:rsidRDefault="004F0AC6">
            <w:pPr>
              <w:spacing w:after="0"/>
            </w:pPr>
            <w:r>
              <w:rPr>
                <w:rFonts w:ascii="Times New Roman" w:eastAsia="Times New Roman" w:hAnsi="Times New Roman" w:cs="Times New Roman"/>
                <w:b/>
                <w:color w:val="000000"/>
                <w:sz w:val="24"/>
              </w:rPr>
              <w:t>NCDCP, a. s.</w:t>
            </w:r>
            <w:r>
              <w:rPr>
                <w:rFonts w:ascii="Times New Roman" w:eastAsia="Times New Roman" w:hAnsi="Times New Roman" w:cs="Times New Roman"/>
                <w:color w:val="000000"/>
                <w:sz w:val="24"/>
              </w:rPr>
              <w:t xml:space="preserve"> – Národný centrálny depozitár cenných papierov, a. s.</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33.</w:t>
            </w:r>
          </w:p>
        </w:tc>
        <w:tc>
          <w:tcPr>
            <w:tcW w:w="0" w:type="auto"/>
          </w:tcPr>
          <w:p w:rsidR="001449BB" w:rsidRDefault="004F0AC6">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34.</w:t>
            </w:r>
          </w:p>
        </w:tc>
        <w:tc>
          <w:tcPr>
            <w:tcW w:w="0" w:type="auto"/>
          </w:tcPr>
          <w:p w:rsidR="001449BB" w:rsidRDefault="004F0AC6">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35.</w:t>
            </w:r>
          </w:p>
        </w:tc>
        <w:tc>
          <w:tcPr>
            <w:tcW w:w="0" w:type="auto"/>
          </w:tcPr>
          <w:p w:rsidR="001449BB" w:rsidRDefault="004F0AC6">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lastRenderedPageBreak/>
              <w:t>36.</w:t>
            </w:r>
          </w:p>
        </w:tc>
        <w:tc>
          <w:tcPr>
            <w:tcW w:w="0" w:type="auto"/>
          </w:tcPr>
          <w:p w:rsidR="001449BB" w:rsidRDefault="004F0AC6">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1449BB" w:rsidRDefault="004F0AC6">
            <w:pPr>
              <w:spacing w:after="0"/>
              <w:jc w:val="center"/>
            </w:pPr>
            <w:r>
              <w:rPr>
                <w:rFonts w:ascii="Times New Roman" w:eastAsia="Times New Roman" w:hAnsi="Times New Roman" w:cs="Times New Roman"/>
                <w:color w:val="000000"/>
                <w:sz w:val="24"/>
              </w:rPr>
              <w:t>34 (34o,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37.</w:t>
            </w:r>
          </w:p>
        </w:tc>
        <w:tc>
          <w:tcPr>
            <w:tcW w:w="0" w:type="auto"/>
          </w:tcPr>
          <w:p w:rsidR="001449BB" w:rsidRDefault="004F0AC6">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38.</w:t>
            </w:r>
          </w:p>
        </w:tc>
        <w:tc>
          <w:tcPr>
            <w:tcW w:w="0" w:type="auto"/>
          </w:tcPr>
          <w:p w:rsidR="001449BB" w:rsidRDefault="004F0AC6">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39.</w:t>
            </w:r>
          </w:p>
        </w:tc>
        <w:tc>
          <w:tcPr>
            <w:tcW w:w="0" w:type="auto"/>
          </w:tcPr>
          <w:p w:rsidR="001449BB" w:rsidRDefault="004F0AC6">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40.</w:t>
            </w:r>
          </w:p>
        </w:tc>
        <w:tc>
          <w:tcPr>
            <w:tcW w:w="0" w:type="auto"/>
          </w:tcPr>
          <w:p w:rsidR="001449BB" w:rsidRDefault="004F0AC6">
            <w:pPr>
              <w:spacing w:after="0"/>
            </w:pPr>
            <w:r>
              <w:rPr>
                <w:rFonts w:ascii="Times New Roman" w:eastAsia="Times New Roman" w:hAnsi="Times New Roman" w:cs="Times New Roman"/>
                <w:b/>
                <w:color w:val="000000"/>
                <w:sz w:val="24"/>
              </w:rPr>
              <w:t>SBA</w:t>
            </w:r>
            <w:r>
              <w:rPr>
                <w:rFonts w:ascii="Times New Roman" w:eastAsia="Times New Roman" w:hAnsi="Times New Roman" w:cs="Times New Roman"/>
                <w:color w:val="000000"/>
                <w:sz w:val="24"/>
              </w:rPr>
              <w:t xml:space="preserve"> – Slovenská banková asociácia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41.</w:t>
            </w:r>
          </w:p>
        </w:tc>
        <w:tc>
          <w:tcPr>
            <w:tcW w:w="0" w:type="auto"/>
          </w:tcPr>
          <w:p w:rsidR="001449BB" w:rsidRDefault="004F0AC6">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42.</w:t>
            </w:r>
          </w:p>
        </w:tc>
        <w:tc>
          <w:tcPr>
            <w:tcW w:w="0" w:type="auto"/>
          </w:tcPr>
          <w:p w:rsidR="001449BB" w:rsidRDefault="004F0AC6">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43.</w:t>
            </w:r>
          </w:p>
        </w:tc>
        <w:tc>
          <w:tcPr>
            <w:tcW w:w="0" w:type="auto"/>
          </w:tcPr>
          <w:p w:rsidR="001449BB" w:rsidRDefault="004F0AC6">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44.</w:t>
            </w:r>
          </w:p>
        </w:tc>
        <w:tc>
          <w:tcPr>
            <w:tcW w:w="0" w:type="auto"/>
          </w:tcPr>
          <w:p w:rsidR="001449BB" w:rsidRDefault="004F0AC6">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45.</w:t>
            </w:r>
          </w:p>
        </w:tc>
        <w:tc>
          <w:tcPr>
            <w:tcW w:w="0" w:type="auto"/>
          </w:tcPr>
          <w:p w:rsidR="001449BB" w:rsidRDefault="004F0AC6">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46.</w:t>
            </w:r>
          </w:p>
        </w:tc>
        <w:tc>
          <w:tcPr>
            <w:tcW w:w="0" w:type="auto"/>
          </w:tcPr>
          <w:p w:rsidR="001449BB" w:rsidRDefault="004F0AC6">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47.</w:t>
            </w:r>
          </w:p>
        </w:tc>
        <w:tc>
          <w:tcPr>
            <w:tcW w:w="0" w:type="auto"/>
          </w:tcPr>
          <w:p w:rsidR="001449BB" w:rsidRDefault="004F0AC6">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48.</w:t>
            </w:r>
          </w:p>
        </w:tc>
        <w:tc>
          <w:tcPr>
            <w:tcW w:w="0" w:type="auto"/>
          </w:tcPr>
          <w:p w:rsidR="001449BB" w:rsidRDefault="004F0AC6">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49.</w:t>
            </w:r>
          </w:p>
        </w:tc>
        <w:tc>
          <w:tcPr>
            <w:tcW w:w="0" w:type="auto"/>
          </w:tcPr>
          <w:p w:rsidR="001449BB" w:rsidRDefault="004F0AC6">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lastRenderedPageBreak/>
              <w:t>50.</w:t>
            </w:r>
          </w:p>
        </w:tc>
        <w:tc>
          <w:tcPr>
            <w:tcW w:w="0" w:type="auto"/>
          </w:tcPr>
          <w:p w:rsidR="001449BB" w:rsidRDefault="004F0AC6">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51.</w:t>
            </w:r>
          </w:p>
        </w:tc>
        <w:tc>
          <w:tcPr>
            <w:tcW w:w="0" w:type="auto"/>
          </w:tcPr>
          <w:p w:rsidR="001449BB" w:rsidRDefault="004F0AC6">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52.</w:t>
            </w:r>
          </w:p>
        </w:tc>
        <w:tc>
          <w:tcPr>
            <w:tcW w:w="0" w:type="auto"/>
          </w:tcPr>
          <w:p w:rsidR="001449BB" w:rsidRDefault="004F0AC6">
            <w:pPr>
              <w:spacing w:after="0"/>
            </w:pPr>
            <w:r>
              <w:rPr>
                <w:rFonts w:ascii="Times New Roman" w:eastAsia="Times New Roman" w:hAnsi="Times New Roman" w:cs="Times New Roman"/>
                <w:b/>
                <w:color w:val="000000"/>
                <w:sz w:val="24"/>
              </w:rPr>
              <w:t>ZPSR</w:t>
            </w:r>
            <w:r>
              <w:rPr>
                <w:rFonts w:ascii="Times New Roman" w:eastAsia="Times New Roman" w:hAnsi="Times New Roman" w:cs="Times New Roman"/>
                <w:color w:val="000000"/>
                <w:sz w:val="24"/>
              </w:rPr>
              <w:t xml:space="preserve"> – Združenie podnikateľov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53.</w:t>
            </w:r>
          </w:p>
        </w:tc>
        <w:tc>
          <w:tcPr>
            <w:tcW w:w="0" w:type="auto"/>
          </w:tcPr>
          <w:p w:rsidR="001449BB" w:rsidRDefault="004F0AC6">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54.</w:t>
            </w:r>
          </w:p>
        </w:tc>
        <w:tc>
          <w:tcPr>
            <w:tcW w:w="0" w:type="auto"/>
          </w:tcPr>
          <w:p w:rsidR="001449BB" w:rsidRDefault="004F0AC6">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55.</w:t>
            </w:r>
          </w:p>
        </w:tc>
        <w:tc>
          <w:tcPr>
            <w:tcW w:w="0" w:type="auto"/>
          </w:tcPr>
          <w:p w:rsidR="001449BB" w:rsidRDefault="004F0AC6">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56.</w:t>
            </w:r>
          </w:p>
        </w:tc>
        <w:tc>
          <w:tcPr>
            <w:tcW w:w="0" w:type="auto"/>
          </w:tcPr>
          <w:p w:rsidR="001449BB" w:rsidRDefault="004F0AC6">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57.</w:t>
            </w:r>
          </w:p>
        </w:tc>
        <w:tc>
          <w:tcPr>
            <w:tcW w:w="0" w:type="auto"/>
          </w:tcPr>
          <w:p w:rsidR="001449BB" w:rsidRDefault="004F0AC6">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58.</w:t>
            </w:r>
          </w:p>
        </w:tc>
        <w:tc>
          <w:tcPr>
            <w:tcW w:w="0" w:type="auto"/>
          </w:tcPr>
          <w:p w:rsidR="001449BB" w:rsidRDefault="004F0AC6">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59.</w:t>
            </w:r>
          </w:p>
        </w:tc>
        <w:tc>
          <w:tcPr>
            <w:tcW w:w="0" w:type="auto"/>
          </w:tcPr>
          <w:p w:rsidR="001449BB" w:rsidRDefault="004F0AC6">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60.</w:t>
            </w:r>
          </w:p>
        </w:tc>
        <w:tc>
          <w:tcPr>
            <w:tcW w:w="0" w:type="auto"/>
          </w:tcPr>
          <w:p w:rsidR="001449BB" w:rsidRDefault="004F0AC6">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61.</w:t>
            </w:r>
          </w:p>
        </w:tc>
        <w:tc>
          <w:tcPr>
            <w:tcW w:w="0" w:type="auto"/>
          </w:tcPr>
          <w:p w:rsidR="001449BB" w:rsidRDefault="004F0AC6">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62.</w:t>
            </w:r>
          </w:p>
        </w:tc>
        <w:tc>
          <w:tcPr>
            <w:tcW w:w="0" w:type="auto"/>
          </w:tcPr>
          <w:p w:rsidR="001449BB" w:rsidRDefault="004F0AC6">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63.</w:t>
            </w:r>
          </w:p>
        </w:tc>
        <w:tc>
          <w:tcPr>
            <w:tcW w:w="0" w:type="auto"/>
          </w:tcPr>
          <w:p w:rsidR="001449BB" w:rsidRDefault="004F0AC6">
            <w:pPr>
              <w:spacing w:after="0"/>
            </w:pPr>
            <w:r>
              <w:rPr>
                <w:rFonts w:ascii="Times New Roman" w:eastAsia="Times New Roman" w:hAnsi="Times New Roman" w:cs="Times New Roman"/>
                <w:b/>
                <w:color w:val="000000"/>
                <w:sz w:val="24"/>
              </w:rPr>
              <w:t>ŠP</w:t>
            </w:r>
            <w:r>
              <w:rPr>
                <w:rFonts w:ascii="Times New Roman" w:eastAsia="Times New Roman" w:hAnsi="Times New Roman" w:cs="Times New Roman"/>
                <w:color w:val="000000"/>
                <w:sz w:val="24"/>
              </w:rPr>
              <w:t xml:space="preserve"> – Štátna pokladnica</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lastRenderedPageBreak/>
              <w:t>64.</w:t>
            </w:r>
          </w:p>
        </w:tc>
        <w:tc>
          <w:tcPr>
            <w:tcW w:w="0" w:type="auto"/>
          </w:tcPr>
          <w:p w:rsidR="001449BB" w:rsidRDefault="004F0AC6">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c>
          <w:tcPr>
            <w:tcW w:w="0" w:type="auto"/>
          </w:tcPr>
          <w:p w:rsidR="001449BB" w:rsidRDefault="001449BB">
            <w:pPr>
              <w:spacing w:after="0"/>
              <w:jc w:val="center"/>
            </w:pPr>
          </w:p>
        </w:tc>
      </w:tr>
      <w:tr w:rsidR="001449BB">
        <w:trPr>
          <w:trHeight w:val="648"/>
          <w:jc w:val="center"/>
        </w:trPr>
        <w:tc>
          <w:tcPr>
            <w:tcW w:w="0" w:type="auto"/>
          </w:tcPr>
          <w:p w:rsidR="001449BB" w:rsidRDefault="004F0AC6">
            <w:pPr>
              <w:spacing w:after="0"/>
              <w:jc w:val="center"/>
            </w:pPr>
            <w:r>
              <w:rPr>
                <w:rFonts w:ascii="Times New Roman" w:eastAsia="Times New Roman" w:hAnsi="Times New Roman" w:cs="Times New Roman"/>
                <w:color w:val="000000"/>
                <w:sz w:val="24"/>
              </w:rPr>
              <w:t>65.</w:t>
            </w:r>
          </w:p>
        </w:tc>
        <w:tc>
          <w:tcPr>
            <w:tcW w:w="0" w:type="auto"/>
          </w:tcPr>
          <w:p w:rsidR="001449BB" w:rsidRDefault="004F0AC6">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4F0AC6">
            <w:pPr>
              <w:spacing w:after="0"/>
              <w:jc w:val="center"/>
            </w:pPr>
            <w:r>
              <w:rPr>
                <w:rFonts w:ascii="Times New Roman" w:eastAsia="Times New Roman" w:hAnsi="Times New Roman" w:cs="Times New Roman"/>
                <w:color w:val="000000"/>
                <w:sz w:val="24"/>
              </w:rPr>
              <w:t>0 (0o, 0z)</w:t>
            </w:r>
          </w:p>
        </w:tc>
        <w:tc>
          <w:tcPr>
            <w:tcW w:w="0" w:type="auto"/>
          </w:tcPr>
          <w:p w:rsidR="001449BB" w:rsidRDefault="001449BB">
            <w:pPr>
              <w:spacing w:after="0"/>
              <w:jc w:val="center"/>
            </w:pPr>
          </w:p>
        </w:tc>
        <w:tc>
          <w:tcPr>
            <w:tcW w:w="0" w:type="auto"/>
          </w:tcPr>
          <w:p w:rsidR="001449BB" w:rsidRDefault="004F0AC6">
            <w:pPr>
              <w:spacing w:after="0"/>
              <w:jc w:val="center"/>
            </w:pPr>
            <w:r>
              <w:rPr>
                <w:rFonts w:ascii="Times New Roman" w:eastAsia="Times New Roman" w:hAnsi="Times New Roman" w:cs="Times New Roman"/>
                <w:color w:val="000000"/>
                <w:sz w:val="24"/>
              </w:rPr>
              <w:t>X</w:t>
            </w:r>
          </w:p>
        </w:tc>
      </w:tr>
      <w:tr w:rsidR="001449BB">
        <w:trPr>
          <w:trHeight w:val="648"/>
          <w:jc w:val="center"/>
        </w:trPr>
        <w:tc>
          <w:tcPr>
            <w:tcW w:w="0" w:type="auto"/>
          </w:tcPr>
          <w:p w:rsidR="001449BB" w:rsidRDefault="001449BB">
            <w:pPr>
              <w:spacing w:after="0"/>
              <w:jc w:val="center"/>
            </w:pPr>
          </w:p>
        </w:tc>
        <w:tc>
          <w:tcPr>
            <w:tcW w:w="0" w:type="auto"/>
            <w:vAlign w:val="center"/>
          </w:tcPr>
          <w:p w:rsidR="001449BB" w:rsidRDefault="004F0AC6">
            <w:pPr>
              <w:spacing w:after="0"/>
            </w:pPr>
            <w:r>
              <w:rPr>
                <w:rFonts w:ascii="Times New Roman" w:eastAsia="Times New Roman" w:hAnsi="Times New Roman" w:cs="Times New Roman"/>
                <w:b/>
                <w:color w:val="000000"/>
                <w:sz w:val="24"/>
              </w:rPr>
              <w:t>Spolu</w:t>
            </w:r>
          </w:p>
        </w:tc>
        <w:tc>
          <w:tcPr>
            <w:tcW w:w="0" w:type="auto"/>
            <w:vAlign w:val="center"/>
          </w:tcPr>
          <w:p w:rsidR="001449BB" w:rsidRDefault="004F0AC6">
            <w:pPr>
              <w:spacing w:after="0"/>
              <w:jc w:val="center"/>
            </w:pPr>
            <w:r>
              <w:rPr>
                <w:rFonts w:ascii="Times New Roman" w:eastAsia="Times New Roman" w:hAnsi="Times New Roman" w:cs="Times New Roman"/>
                <w:b/>
                <w:color w:val="000000"/>
                <w:sz w:val="24"/>
              </w:rPr>
              <w:t>60 (60o, 0z)</w:t>
            </w:r>
          </w:p>
        </w:tc>
        <w:tc>
          <w:tcPr>
            <w:tcW w:w="0" w:type="auto"/>
            <w:vAlign w:val="center"/>
          </w:tcPr>
          <w:p w:rsidR="001449BB" w:rsidRDefault="004F0AC6">
            <w:pPr>
              <w:spacing w:after="0"/>
              <w:jc w:val="center"/>
            </w:pPr>
            <w:r>
              <w:rPr>
                <w:rFonts w:ascii="Times New Roman" w:eastAsia="Times New Roman" w:hAnsi="Times New Roman" w:cs="Times New Roman"/>
                <w:b/>
                <w:color w:val="000000"/>
                <w:sz w:val="24"/>
              </w:rPr>
              <w:t>0 (0o, 0z)</w:t>
            </w:r>
          </w:p>
        </w:tc>
        <w:tc>
          <w:tcPr>
            <w:tcW w:w="0" w:type="auto"/>
            <w:vAlign w:val="center"/>
          </w:tcPr>
          <w:p w:rsidR="001449BB" w:rsidRDefault="004F0AC6">
            <w:pPr>
              <w:spacing w:after="0"/>
              <w:jc w:val="center"/>
            </w:pPr>
            <w:r>
              <w:rPr>
                <w:rFonts w:ascii="Times New Roman" w:eastAsia="Times New Roman" w:hAnsi="Times New Roman" w:cs="Times New Roman"/>
                <w:b/>
                <w:color w:val="000000"/>
                <w:sz w:val="24"/>
              </w:rPr>
              <w:t>18</w:t>
            </w:r>
          </w:p>
        </w:tc>
        <w:tc>
          <w:tcPr>
            <w:tcW w:w="0" w:type="auto"/>
            <w:vAlign w:val="center"/>
          </w:tcPr>
          <w:p w:rsidR="001449BB" w:rsidRDefault="004F0AC6">
            <w:pPr>
              <w:spacing w:after="0"/>
              <w:jc w:val="center"/>
            </w:pPr>
            <w:r>
              <w:rPr>
                <w:rFonts w:ascii="Times New Roman" w:eastAsia="Times New Roman" w:hAnsi="Times New Roman" w:cs="Times New Roman"/>
                <w:b/>
                <w:color w:val="000000"/>
                <w:sz w:val="24"/>
              </w:rPr>
              <w:t>41</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E3" w:rsidRPr="00785E8D" w:rsidRDefault="00C462E3" w:rsidP="00E66622">
      <w:pPr>
        <w:spacing w:after="0" w:line="240" w:lineRule="auto"/>
      </w:pPr>
      <w:r w:rsidRPr="00785E8D">
        <w:separator/>
      </w:r>
    </w:p>
  </w:endnote>
  <w:endnote w:type="continuationSeparator" w:id="0">
    <w:p w:rsidR="00C462E3" w:rsidRPr="00785E8D" w:rsidRDefault="00C462E3"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571F06" w:rsidRPr="00362D69" w:rsidRDefault="00571F06">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172BC3">
          <w:rPr>
            <w:rFonts w:ascii="Times New Roman" w:hAnsi="Times New Roman"/>
          </w:rPr>
          <w:t>27</w:t>
        </w:r>
        <w:r w:rsidRPr="00362D69">
          <w:rPr>
            <w:rFonts w:ascii="Times New Roman" w:hAnsi="Times New Roman"/>
          </w:rPr>
          <w:fldChar w:fldCharType="end"/>
        </w:r>
      </w:p>
    </w:sdtContent>
  </w:sdt>
  <w:p w:rsidR="00571F06" w:rsidRDefault="00571F0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571F06" w:rsidRPr="003E3F51" w:rsidRDefault="00571F06">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571F06" w:rsidRDefault="00571F06"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E3" w:rsidRPr="00785E8D" w:rsidRDefault="00C462E3" w:rsidP="00E66622">
      <w:pPr>
        <w:spacing w:after="0" w:line="240" w:lineRule="auto"/>
      </w:pPr>
      <w:r w:rsidRPr="00785E8D">
        <w:separator/>
      </w:r>
    </w:p>
  </w:footnote>
  <w:footnote w:type="continuationSeparator" w:id="0">
    <w:p w:rsidR="00C462E3" w:rsidRPr="00785E8D" w:rsidRDefault="00C462E3"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6" w:rsidRDefault="00571F0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49BB"/>
    <w:rsid w:val="00146A7D"/>
    <w:rsid w:val="001542ED"/>
    <w:rsid w:val="00172BC3"/>
    <w:rsid w:val="00176679"/>
    <w:rsid w:val="0019276A"/>
    <w:rsid w:val="001B1BE3"/>
    <w:rsid w:val="001C6D7C"/>
    <w:rsid w:val="001D2B4E"/>
    <w:rsid w:val="001E50FA"/>
    <w:rsid w:val="001E6254"/>
    <w:rsid w:val="001F2C94"/>
    <w:rsid w:val="001F5D28"/>
    <w:rsid w:val="001F777F"/>
    <w:rsid w:val="00215E64"/>
    <w:rsid w:val="00223FC0"/>
    <w:rsid w:val="00231554"/>
    <w:rsid w:val="00237490"/>
    <w:rsid w:val="00245F36"/>
    <w:rsid w:val="0026614F"/>
    <w:rsid w:val="002715E0"/>
    <w:rsid w:val="00273DAE"/>
    <w:rsid w:val="0029170C"/>
    <w:rsid w:val="00295E6A"/>
    <w:rsid w:val="002A0A58"/>
    <w:rsid w:val="002A4482"/>
    <w:rsid w:val="002D3B5E"/>
    <w:rsid w:val="002D4DDA"/>
    <w:rsid w:val="002E17D6"/>
    <w:rsid w:val="002F4660"/>
    <w:rsid w:val="002F717D"/>
    <w:rsid w:val="003034A4"/>
    <w:rsid w:val="00303CA7"/>
    <w:rsid w:val="00335FFB"/>
    <w:rsid w:val="00343965"/>
    <w:rsid w:val="00362D69"/>
    <w:rsid w:val="003640A5"/>
    <w:rsid w:val="003974B9"/>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D7977"/>
    <w:rsid w:val="004E0BF7"/>
    <w:rsid w:val="004F0AC6"/>
    <w:rsid w:val="004F10FF"/>
    <w:rsid w:val="004F4092"/>
    <w:rsid w:val="00500EBD"/>
    <w:rsid w:val="00506E0B"/>
    <w:rsid w:val="00511A3C"/>
    <w:rsid w:val="00513767"/>
    <w:rsid w:val="005146CA"/>
    <w:rsid w:val="005259A1"/>
    <w:rsid w:val="0053699B"/>
    <w:rsid w:val="00550D13"/>
    <w:rsid w:val="00571F06"/>
    <w:rsid w:val="00583F11"/>
    <w:rsid w:val="0059287B"/>
    <w:rsid w:val="005A62E6"/>
    <w:rsid w:val="005B618C"/>
    <w:rsid w:val="005C0A7E"/>
    <w:rsid w:val="005C4CF5"/>
    <w:rsid w:val="005E6A45"/>
    <w:rsid w:val="005F3B1C"/>
    <w:rsid w:val="005F3E6F"/>
    <w:rsid w:val="005F5908"/>
    <w:rsid w:val="00602231"/>
    <w:rsid w:val="006031E3"/>
    <w:rsid w:val="00634468"/>
    <w:rsid w:val="006371D1"/>
    <w:rsid w:val="006377F5"/>
    <w:rsid w:val="00641DD8"/>
    <w:rsid w:val="006434AC"/>
    <w:rsid w:val="00664F3B"/>
    <w:rsid w:val="00677591"/>
    <w:rsid w:val="00695857"/>
    <w:rsid w:val="006A6ADD"/>
    <w:rsid w:val="006C2D6E"/>
    <w:rsid w:val="006D051F"/>
    <w:rsid w:val="0070694E"/>
    <w:rsid w:val="00707B3A"/>
    <w:rsid w:val="0072062B"/>
    <w:rsid w:val="00724A0E"/>
    <w:rsid w:val="00726A34"/>
    <w:rsid w:val="00727704"/>
    <w:rsid w:val="007431B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340E9"/>
    <w:rsid w:val="00B41FEA"/>
    <w:rsid w:val="00B60148"/>
    <w:rsid w:val="00B74B69"/>
    <w:rsid w:val="00B80614"/>
    <w:rsid w:val="00B8742A"/>
    <w:rsid w:val="00B946A0"/>
    <w:rsid w:val="00BD7F55"/>
    <w:rsid w:val="00BE16E5"/>
    <w:rsid w:val="00BE323C"/>
    <w:rsid w:val="00BF207A"/>
    <w:rsid w:val="00C00CF3"/>
    <w:rsid w:val="00C42676"/>
    <w:rsid w:val="00C43D79"/>
    <w:rsid w:val="00C462E3"/>
    <w:rsid w:val="00C53F43"/>
    <w:rsid w:val="00C57CD4"/>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312D"/>
    <w:rsid w:val="00E37A37"/>
    <w:rsid w:val="00E41A2D"/>
    <w:rsid w:val="00E66622"/>
    <w:rsid w:val="00E741B6"/>
    <w:rsid w:val="00E760D8"/>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5104"/>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0DA5-77F7-48DB-A75C-74CF524A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6249</Words>
  <Characters>35621</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Fokova Barbora</cp:lastModifiedBy>
  <cp:revision>84</cp:revision>
  <dcterms:created xsi:type="dcterms:W3CDTF">2024-12-11T14:15:00Z</dcterms:created>
  <dcterms:modified xsi:type="dcterms:W3CDTF">2025-02-18T11:31:00Z</dcterms:modified>
</cp:coreProperties>
</file>