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EA" w:rsidRPr="00907A9A" w:rsidRDefault="001A45EA" w:rsidP="001A45EA">
      <w:pPr>
        <w:spacing w:after="0" w:line="240" w:lineRule="auto"/>
        <w:jc w:val="center"/>
        <w:rPr>
          <w:rFonts w:ascii="Times New Roman" w:eastAsia="Times New Roman" w:hAnsi="Times New Roman" w:cs="Times New Roman"/>
          <w:b/>
          <w:bCs/>
          <w:color w:val="000000"/>
          <w:sz w:val="24"/>
          <w:szCs w:val="24"/>
          <w:lang w:eastAsia="sk-SK"/>
        </w:rPr>
      </w:pPr>
      <w:r w:rsidRPr="00907A9A">
        <w:rPr>
          <w:rFonts w:ascii="Times New Roman" w:eastAsia="Times New Roman" w:hAnsi="Times New Roman" w:cs="Times New Roman"/>
          <w:b/>
          <w:bCs/>
          <w:color w:val="000000"/>
          <w:sz w:val="24"/>
          <w:szCs w:val="24"/>
          <w:lang w:eastAsia="sk-SK"/>
        </w:rPr>
        <w:t>DOLOŽKA ZLUČITEĽNOSTI</w:t>
      </w:r>
    </w:p>
    <w:p w:rsidR="00436CAF" w:rsidRPr="00907A9A" w:rsidRDefault="00436CAF" w:rsidP="00A77EB2">
      <w:pPr>
        <w:spacing w:after="0" w:line="240" w:lineRule="auto"/>
        <w:jc w:val="center"/>
        <w:rPr>
          <w:rFonts w:ascii="Times New Roman" w:eastAsia="Times New Roman" w:hAnsi="Times New Roman" w:cs="Times New Roman"/>
          <w:b/>
          <w:bCs/>
          <w:color w:val="000000"/>
          <w:sz w:val="24"/>
          <w:szCs w:val="24"/>
          <w:lang w:eastAsia="sk-SK"/>
        </w:rPr>
      </w:pPr>
      <w:r w:rsidRPr="00907A9A">
        <w:rPr>
          <w:rFonts w:ascii="Times New Roman" w:eastAsia="Times New Roman" w:hAnsi="Times New Roman" w:cs="Times New Roman"/>
          <w:b/>
          <w:bCs/>
          <w:color w:val="000000"/>
          <w:sz w:val="24"/>
          <w:szCs w:val="24"/>
          <w:lang w:eastAsia="sk-SK"/>
        </w:rPr>
        <w:t>návrhu zákona</w:t>
      </w:r>
    </w:p>
    <w:p w:rsidR="001A45EA" w:rsidRPr="00907A9A" w:rsidRDefault="001A45EA" w:rsidP="001A45EA">
      <w:pPr>
        <w:spacing w:after="0" w:line="240" w:lineRule="auto"/>
        <w:jc w:val="center"/>
        <w:rPr>
          <w:rFonts w:ascii="Times New Roman" w:eastAsia="Times New Roman" w:hAnsi="Times New Roman" w:cs="Times New Roman"/>
          <w:b/>
          <w:bCs/>
          <w:color w:val="000000"/>
          <w:sz w:val="24"/>
          <w:szCs w:val="24"/>
          <w:lang w:eastAsia="sk-SK"/>
        </w:rPr>
      </w:pPr>
      <w:r w:rsidRPr="00907A9A">
        <w:rPr>
          <w:rFonts w:ascii="Times New Roman" w:eastAsia="Times New Roman" w:hAnsi="Times New Roman" w:cs="Times New Roman"/>
          <w:b/>
          <w:bCs/>
          <w:color w:val="000000"/>
          <w:sz w:val="24"/>
          <w:szCs w:val="24"/>
          <w:lang w:eastAsia="sk-SK"/>
        </w:rPr>
        <w:t>s právom Európskej únie</w:t>
      </w:r>
    </w:p>
    <w:p w:rsidR="00703A5A" w:rsidRPr="00907A9A" w:rsidRDefault="00703A5A" w:rsidP="001A45EA">
      <w:pPr>
        <w:spacing w:after="0" w:line="240" w:lineRule="auto"/>
        <w:rPr>
          <w:rFonts w:ascii="Times New Roman" w:eastAsia="Times New Roman" w:hAnsi="Times New Roman" w:cs="Times New Roman"/>
          <w:color w:val="000000"/>
          <w:sz w:val="27"/>
          <w:szCs w:val="27"/>
          <w:lang w:eastAsia="sk-SK"/>
        </w:rPr>
      </w:pPr>
    </w:p>
    <w:p w:rsidR="001A45EA" w:rsidRPr="00907A9A"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sz w:val="27"/>
          <w:szCs w:val="27"/>
          <w:lang w:eastAsia="sk-SK"/>
        </w:rPr>
      </w:pPr>
      <w:r w:rsidRPr="00907A9A">
        <w:rPr>
          <w:rFonts w:ascii="Times New Roman" w:eastAsia="Times New Roman" w:hAnsi="Times New Roman" w:cs="Times New Roman"/>
          <w:b/>
          <w:bCs/>
          <w:color w:val="000000"/>
          <w:sz w:val="24"/>
          <w:szCs w:val="24"/>
          <w:lang w:eastAsia="sk-SK"/>
        </w:rPr>
        <w:t>Navrhovateľ zákona:</w:t>
      </w:r>
    </w:p>
    <w:p w:rsidR="001A45EA" w:rsidRPr="00907A9A" w:rsidRDefault="009E3816" w:rsidP="001A45EA">
      <w:pPr>
        <w:spacing w:after="0" w:line="240" w:lineRule="auto"/>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Vláda</w:t>
      </w:r>
      <w:r w:rsidR="001A45EA" w:rsidRPr="00907A9A">
        <w:rPr>
          <w:rFonts w:ascii="Times New Roman" w:eastAsia="Times New Roman" w:hAnsi="Times New Roman" w:cs="Times New Roman"/>
          <w:color w:val="000000"/>
          <w:sz w:val="24"/>
          <w:szCs w:val="24"/>
          <w:lang w:eastAsia="sk-SK"/>
        </w:rPr>
        <w:t xml:space="preserve"> Slovenskej republiky</w:t>
      </w:r>
      <w:r w:rsidR="00B92E0A" w:rsidRPr="00907A9A">
        <w:rPr>
          <w:rFonts w:ascii="Times New Roman" w:eastAsia="Times New Roman" w:hAnsi="Times New Roman" w:cs="Times New Roman"/>
          <w:color w:val="000000"/>
          <w:sz w:val="24"/>
          <w:szCs w:val="24"/>
          <w:lang w:eastAsia="sk-SK"/>
        </w:rPr>
        <w:t>.</w:t>
      </w:r>
    </w:p>
    <w:p w:rsidR="00703A5A" w:rsidRPr="00907A9A" w:rsidRDefault="00703A5A" w:rsidP="001A45EA">
      <w:pPr>
        <w:spacing w:after="0" w:line="240" w:lineRule="auto"/>
        <w:rPr>
          <w:rFonts w:ascii="Times New Roman" w:eastAsia="Times New Roman" w:hAnsi="Times New Roman" w:cs="Times New Roman"/>
          <w:color w:val="000000"/>
          <w:sz w:val="27"/>
          <w:szCs w:val="27"/>
          <w:lang w:eastAsia="sk-SK"/>
        </w:rPr>
      </w:pPr>
    </w:p>
    <w:p w:rsidR="001A45EA" w:rsidRPr="00907A9A"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sz w:val="27"/>
          <w:szCs w:val="27"/>
          <w:lang w:eastAsia="sk-SK"/>
        </w:rPr>
      </w:pPr>
      <w:r w:rsidRPr="00907A9A">
        <w:rPr>
          <w:rFonts w:ascii="Times New Roman" w:eastAsia="Times New Roman" w:hAnsi="Times New Roman" w:cs="Times New Roman"/>
          <w:b/>
          <w:bCs/>
          <w:color w:val="000000"/>
          <w:sz w:val="24"/>
          <w:szCs w:val="24"/>
          <w:lang w:eastAsia="sk-SK"/>
        </w:rPr>
        <w:t>Názov návrhu zákona:</w:t>
      </w:r>
    </w:p>
    <w:p w:rsidR="00703A5A" w:rsidRPr="00907A9A" w:rsidRDefault="00DB681B" w:rsidP="00B74532">
      <w:p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 xml:space="preserve">Návrh </w:t>
      </w:r>
      <w:r w:rsidR="00436CAF" w:rsidRPr="00907A9A">
        <w:rPr>
          <w:rFonts w:ascii="Times New Roman" w:eastAsia="Times New Roman" w:hAnsi="Times New Roman" w:cs="Times New Roman"/>
          <w:color w:val="000000"/>
          <w:sz w:val="24"/>
          <w:szCs w:val="24"/>
          <w:lang w:eastAsia="sk-SK"/>
        </w:rPr>
        <w:t xml:space="preserve">zákona, ktorým sa mení a dopĺňa zákon č. 371/2014 Z. z. </w:t>
      </w:r>
      <w:r w:rsidR="00A77EB2" w:rsidRPr="00907A9A">
        <w:rPr>
          <w:rFonts w:ascii="Times New Roman" w:eastAsia="Times New Roman" w:hAnsi="Times New Roman" w:cs="Times New Roman"/>
          <w:color w:val="000000"/>
          <w:sz w:val="24"/>
          <w:szCs w:val="24"/>
          <w:lang w:eastAsia="sk-SK"/>
        </w:rPr>
        <w:t>o riešení krízových situácií na finančnom trhu a o zmene a doplnení niektorých zákonov</w:t>
      </w:r>
      <w:r w:rsidR="000126D1" w:rsidRPr="00907A9A">
        <w:rPr>
          <w:rFonts w:ascii="Times New Roman" w:eastAsia="Times New Roman" w:hAnsi="Times New Roman" w:cs="Times New Roman"/>
          <w:color w:val="000000"/>
          <w:sz w:val="24"/>
          <w:szCs w:val="24"/>
          <w:lang w:eastAsia="sk-SK"/>
        </w:rPr>
        <w:t xml:space="preserve"> v znení neskorších predpisov</w:t>
      </w:r>
      <w:r w:rsidRPr="00907A9A">
        <w:rPr>
          <w:rFonts w:ascii="Times New Roman" w:eastAsia="Times New Roman" w:hAnsi="Times New Roman" w:cs="Times New Roman"/>
          <w:color w:val="000000"/>
          <w:sz w:val="24"/>
          <w:szCs w:val="24"/>
          <w:lang w:eastAsia="sk-SK"/>
        </w:rPr>
        <w:t>.</w:t>
      </w:r>
    </w:p>
    <w:p w:rsidR="00DB681B" w:rsidRPr="00907A9A" w:rsidRDefault="00DB681B" w:rsidP="001A45EA">
      <w:pPr>
        <w:spacing w:after="0" w:line="240" w:lineRule="auto"/>
        <w:rPr>
          <w:rFonts w:ascii="Times New Roman" w:eastAsia="Times New Roman" w:hAnsi="Times New Roman" w:cs="Times New Roman"/>
          <w:color w:val="000000"/>
          <w:sz w:val="27"/>
          <w:szCs w:val="27"/>
          <w:lang w:eastAsia="sk-SK"/>
        </w:rPr>
      </w:pPr>
    </w:p>
    <w:p w:rsidR="001A45EA" w:rsidRPr="00907A9A" w:rsidRDefault="001A45EA" w:rsidP="001A45EA">
      <w:pPr>
        <w:pStyle w:val="Odsekzoznamu"/>
        <w:numPr>
          <w:ilvl w:val="0"/>
          <w:numId w:val="1"/>
        </w:numPr>
        <w:spacing w:after="0" w:line="240" w:lineRule="auto"/>
        <w:ind w:left="426" w:hanging="426"/>
        <w:rPr>
          <w:rFonts w:ascii="Times New Roman" w:eastAsia="Times New Roman" w:hAnsi="Times New Roman" w:cs="Times New Roman"/>
          <w:color w:val="000000"/>
          <w:sz w:val="27"/>
          <w:szCs w:val="27"/>
          <w:lang w:eastAsia="sk-SK"/>
        </w:rPr>
      </w:pPr>
      <w:r w:rsidRPr="00907A9A">
        <w:rPr>
          <w:rFonts w:ascii="Times New Roman" w:eastAsia="Times New Roman" w:hAnsi="Times New Roman" w:cs="Times New Roman"/>
          <w:b/>
          <w:bCs/>
          <w:color w:val="000000"/>
          <w:sz w:val="24"/>
          <w:szCs w:val="24"/>
          <w:lang w:eastAsia="sk-SK"/>
        </w:rPr>
        <w:t>Predmet návrhu zákona je upravený v práve Európskej únie:</w:t>
      </w:r>
    </w:p>
    <w:p w:rsidR="001A45EA" w:rsidRPr="00907A9A" w:rsidRDefault="001A45EA" w:rsidP="001A45EA">
      <w:pPr>
        <w:pStyle w:val="Odsekzoznamu"/>
        <w:numPr>
          <w:ilvl w:val="0"/>
          <w:numId w:val="2"/>
        </w:numPr>
        <w:spacing w:after="0" w:line="240" w:lineRule="auto"/>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v primárnom práve</w:t>
      </w:r>
    </w:p>
    <w:p w:rsidR="00DB681B" w:rsidRPr="00907A9A" w:rsidRDefault="003B1BB3" w:rsidP="00DB681B">
      <w:pPr>
        <w:pStyle w:val="Odsekzoznamu"/>
        <w:numPr>
          <w:ilvl w:val="0"/>
          <w:numId w:val="7"/>
        </w:numPr>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 xml:space="preserve">čl. 3 ods. 1 písm. b), </w:t>
      </w:r>
      <w:r w:rsidR="00DB681B" w:rsidRPr="00907A9A">
        <w:rPr>
          <w:rFonts w:ascii="Times New Roman" w:eastAsia="Times New Roman" w:hAnsi="Times New Roman" w:cs="Times New Roman"/>
          <w:color w:val="000000"/>
          <w:sz w:val="24"/>
          <w:szCs w:val="24"/>
          <w:lang w:eastAsia="sk-SK"/>
        </w:rPr>
        <w:t xml:space="preserve">čl. 4, čl. 26 ods. </w:t>
      </w:r>
      <w:r w:rsidR="00D47030" w:rsidRPr="00907A9A">
        <w:rPr>
          <w:rFonts w:ascii="Times New Roman" w:eastAsia="Times New Roman" w:hAnsi="Times New Roman" w:cs="Times New Roman"/>
          <w:color w:val="000000"/>
          <w:sz w:val="24"/>
          <w:szCs w:val="24"/>
          <w:lang w:eastAsia="sk-SK"/>
        </w:rPr>
        <w:t>2, čl. 56 až 66, čl. 107 až 109 a</w:t>
      </w:r>
      <w:r w:rsidR="00DB681B" w:rsidRPr="00907A9A">
        <w:rPr>
          <w:rFonts w:ascii="Times New Roman" w:eastAsia="Times New Roman" w:hAnsi="Times New Roman" w:cs="Times New Roman"/>
          <w:color w:val="000000"/>
          <w:sz w:val="24"/>
          <w:szCs w:val="24"/>
          <w:lang w:eastAsia="sk-SK"/>
        </w:rPr>
        <w:t xml:space="preserve"> čl. 114</w:t>
      </w:r>
      <w:r w:rsidR="00D47030" w:rsidRPr="00907A9A">
        <w:rPr>
          <w:rFonts w:ascii="Times New Roman" w:eastAsia="Times New Roman" w:hAnsi="Times New Roman" w:cs="Times New Roman"/>
          <w:color w:val="000000"/>
          <w:sz w:val="24"/>
          <w:szCs w:val="24"/>
          <w:lang w:eastAsia="sk-SK"/>
        </w:rPr>
        <w:t xml:space="preserve"> </w:t>
      </w:r>
      <w:r w:rsidR="00DB681B" w:rsidRPr="00907A9A">
        <w:rPr>
          <w:rFonts w:ascii="Times New Roman" w:eastAsia="Times New Roman" w:hAnsi="Times New Roman" w:cs="Times New Roman"/>
          <w:color w:val="000000"/>
          <w:sz w:val="24"/>
          <w:szCs w:val="24"/>
          <w:lang w:eastAsia="sk-SK"/>
        </w:rPr>
        <w:t>Zmluvy o fungovaní Európskej únie</w:t>
      </w:r>
      <w:r w:rsidR="00CD59AF" w:rsidRPr="00907A9A">
        <w:rPr>
          <w:rFonts w:ascii="Times New Roman" w:eastAsia="Times New Roman" w:hAnsi="Times New Roman" w:cs="Times New Roman"/>
          <w:color w:val="000000"/>
          <w:sz w:val="24"/>
          <w:szCs w:val="24"/>
          <w:lang w:eastAsia="sk-SK"/>
        </w:rPr>
        <w:t xml:space="preserve"> </w:t>
      </w:r>
      <w:r w:rsidR="00CD59AF" w:rsidRPr="00907A9A">
        <w:rPr>
          <w:rFonts w:ascii="Times New Roman" w:hAnsi="Times New Roman" w:cs="Times New Roman"/>
          <w:sz w:val="24"/>
          <w:szCs w:val="24"/>
        </w:rPr>
        <w:t>(Ú. v. EÚ C 202, 7.6. 2016) v platnom znení</w:t>
      </w:r>
      <w:r w:rsidR="00C063B2" w:rsidRPr="00907A9A">
        <w:rPr>
          <w:rFonts w:ascii="Times New Roman" w:eastAsia="Times New Roman" w:hAnsi="Times New Roman" w:cs="Times New Roman"/>
          <w:color w:val="000000"/>
          <w:sz w:val="24"/>
          <w:szCs w:val="24"/>
          <w:lang w:eastAsia="sk-SK"/>
        </w:rPr>
        <w:t>.</w:t>
      </w:r>
    </w:p>
    <w:p w:rsidR="001D3A99" w:rsidRPr="00907A9A" w:rsidRDefault="001D3A99" w:rsidP="001D3A99">
      <w:pPr>
        <w:pStyle w:val="Odsekzoznamu"/>
        <w:rPr>
          <w:rFonts w:ascii="Times New Roman" w:eastAsia="Times New Roman" w:hAnsi="Times New Roman" w:cs="Times New Roman"/>
          <w:color w:val="000000"/>
          <w:sz w:val="24"/>
          <w:szCs w:val="24"/>
          <w:lang w:eastAsia="sk-SK"/>
        </w:rPr>
      </w:pPr>
    </w:p>
    <w:p w:rsidR="008545C6" w:rsidRPr="00907A9A" w:rsidRDefault="008545C6" w:rsidP="008545C6">
      <w:pPr>
        <w:pStyle w:val="Odsekzoznamu"/>
        <w:numPr>
          <w:ilvl w:val="0"/>
          <w:numId w:val="2"/>
        </w:numPr>
        <w:spacing w:after="0" w:line="240" w:lineRule="auto"/>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v sekundárnom práve</w:t>
      </w:r>
    </w:p>
    <w:p w:rsidR="00A810BD" w:rsidRPr="00907A9A" w:rsidRDefault="00B62288" w:rsidP="00A810BD">
      <w:pPr>
        <w:pStyle w:val="Odsekzoznamu"/>
        <w:numPr>
          <w:ilvl w:val="0"/>
          <w:numId w:val="3"/>
        </w:numPr>
        <w:spacing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smernica Európskeho p</w:t>
      </w:r>
      <w:r w:rsidR="00A810BD" w:rsidRPr="00907A9A">
        <w:rPr>
          <w:rFonts w:ascii="Times New Roman" w:eastAsia="Times New Roman" w:hAnsi="Times New Roman" w:cs="Times New Roman"/>
          <w:color w:val="000000"/>
          <w:sz w:val="24"/>
          <w:szCs w:val="24"/>
          <w:lang w:eastAsia="sk-SK"/>
        </w:rPr>
        <w:t>arlamentu a Rady (EÚ) 2024/1174 z 11. apríla 2024, ktorou sa mení smernica 2014/59/EÚ a nariadenie (EÚ) č. 806/2014, pokiaľ ide o určité aspekty minimálnej požiadavky na vlastné zdroje a oprávnené záväzky</w:t>
      </w:r>
      <w:r w:rsidR="00864B4B" w:rsidRPr="00907A9A">
        <w:rPr>
          <w:rFonts w:ascii="Times New Roman" w:eastAsia="Times New Roman" w:hAnsi="Times New Roman" w:cs="Times New Roman"/>
          <w:color w:val="000000"/>
          <w:sz w:val="24"/>
          <w:szCs w:val="24"/>
          <w:lang w:eastAsia="sk-SK"/>
        </w:rPr>
        <w:t xml:space="preserve"> </w:t>
      </w:r>
      <w:r w:rsidR="00C871F2" w:rsidRPr="00907A9A">
        <w:rPr>
          <w:rFonts w:ascii="Times New Roman" w:hAnsi="Times New Roman"/>
          <w:color w:val="000000" w:themeColor="text1"/>
          <w:sz w:val="24"/>
          <w:szCs w:val="24"/>
        </w:rPr>
        <w:t>(Ú. v. EÚ L,</w:t>
      </w:r>
      <w:r w:rsidR="00C871F2" w:rsidRPr="00907A9A">
        <w:rPr>
          <w:rFonts w:ascii="Times New Roman" w:eastAsia="Times New Roman" w:hAnsi="Times New Roman" w:cs="Times New Roman"/>
          <w:color w:val="000000"/>
          <w:sz w:val="24"/>
          <w:szCs w:val="24"/>
          <w:lang w:eastAsia="sk-SK"/>
        </w:rPr>
        <w:t xml:space="preserve"> 2024/1174, </w:t>
      </w:r>
      <w:r w:rsidR="00864B4B" w:rsidRPr="00907A9A">
        <w:rPr>
          <w:rFonts w:ascii="Times New Roman" w:hAnsi="Times New Roman"/>
          <w:color w:val="000000" w:themeColor="text1"/>
          <w:sz w:val="24"/>
          <w:szCs w:val="24"/>
        </w:rPr>
        <w:t xml:space="preserve"> 22. 4. 2024)</w:t>
      </w:r>
      <w:r w:rsidR="00A810BD" w:rsidRPr="00907A9A">
        <w:rPr>
          <w:rFonts w:ascii="Times New Roman" w:eastAsia="Times New Roman" w:hAnsi="Times New Roman" w:cs="Times New Roman"/>
          <w:color w:val="000000"/>
          <w:sz w:val="24"/>
          <w:szCs w:val="24"/>
          <w:lang w:eastAsia="sk-SK"/>
        </w:rPr>
        <w:t xml:space="preserve">, gestor: MF SR, </w:t>
      </w:r>
      <w:proofErr w:type="spellStart"/>
      <w:r w:rsidR="00A810BD" w:rsidRPr="00907A9A">
        <w:rPr>
          <w:rFonts w:ascii="Times New Roman" w:eastAsia="Times New Roman" w:hAnsi="Times New Roman" w:cs="Times New Roman"/>
          <w:color w:val="000000"/>
          <w:sz w:val="24"/>
          <w:szCs w:val="24"/>
          <w:lang w:eastAsia="sk-SK"/>
        </w:rPr>
        <w:t>spolugestor</w:t>
      </w:r>
      <w:proofErr w:type="spellEnd"/>
      <w:r w:rsidR="00A810BD" w:rsidRPr="00907A9A">
        <w:rPr>
          <w:rFonts w:ascii="Times New Roman" w:eastAsia="Times New Roman" w:hAnsi="Times New Roman" w:cs="Times New Roman"/>
          <w:color w:val="000000"/>
          <w:sz w:val="24"/>
          <w:szCs w:val="24"/>
          <w:lang w:eastAsia="sk-SK"/>
        </w:rPr>
        <w:t>: NBS,</w:t>
      </w:r>
    </w:p>
    <w:p w:rsidR="005971BD" w:rsidRPr="00907A9A" w:rsidRDefault="00B62288" w:rsidP="005971BD">
      <w:pPr>
        <w:pStyle w:val="Odsekzoznamu"/>
        <w:numPr>
          <w:ilvl w:val="0"/>
          <w:numId w:val="3"/>
        </w:numPr>
        <w:spacing w:line="240" w:lineRule="auto"/>
        <w:jc w:val="both"/>
        <w:rPr>
          <w:rFonts w:ascii="Times New Roman" w:eastAsia="Times New Roman" w:hAnsi="Times New Roman" w:cs="Times New Roman"/>
          <w:i/>
          <w:color w:val="000000"/>
          <w:sz w:val="24"/>
          <w:szCs w:val="24"/>
          <w:lang w:eastAsia="sk-SK"/>
        </w:rPr>
      </w:pPr>
      <w:r>
        <w:rPr>
          <w:rFonts w:ascii="Times New Roman" w:eastAsia="Times New Roman" w:hAnsi="Times New Roman" w:cs="Times New Roman"/>
          <w:color w:val="000000"/>
          <w:sz w:val="24"/>
          <w:szCs w:val="24"/>
          <w:lang w:eastAsia="sk-SK"/>
        </w:rPr>
        <w:t>nariadenie Európskeho p</w:t>
      </w:r>
      <w:r w:rsidR="005971BD" w:rsidRPr="00907A9A">
        <w:rPr>
          <w:rFonts w:ascii="Times New Roman" w:eastAsia="Times New Roman" w:hAnsi="Times New Roman" w:cs="Times New Roman"/>
          <w:color w:val="000000"/>
          <w:sz w:val="24"/>
          <w:szCs w:val="24"/>
          <w:lang w:eastAsia="sk-SK"/>
        </w:rPr>
        <w:t xml:space="preserve">arlamentu a Rady (EÚ) 2022/2036 z 19. októbra 2022, ktorým sa mení nariadenie (EÚ) č. 575/2013 a smernica 2014/59/EÚ, pokiaľ ide o </w:t>
      </w:r>
      <w:proofErr w:type="spellStart"/>
      <w:r w:rsidR="005971BD" w:rsidRPr="00907A9A">
        <w:rPr>
          <w:rFonts w:ascii="Times New Roman" w:eastAsia="Times New Roman" w:hAnsi="Times New Roman" w:cs="Times New Roman"/>
          <w:color w:val="000000"/>
          <w:sz w:val="24"/>
          <w:szCs w:val="24"/>
          <w:lang w:eastAsia="sk-SK"/>
        </w:rPr>
        <w:t>prudenciálne</w:t>
      </w:r>
      <w:proofErr w:type="spellEnd"/>
      <w:r w:rsidR="005971BD" w:rsidRPr="00907A9A">
        <w:rPr>
          <w:rFonts w:ascii="Times New Roman" w:eastAsia="Times New Roman" w:hAnsi="Times New Roman" w:cs="Times New Roman"/>
          <w:color w:val="000000"/>
          <w:sz w:val="24"/>
          <w:szCs w:val="24"/>
          <w:lang w:eastAsia="sk-SK"/>
        </w:rPr>
        <w:t xml:space="preserve"> zaobchádzanie s globálnymi systémovo významnými inštitúciami so stratégiou riešenia krízových situácií vo viacerých okamihoch a metódy nepriameho upisovania nástrojov oprávnených na splnenie minimálnej požiadavky na vlastné zdroje a oprávnené záväzky</w:t>
      </w:r>
      <w:r w:rsidR="005971BD" w:rsidRPr="00907A9A">
        <w:rPr>
          <w:rFonts w:ascii="Times New Roman" w:eastAsia="Times New Roman" w:hAnsi="Times New Roman" w:cs="Times New Roman"/>
          <w:i/>
          <w:color w:val="000000"/>
          <w:sz w:val="24"/>
          <w:szCs w:val="24"/>
          <w:lang w:eastAsia="sk-SK"/>
        </w:rPr>
        <w:t xml:space="preserve"> </w:t>
      </w:r>
      <w:r w:rsidR="005971BD" w:rsidRPr="00907A9A">
        <w:rPr>
          <w:rFonts w:ascii="Times New Roman" w:eastAsia="Times New Roman" w:hAnsi="Times New Roman" w:cs="Times New Roman"/>
          <w:color w:val="000000"/>
          <w:sz w:val="24"/>
          <w:szCs w:val="24"/>
          <w:lang w:eastAsia="sk-SK"/>
        </w:rPr>
        <w:t>(</w:t>
      </w:r>
      <w:r w:rsidR="005971BD" w:rsidRPr="00907A9A">
        <w:rPr>
          <w:rStyle w:val="Zvraznenie"/>
          <w:rFonts w:ascii="Times New Roman" w:hAnsi="Times New Roman" w:cs="Times New Roman"/>
          <w:i w:val="0"/>
          <w:color w:val="333333"/>
          <w:sz w:val="24"/>
          <w:szCs w:val="24"/>
          <w:shd w:val="clear" w:color="auto" w:fill="FFFFFF"/>
        </w:rPr>
        <w:t>Ú. v. EÚ L 275, 25.10.2022),</w:t>
      </w:r>
      <w:r w:rsidR="00CC7CB6" w:rsidRPr="00907A9A">
        <w:rPr>
          <w:rStyle w:val="Zvraznenie"/>
          <w:rFonts w:ascii="Times New Roman" w:hAnsi="Times New Roman" w:cs="Times New Roman"/>
          <w:i w:val="0"/>
          <w:color w:val="333333"/>
          <w:sz w:val="24"/>
          <w:szCs w:val="24"/>
          <w:shd w:val="clear" w:color="auto" w:fill="FFFFFF"/>
        </w:rPr>
        <w:t xml:space="preserve"> gestor</w:t>
      </w:r>
      <w:r w:rsidR="00E23F47" w:rsidRPr="00907A9A">
        <w:rPr>
          <w:rStyle w:val="Zvraznenie"/>
          <w:rFonts w:ascii="Times New Roman" w:hAnsi="Times New Roman" w:cs="Times New Roman"/>
          <w:i w:val="0"/>
          <w:color w:val="333333"/>
          <w:sz w:val="24"/>
          <w:szCs w:val="24"/>
          <w:shd w:val="clear" w:color="auto" w:fill="FFFFFF"/>
        </w:rPr>
        <w:t>i</w:t>
      </w:r>
      <w:r w:rsidR="00CC7CB6" w:rsidRPr="00907A9A">
        <w:rPr>
          <w:rStyle w:val="Zvraznenie"/>
          <w:rFonts w:ascii="Times New Roman" w:hAnsi="Times New Roman" w:cs="Times New Roman"/>
          <w:i w:val="0"/>
          <w:color w:val="333333"/>
          <w:sz w:val="24"/>
          <w:szCs w:val="24"/>
          <w:shd w:val="clear" w:color="auto" w:fill="FFFFFF"/>
        </w:rPr>
        <w:t>:</w:t>
      </w:r>
      <w:r w:rsidR="005971BD" w:rsidRPr="00907A9A">
        <w:rPr>
          <w:rStyle w:val="Zvraznenie"/>
          <w:rFonts w:ascii="Times New Roman" w:hAnsi="Times New Roman" w:cs="Times New Roman"/>
          <w:i w:val="0"/>
          <w:color w:val="333333"/>
          <w:sz w:val="24"/>
          <w:szCs w:val="24"/>
          <w:shd w:val="clear" w:color="auto" w:fill="FFFFFF"/>
        </w:rPr>
        <w:t xml:space="preserve"> </w:t>
      </w:r>
      <w:r w:rsidR="00E23F47" w:rsidRPr="00907A9A">
        <w:rPr>
          <w:rFonts w:ascii="Times New Roman" w:eastAsia="Times New Roman" w:hAnsi="Times New Roman" w:cs="Times New Roman"/>
          <w:color w:val="000000"/>
          <w:sz w:val="24"/>
          <w:szCs w:val="24"/>
          <w:lang w:eastAsia="sk-SK"/>
        </w:rPr>
        <w:t>MF SR, NBS,</w:t>
      </w:r>
    </w:p>
    <w:p w:rsidR="00DB681B" w:rsidRPr="00907A9A" w:rsidRDefault="00DB681B" w:rsidP="005971BD">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 xml:space="preserve">smernica Európskeho parlamentu a Rady </w:t>
      </w:r>
      <w:r w:rsidR="00495E33" w:rsidRPr="00907A9A">
        <w:rPr>
          <w:rFonts w:ascii="Times New Roman" w:hAnsi="Times New Roman" w:cs="Times New Roman"/>
          <w:bCs/>
          <w:color w:val="333333"/>
          <w:sz w:val="24"/>
          <w:szCs w:val="24"/>
          <w:shd w:val="clear" w:color="auto" w:fill="FFFFFF"/>
        </w:rPr>
        <w:t xml:space="preserve">(EÚ) 2019/879 </w:t>
      </w:r>
      <w:r w:rsidRPr="00907A9A">
        <w:rPr>
          <w:rFonts w:ascii="Times New Roman" w:eastAsia="Times New Roman" w:hAnsi="Times New Roman" w:cs="Times New Roman"/>
          <w:color w:val="000000"/>
          <w:sz w:val="24"/>
          <w:szCs w:val="24"/>
          <w:lang w:eastAsia="sk-SK"/>
        </w:rPr>
        <w:t xml:space="preserve">z  20. mája 2019, ktorou sa mení smernica 2014/59/EÚ, pokiaľ ide o kapacitu úverových inštitúcií a investičných spoločností na absorpciu strát a </w:t>
      </w:r>
      <w:proofErr w:type="spellStart"/>
      <w:r w:rsidRPr="00907A9A">
        <w:rPr>
          <w:rFonts w:ascii="Times New Roman" w:eastAsia="Times New Roman" w:hAnsi="Times New Roman" w:cs="Times New Roman"/>
          <w:color w:val="000000"/>
          <w:sz w:val="24"/>
          <w:szCs w:val="24"/>
          <w:lang w:eastAsia="sk-SK"/>
        </w:rPr>
        <w:t>rekap</w:t>
      </w:r>
      <w:r w:rsidR="00495E33" w:rsidRPr="00907A9A">
        <w:rPr>
          <w:rFonts w:ascii="Times New Roman" w:eastAsia="Times New Roman" w:hAnsi="Times New Roman" w:cs="Times New Roman"/>
          <w:color w:val="000000"/>
          <w:sz w:val="24"/>
          <w:szCs w:val="24"/>
          <w:lang w:eastAsia="sk-SK"/>
        </w:rPr>
        <w:t>italizáciu</w:t>
      </w:r>
      <w:proofErr w:type="spellEnd"/>
      <w:r w:rsidR="00495E33" w:rsidRPr="00907A9A">
        <w:rPr>
          <w:rFonts w:ascii="Times New Roman" w:eastAsia="Times New Roman" w:hAnsi="Times New Roman" w:cs="Times New Roman"/>
          <w:color w:val="000000"/>
          <w:sz w:val="24"/>
          <w:szCs w:val="24"/>
          <w:lang w:eastAsia="sk-SK"/>
        </w:rPr>
        <w:t>, a smernica 98/26/ES (Ú. v. EÚ L 150, 7.6.2019)</w:t>
      </w:r>
      <w:r w:rsidR="009C018C" w:rsidRPr="00907A9A">
        <w:rPr>
          <w:rFonts w:ascii="Times New Roman" w:eastAsia="Times New Roman" w:hAnsi="Times New Roman" w:cs="Times New Roman"/>
          <w:color w:val="000000"/>
          <w:sz w:val="24"/>
          <w:szCs w:val="24"/>
          <w:lang w:eastAsia="sk-SK"/>
        </w:rPr>
        <w:t xml:space="preserve"> v platnom znení</w:t>
      </w:r>
      <w:r w:rsidR="00495E33" w:rsidRPr="00907A9A">
        <w:rPr>
          <w:rFonts w:ascii="Times New Roman" w:eastAsia="Times New Roman" w:hAnsi="Times New Roman" w:cs="Times New Roman"/>
          <w:color w:val="000000"/>
          <w:sz w:val="24"/>
          <w:szCs w:val="24"/>
          <w:lang w:eastAsia="sk-SK"/>
        </w:rPr>
        <w:t xml:space="preserve">, gestor: MF SR, </w:t>
      </w:r>
      <w:proofErr w:type="spellStart"/>
      <w:r w:rsidR="00495E33" w:rsidRPr="00907A9A">
        <w:rPr>
          <w:rFonts w:ascii="Times New Roman" w:eastAsia="Times New Roman" w:hAnsi="Times New Roman" w:cs="Times New Roman"/>
          <w:color w:val="000000"/>
          <w:sz w:val="24"/>
          <w:szCs w:val="24"/>
          <w:lang w:eastAsia="sk-SK"/>
        </w:rPr>
        <w:t>spolugestor</w:t>
      </w:r>
      <w:r w:rsidR="009C018C" w:rsidRPr="00907A9A">
        <w:rPr>
          <w:rFonts w:ascii="Times New Roman" w:eastAsia="Times New Roman" w:hAnsi="Times New Roman" w:cs="Times New Roman"/>
          <w:color w:val="000000"/>
          <w:sz w:val="24"/>
          <w:szCs w:val="24"/>
          <w:lang w:eastAsia="sk-SK"/>
        </w:rPr>
        <w:t>i</w:t>
      </w:r>
      <w:proofErr w:type="spellEnd"/>
      <w:r w:rsidR="00495E33" w:rsidRPr="00907A9A">
        <w:rPr>
          <w:rFonts w:ascii="Times New Roman" w:eastAsia="Times New Roman" w:hAnsi="Times New Roman" w:cs="Times New Roman"/>
          <w:color w:val="000000"/>
          <w:sz w:val="24"/>
          <w:szCs w:val="24"/>
          <w:lang w:eastAsia="sk-SK"/>
        </w:rPr>
        <w:t>: NBS,</w:t>
      </w:r>
      <w:r w:rsidR="003025F5" w:rsidRPr="00907A9A">
        <w:rPr>
          <w:rFonts w:ascii="Times New Roman" w:eastAsia="Times New Roman" w:hAnsi="Times New Roman" w:cs="Times New Roman"/>
          <w:color w:val="000000"/>
          <w:sz w:val="24"/>
          <w:szCs w:val="24"/>
          <w:lang w:eastAsia="sk-SK"/>
        </w:rPr>
        <w:t xml:space="preserve"> MS SR</w:t>
      </w:r>
      <w:r w:rsidR="009C018C" w:rsidRPr="00907A9A">
        <w:rPr>
          <w:rFonts w:ascii="Times New Roman" w:eastAsia="Times New Roman" w:hAnsi="Times New Roman" w:cs="Times New Roman"/>
          <w:color w:val="000000"/>
          <w:sz w:val="24"/>
          <w:szCs w:val="24"/>
          <w:lang w:eastAsia="sk-SK"/>
        </w:rPr>
        <w:t>,</w:t>
      </w:r>
    </w:p>
    <w:p w:rsidR="004276A8" w:rsidRPr="00907A9A" w:rsidRDefault="004276A8" w:rsidP="005971BD">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hAnsi="Times New Roman" w:cs="Times New Roman"/>
          <w:bCs/>
          <w:color w:val="333333"/>
          <w:sz w:val="24"/>
          <w:szCs w:val="24"/>
          <w:shd w:val="clear" w:color="auto" w:fill="FFFFFF"/>
        </w:rPr>
        <w:t>smernica Európskeho parlamentu a Rady (EÚ) 2017/2399 z 12. decembra 2017, ktorou sa mení smernica 2014/59/EÚ, pokiaľ ide o postavenie nezabezpečených dlhových nástrojov v hierarchii konkurzného konania (</w:t>
      </w:r>
      <w:r w:rsidRPr="00907A9A">
        <w:rPr>
          <w:rStyle w:val="Zvraznenie"/>
          <w:rFonts w:ascii="Times New Roman" w:hAnsi="Times New Roman" w:cs="Times New Roman"/>
          <w:i w:val="0"/>
          <w:color w:val="333333"/>
          <w:sz w:val="24"/>
          <w:szCs w:val="24"/>
          <w:shd w:val="clear" w:color="auto" w:fill="FFFFFF"/>
        </w:rPr>
        <w:t xml:space="preserve">Ú. v. EÚ L 345, 27.12.2017) </w:t>
      </w:r>
      <w:r w:rsidRPr="00907A9A">
        <w:rPr>
          <w:rFonts w:ascii="Times New Roman" w:eastAsia="Times New Roman" w:hAnsi="Times New Roman" w:cs="Times New Roman"/>
          <w:color w:val="000000"/>
          <w:sz w:val="24"/>
          <w:szCs w:val="24"/>
          <w:lang w:eastAsia="sk-SK"/>
        </w:rPr>
        <w:t xml:space="preserve">gestor: MF SR, </w:t>
      </w:r>
      <w:proofErr w:type="spellStart"/>
      <w:r w:rsidRPr="00907A9A">
        <w:rPr>
          <w:rFonts w:ascii="Times New Roman" w:eastAsia="Times New Roman" w:hAnsi="Times New Roman" w:cs="Times New Roman"/>
          <w:color w:val="000000"/>
          <w:sz w:val="24"/>
          <w:szCs w:val="24"/>
          <w:lang w:eastAsia="sk-SK"/>
        </w:rPr>
        <w:t>spolugestor</w:t>
      </w:r>
      <w:r w:rsidR="009C018C" w:rsidRPr="00907A9A">
        <w:rPr>
          <w:rFonts w:ascii="Times New Roman" w:eastAsia="Times New Roman" w:hAnsi="Times New Roman" w:cs="Times New Roman"/>
          <w:color w:val="000000"/>
          <w:sz w:val="24"/>
          <w:szCs w:val="24"/>
          <w:lang w:eastAsia="sk-SK"/>
        </w:rPr>
        <w:t>i</w:t>
      </w:r>
      <w:proofErr w:type="spellEnd"/>
      <w:r w:rsidRPr="00907A9A">
        <w:rPr>
          <w:rFonts w:ascii="Times New Roman" w:eastAsia="Times New Roman" w:hAnsi="Times New Roman" w:cs="Times New Roman"/>
          <w:color w:val="000000"/>
          <w:sz w:val="24"/>
          <w:szCs w:val="24"/>
          <w:lang w:eastAsia="sk-SK"/>
        </w:rPr>
        <w:t>: MS SR,</w:t>
      </w:r>
      <w:r w:rsidRPr="00907A9A">
        <w:rPr>
          <w:rStyle w:val="Zvraznenie"/>
          <w:rFonts w:ascii="Times New Roman" w:hAnsi="Times New Roman" w:cs="Times New Roman"/>
          <w:i w:val="0"/>
          <w:color w:val="333333"/>
          <w:sz w:val="24"/>
          <w:szCs w:val="24"/>
          <w:shd w:val="clear" w:color="auto" w:fill="FFFFFF"/>
        </w:rPr>
        <w:t xml:space="preserve"> </w:t>
      </w:r>
    </w:p>
    <w:p w:rsidR="0080316E" w:rsidRDefault="0080316E" w:rsidP="0080316E">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 xml:space="preserve">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 gestor: MF SR, </w:t>
      </w:r>
      <w:proofErr w:type="spellStart"/>
      <w:r w:rsidRPr="00907A9A">
        <w:rPr>
          <w:rFonts w:ascii="Times New Roman" w:eastAsia="Times New Roman" w:hAnsi="Times New Roman" w:cs="Times New Roman"/>
          <w:color w:val="000000"/>
          <w:sz w:val="24"/>
          <w:szCs w:val="24"/>
          <w:lang w:eastAsia="sk-SK"/>
        </w:rPr>
        <w:t>spolugestor</w:t>
      </w:r>
      <w:proofErr w:type="spellEnd"/>
      <w:r w:rsidRPr="00907A9A">
        <w:rPr>
          <w:rFonts w:ascii="Times New Roman" w:eastAsia="Times New Roman" w:hAnsi="Times New Roman" w:cs="Times New Roman"/>
          <w:color w:val="000000"/>
          <w:sz w:val="24"/>
          <w:szCs w:val="24"/>
          <w:lang w:eastAsia="sk-SK"/>
        </w:rPr>
        <w:t>: NBS,</w:t>
      </w:r>
    </w:p>
    <w:p w:rsidR="00B62288" w:rsidRPr="00B62288" w:rsidRDefault="00B62288" w:rsidP="00B62288">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smernica Európskeho parlamentu a Rady 2014/59/EÚ zo 16. apríla 2014 o systémoch ochrany vkladov (prepracované znenie) (Ú. v. EÚ L 173, 12.6.2014), gestor: MF SR, </w:t>
      </w:r>
      <w:proofErr w:type="spellStart"/>
      <w:r>
        <w:rPr>
          <w:rFonts w:ascii="Times New Roman" w:eastAsia="Times New Roman" w:hAnsi="Times New Roman" w:cs="Times New Roman"/>
          <w:color w:val="000000"/>
          <w:sz w:val="24"/>
          <w:szCs w:val="24"/>
          <w:lang w:eastAsia="sk-SK"/>
        </w:rPr>
        <w:t>spolugestor</w:t>
      </w:r>
      <w:proofErr w:type="spellEnd"/>
      <w:r>
        <w:rPr>
          <w:rFonts w:ascii="Times New Roman" w:eastAsia="Times New Roman" w:hAnsi="Times New Roman" w:cs="Times New Roman"/>
          <w:color w:val="000000"/>
          <w:sz w:val="24"/>
          <w:szCs w:val="24"/>
          <w:lang w:eastAsia="sk-SK"/>
        </w:rPr>
        <w:t>: NBS,</w:t>
      </w:r>
    </w:p>
    <w:p w:rsidR="00DB681B" w:rsidRPr="00907A9A" w:rsidRDefault="00DB681B" w:rsidP="00DB681B">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 xml:space="preserve">nariadenie Európskeho parlamentu a Rady (EÚ) č. 1093/2010 z  24. novembra 2010, ktorým sa zriaďuje Európsky orgán dohľadu (Európsky orgán pre bankovníctvo) a </w:t>
      </w:r>
      <w:r w:rsidRPr="00907A9A">
        <w:rPr>
          <w:rFonts w:ascii="Times New Roman" w:eastAsia="Times New Roman" w:hAnsi="Times New Roman" w:cs="Times New Roman"/>
          <w:color w:val="000000"/>
          <w:sz w:val="24"/>
          <w:szCs w:val="24"/>
          <w:lang w:eastAsia="sk-SK"/>
        </w:rPr>
        <w:lastRenderedPageBreak/>
        <w:t>ktorým sa mení a dopĺňa rozhodnutie č. 716/2009/ES a zrušuje rozhodnutie Komisie 2009/78/ES (Ú. v. EÚ L 331, 15.12.2010) v platnom znení,</w:t>
      </w:r>
      <w:r w:rsidR="00CD59AF" w:rsidRPr="00907A9A">
        <w:rPr>
          <w:rFonts w:ascii="Times New Roman" w:eastAsia="Times New Roman" w:hAnsi="Times New Roman" w:cs="Times New Roman"/>
          <w:color w:val="000000"/>
          <w:sz w:val="24"/>
          <w:szCs w:val="24"/>
          <w:lang w:eastAsia="sk-SK"/>
        </w:rPr>
        <w:t xml:space="preserve"> gestor</w:t>
      </w:r>
      <w:r w:rsidR="008A29DA" w:rsidRPr="00907A9A">
        <w:rPr>
          <w:rFonts w:ascii="Times New Roman" w:eastAsia="Times New Roman" w:hAnsi="Times New Roman" w:cs="Times New Roman"/>
          <w:color w:val="000000"/>
          <w:sz w:val="24"/>
          <w:szCs w:val="24"/>
          <w:lang w:eastAsia="sk-SK"/>
        </w:rPr>
        <w:t>i</w:t>
      </w:r>
      <w:r w:rsidR="00CD59AF" w:rsidRPr="00907A9A">
        <w:rPr>
          <w:rFonts w:ascii="Times New Roman" w:eastAsia="Times New Roman" w:hAnsi="Times New Roman" w:cs="Times New Roman"/>
          <w:color w:val="000000"/>
          <w:sz w:val="24"/>
          <w:szCs w:val="24"/>
          <w:lang w:eastAsia="sk-SK"/>
        </w:rPr>
        <w:t>:</w:t>
      </w:r>
      <w:r w:rsidR="008A29DA" w:rsidRPr="00907A9A">
        <w:rPr>
          <w:rFonts w:ascii="Times New Roman" w:eastAsia="Times New Roman" w:hAnsi="Times New Roman" w:cs="Times New Roman"/>
          <w:color w:val="000000"/>
          <w:sz w:val="24"/>
          <w:szCs w:val="24"/>
          <w:lang w:eastAsia="sk-SK"/>
        </w:rPr>
        <w:t xml:space="preserve"> MF SR, NBS,</w:t>
      </w:r>
    </w:p>
    <w:p w:rsidR="001D3ED0" w:rsidRPr="00907A9A" w:rsidRDefault="001D3ED0" w:rsidP="00DB681B">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 xml:space="preserve">nariadenie Európskeho parlamentu a Rady (EÚ) č. 575/2013 z 26. júna 2013 o </w:t>
      </w:r>
      <w:proofErr w:type="spellStart"/>
      <w:r w:rsidRPr="00907A9A">
        <w:rPr>
          <w:rFonts w:ascii="Times New Roman" w:eastAsia="Times New Roman" w:hAnsi="Times New Roman" w:cs="Times New Roman"/>
          <w:color w:val="000000"/>
          <w:sz w:val="24"/>
          <w:szCs w:val="24"/>
          <w:lang w:eastAsia="sk-SK"/>
        </w:rPr>
        <w:t>prudenciálnych</w:t>
      </w:r>
      <w:proofErr w:type="spellEnd"/>
      <w:r w:rsidRPr="00907A9A">
        <w:rPr>
          <w:rFonts w:ascii="Times New Roman" w:eastAsia="Times New Roman" w:hAnsi="Times New Roman" w:cs="Times New Roman"/>
          <w:color w:val="000000"/>
          <w:sz w:val="24"/>
          <w:szCs w:val="24"/>
          <w:lang w:eastAsia="sk-SK"/>
        </w:rPr>
        <w:t xml:space="preserve"> požiadavkách na úverové inštitúcie a o zmene nariadenia (EÚ) č. 648/2012 (Ú. v. EÚ L 176, 27.6.2013) v platnom znení, gestori: MF SR, NBS,</w:t>
      </w:r>
    </w:p>
    <w:p w:rsidR="00C871F2" w:rsidRPr="00907A9A" w:rsidRDefault="00C871F2" w:rsidP="00C871F2">
      <w:pPr>
        <w:pStyle w:val="Odsekzoznamu"/>
        <w:numPr>
          <w:ilvl w:val="0"/>
          <w:numId w:val="3"/>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vykonávacie nariadenie Komisie (EÚ) 2021/763 z 23. apríla 2021, ktorým sa stanovujú vykonávacie technické predpisy na uplatňovanie nariadenia Európskeho parlamentu a Rady (EÚ) č. 575/2013 a smernice Európskeho parlamentu a Rady 2014/59/EÚ, pokiaľ ide o podávanie správ na účely dohľadu a zverejňovanie informácií o minimálnej požiadavke na vlastné zdroje a oprávnené záväzky (Ú. v. EÚ L 168, 12.5.2021) v platnom znení, gestor</w:t>
      </w:r>
      <w:r w:rsidR="009C018C" w:rsidRPr="00907A9A">
        <w:rPr>
          <w:rFonts w:ascii="Times New Roman" w:eastAsia="Times New Roman" w:hAnsi="Times New Roman" w:cs="Times New Roman"/>
          <w:color w:val="000000"/>
          <w:sz w:val="24"/>
          <w:szCs w:val="24"/>
          <w:lang w:eastAsia="sk-SK"/>
        </w:rPr>
        <w:t>i</w:t>
      </w:r>
      <w:r w:rsidRPr="00907A9A">
        <w:rPr>
          <w:rFonts w:ascii="Times New Roman" w:eastAsia="Times New Roman" w:hAnsi="Times New Roman" w:cs="Times New Roman"/>
          <w:color w:val="000000"/>
          <w:sz w:val="24"/>
          <w:szCs w:val="24"/>
          <w:lang w:eastAsia="sk-SK"/>
        </w:rPr>
        <w:t>:</w:t>
      </w:r>
      <w:r w:rsidRPr="00907A9A">
        <w:t xml:space="preserve"> </w:t>
      </w:r>
      <w:r w:rsidR="001D3ED0" w:rsidRPr="00907A9A">
        <w:rPr>
          <w:rFonts w:ascii="Times New Roman" w:eastAsia="Times New Roman" w:hAnsi="Times New Roman" w:cs="Times New Roman"/>
          <w:color w:val="000000"/>
          <w:sz w:val="24"/>
          <w:szCs w:val="24"/>
          <w:lang w:eastAsia="sk-SK"/>
        </w:rPr>
        <w:t>MF SR, NBS.</w:t>
      </w:r>
    </w:p>
    <w:p w:rsidR="009C04AA" w:rsidRPr="00907A9A" w:rsidRDefault="009C04AA" w:rsidP="001A45EA">
      <w:pPr>
        <w:spacing w:after="0" w:line="240" w:lineRule="auto"/>
        <w:rPr>
          <w:rFonts w:ascii="Times New Roman" w:eastAsia="Times New Roman" w:hAnsi="Times New Roman" w:cs="Times New Roman"/>
          <w:color w:val="000000"/>
          <w:sz w:val="24"/>
          <w:szCs w:val="24"/>
          <w:lang w:eastAsia="sk-SK"/>
        </w:rPr>
      </w:pPr>
    </w:p>
    <w:p w:rsidR="008545C6" w:rsidRPr="00907A9A" w:rsidRDefault="008545C6" w:rsidP="008545C6">
      <w:pPr>
        <w:pStyle w:val="Odsekzoznamu"/>
        <w:numPr>
          <w:ilvl w:val="0"/>
          <w:numId w:val="2"/>
        </w:numPr>
        <w:spacing w:after="0" w:line="240" w:lineRule="auto"/>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v judikatúre Súdneho dvora Európskej únie</w:t>
      </w:r>
    </w:p>
    <w:p w:rsidR="009E3816" w:rsidRPr="00907A9A" w:rsidRDefault="009E3816" w:rsidP="009E3816">
      <w:pPr>
        <w:pStyle w:val="c08dispositif"/>
        <w:spacing w:after="240" w:afterAutospacing="0"/>
        <w:ind w:left="720"/>
        <w:jc w:val="both"/>
        <w:rPr>
          <w:bCs/>
        </w:rPr>
      </w:pPr>
      <w:r w:rsidRPr="00907A9A">
        <w:rPr>
          <w:bCs/>
        </w:rPr>
        <w:t xml:space="preserve">- rozsudok Súdneho dvora vo veci C-414/18, </w:t>
      </w:r>
      <w:proofErr w:type="spellStart"/>
      <w:r w:rsidRPr="00907A9A">
        <w:rPr>
          <w:bCs/>
        </w:rPr>
        <w:t>Iccrea</w:t>
      </w:r>
      <w:proofErr w:type="spellEnd"/>
      <w:r w:rsidRPr="00907A9A">
        <w:rPr>
          <w:bCs/>
        </w:rPr>
        <w:t xml:space="preserve"> </w:t>
      </w:r>
      <w:proofErr w:type="spellStart"/>
      <w:r w:rsidRPr="00907A9A">
        <w:rPr>
          <w:bCs/>
        </w:rPr>
        <w:t>Banca</w:t>
      </w:r>
      <w:proofErr w:type="spellEnd"/>
      <w:r w:rsidRPr="00907A9A">
        <w:rPr>
          <w:bCs/>
        </w:rPr>
        <w:t xml:space="preserve"> </w:t>
      </w:r>
      <w:proofErr w:type="spellStart"/>
      <w:r w:rsidRPr="00907A9A">
        <w:rPr>
          <w:bCs/>
        </w:rPr>
        <w:t>SpA</w:t>
      </w:r>
      <w:proofErr w:type="spellEnd"/>
      <w:r w:rsidRPr="00907A9A">
        <w:rPr>
          <w:bCs/>
        </w:rPr>
        <w:t xml:space="preserve"> </w:t>
      </w:r>
      <w:proofErr w:type="spellStart"/>
      <w:r w:rsidRPr="00907A9A">
        <w:rPr>
          <w:bCs/>
        </w:rPr>
        <w:t>Istituto</w:t>
      </w:r>
      <w:proofErr w:type="spellEnd"/>
      <w:r w:rsidRPr="00907A9A">
        <w:rPr>
          <w:bCs/>
        </w:rPr>
        <w:t xml:space="preserve"> </w:t>
      </w:r>
      <w:proofErr w:type="spellStart"/>
      <w:r w:rsidRPr="00907A9A">
        <w:rPr>
          <w:bCs/>
        </w:rPr>
        <w:t>Centrale</w:t>
      </w:r>
      <w:proofErr w:type="spellEnd"/>
      <w:r w:rsidRPr="00907A9A">
        <w:rPr>
          <w:bCs/>
        </w:rPr>
        <w:t xml:space="preserve"> del </w:t>
      </w:r>
      <w:proofErr w:type="spellStart"/>
      <w:r w:rsidRPr="00907A9A">
        <w:rPr>
          <w:bCs/>
        </w:rPr>
        <w:t>Credito</w:t>
      </w:r>
      <w:proofErr w:type="spellEnd"/>
      <w:r w:rsidRPr="00907A9A">
        <w:rPr>
          <w:bCs/>
        </w:rPr>
        <w:t xml:space="preserve"> </w:t>
      </w:r>
      <w:proofErr w:type="spellStart"/>
      <w:r w:rsidRPr="00907A9A">
        <w:rPr>
          <w:bCs/>
        </w:rPr>
        <w:t>Cooperativo</w:t>
      </w:r>
      <w:proofErr w:type="spellEnd"/>
      <w:r w:rsidRPr="00907A9A">
        <w:rPr>
          <w:bCs/>
        </w:rPr>
        <w:t xml:space="preserve"> proti </w:t>
      </w:r>
      <w:proofErr w:type="spellStart"/>
      <w:r w:rsidRPr="00907A9A">
        <w:rPr>
          <w:bCs/>
        </w:rPr>
        <w:t>Banca</w:t>
      </w:r>
      <w:proofErr w:type="spellEnd"/>
      <w:r w:rsidRPr="00907A9A">
        <w:rPr>
          <w:bCs/>
        </w:rPr>
        <w:t xml:space="preserve"> </w:t>
      </w:r>
      <w:proofErr w:type="spellStart"/>
      <w:r w:rsidRPr="00907A9A">
        <w:rPr>
          <w:bCs/>
        </w:rPr>
        <w:t>d’Italia</w:t>
      </w:r>
      <w:proofErr w:type="spellEnd"/>
      <w:r w:rsidRPr="00907A9A">
        <w:rPr>
          <w:bCs/>
        </w:rPr>
        <w:t>, [2019]</w:t>
      </w:r>
      <w:r w:rsidR="00FB7119" w:rsidRPr="00907A9A">
        <w:rPr>
          <w:bCs/>
        </w:rPr>
        <w:t>.</w:t>
      </w:r>
    </w:p>
    <w:p w:rsidR="009E3816" w:rsidRPr="00907A9A" w:rsidRDefault="009E3816" w:rsidP="00632E76">
      <w:pPr>
        <w:pStyle w:val="c08dispositif"/>
        <w:spacing w:before="0" w:beforeAutospacing="0" w:after="0" w:afterAutospacing="0"/>
        <w:ind w:left="709"/>
        <w:jc w:val="both"/>
        <w:rPr>
          <w:b/>
          <w:bCs/>
        </w:rPr>
      </w:pPr>
      <w:r w:rsidRPr="00907A9A">
        <w:rPr>
          <w:b/>
          <w:bCs/>
        </w:rPr>
        <w:t>Výrok rozhodnutia</w:t>
      </w:r>
    </w:p>
    <w:p w:rsidR="009E3816" w:rsidRPr="00907A9A" w:rsidRDefault="009E3816" w:rsidP="00632E76">
      <w:pPr>
        <w:pStyle w:val="c08dispositif"/>
        <w:spacing w:before="0" w:beforeAutospacing="0" w:after="0" w:afterAutospacing="0"/>
        <w:ind w:left="709"/>
        <w:jc w:val="both"/>
        <w:rPr>
          <w:bCs/>
        </w:rPr>
      </w:pPr>
      <w:r w:rsidRPr="00907A9A">
        <w:rPr>
          <w:bCs/>
        </w:rPr>
        <w:t xml:space="preserve">Článok 103 ods. 2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a článok 5 ods. 1 písm. a) a f) delegovaného nariadenia Komisie (EÚ) 2015/63 z 21. októbra 2014, ktorým sa dopĺňa smernica Európskeho parlamentu a Rady 2014/59/EÚ, pokiaľ ide o príspevky ex  </w:t>
      </w:r>
      <w:proofErr w:type="spellStart"/>
      <w:r w:rsidRPr="00907A9A">
        <w:rPr>
          <w:bCs/>
        </w:rPr>
        <w:t>ante</w:t>
      </w:r>
      <w:proofErr w:type="spellEnd"/>
      <w:r w:rsidRPr="00907A9A">
        <w:rPr>
          <w:bCs/>
        </w:rPr>
        <w:t xml:space="preserve"> do mechanizmov financovania riešenia krízových situácií, sa majú vykladať v tom zmysle, že záväzky, ktoré sú výsledkom transakcií medzi bankou druhého stupňa a členmi skupiny, ktorú tvorí s družstevnými bankami, ktorým poskytuje rôzne služby bez toho, aby ich kontrolovala, a nepokrývajúce úvery poskytnuté na nesúťažnom a neziskovom základe s cieľom podporiť ciele verejnej politiky ústrednej alebo regionálnej štátnej správy</w:t>
      </w:r>
      <w:r w:rsidRPr="00907A9A">
        <w:t xml:space="preserve"> </w:t>
      </w:r>
      <w:r w:rsidRPr="00907A9A">
        <w:rPr>
          <w:bCs/>
        </w:rPr>
        <w:t>členského štátu, nie sú vylúčené z výpočtu príspevkov do vnútroštátneho fondu na riešenie</w:t>
      </w:r>
      <w:r w:rsidRPr="00907A9A">
        <w:t xml:space="preserve"> </w:t>
      </w:r>
      <w:r w:rsidRPr="00907A9A">
        <w:rPr>
          <w:bCs/>
        </w:rPr>
        <w:t>krízových situácií uvedených v tomto článku 103 ods. 2.</w:t>
      </w:r>
    </w:p>
    <w:p w:rsidR="009E3816" w:rsidRPr="00907A9A" w:rsidRDefault="009E3816" w:rsidP="009E3816">
      <w:pPr>
        <w:pStyle w:val="c08dispositif"/>
        <w:spacing w:after="240" w:afterAutospacing="0"/>
        <w:ind w:left="720"/>
        <w:jc w:val="both"/>
        <w:rPr>
          <w:bCs/>
        </w:rPr>
      </w:pPr>
      <w:r w:rsidRPr="00907A9A">
        <w:rPr>
          <w:bCs/>
        </w:rPr>
        <w:t xml:space="preserve">- rozsudok Súdneho dvora vo veci C-255/18, State </w:t>
      </w:r>
      <w:proofErr w:type="spellStart"/>
      <w:r w:rsidRPr="00907A9A">
        <w:rPr>
          <w:bCs/>
        </w:rPr>
        <w:t>Street</w:t>
      </w:r>
      <w:proofErr w:type="spellEnd"/>
      <w:r w:rsidRPr="00907A9A">
        <w:rPr>
          <w:bCs/>
        </w:rPr>
        <w:t xml:space="preserve"> Bank International </w:t>
      </w:r>
      <w:proofErr w:type="spellStart"/>
      <w:r w:rsidRPr="00907A9A">
        <w:rPr>
          <w:bCs/>
        </w:rPr>
        <w:t>GmbH</w:t>
      </w:r>
      <w:proofErr w:type="spellEnd"/>
      <w:r w:rsidRPr="00907A9A">
        <w:rPr>
          <w:bCs/>
        </w:rPr>
        <w:t xml:space="preserve"> proti </w:t>
      </w:r>
      <w:proofErr w:type="spellStart"/>
      <w:r w:rsidRPr="00907A9A">
        <w:rPr>
          <w:bCs/>
        </w:rPr>
        <w:t>Banca</w:t>
      </w:r>
      <w:proofErr w:type="spellEnd"/>
      <w:r w:rsidRPr="00907A9A">
        <w:rPr>
          <w:bCs/>
        </w:rPr>
        <w:t xml:space="preserve"> </w:t>
      </w:r>
      <w:proofErr w:type="spellStart"/>
      <w:r w:rsidRPr="00907A9A">
        <w:rPr>
          <w:bCs/>
        </w:rPr>
        <w:t>d’Italia</w:t>
      </w:r>
      <w:proofErr w:type="spellEnd"/>
      <w:r w:rsidRPr="00907A9A">
        <w:rPr>
          <w:bCs/>
        </w:rPr>
        <w:t xml:space="preserve"> za účasti </w:t>
      </w:r>
      <w:proofErr w:type="spellStart"/>
      <w:r w:rsidRPr="00907A9A">
        <w:rPr>
          <w:bCs/>
        </w:rPr>
        <w:t>Banco</w:t>
      </w:r>
      <w:proofErr w:type="spellEnd"/>
      <w:r w:rsidRPr="00907A9A">
        <w:rPr>
          <w:bCs/>
        </w:rPr>
        <w:t xml:space="preserve"> </w:t>
      </w:r>
      <w:proofErr w:type="spellStart"/>
      <w:r w:rsidRPr="00907A9A">
        <w:rPr>
          <w:bCs/>
        </w:rPr>
        <w:t>delle</w:t>
      </w:r>
      <w:proofErr w:type="spellEnd"/>
      <w:r w:rsidRPr="00907A9A">
        <w:rPr>
          <w:bCs/>
        </w:rPr>
        <w:t xml:space="preserve"> </w:t>
      </w:r>
      <w:proofErr w:type="spellStart"/>
      <w:r w:rsidRPr="00907A9A">
        <w:rPr>
          <w:bCs/>
        </w:rPr>
        <w:t>Tre</w:t>
      </w:r>
      <w:proofErr w:type="spellEnd"/>
      <w:r w:rsidRPr="00907A9A">
        <w:rPr>
          <w:bCs/>
        </w:rPr>
        <w:t xml:space="preserve"> </w:t>
      </w:r>
      <w:proofErr w:type="spellStart"/>
      <w:r w:rsidRPr="00907A9A">
        <w:rPr>
          <w:bCs/>
        </w:rPr>
        <w:t>Venezie</w:t>
      </w:r>
      <w:proofErr w:type="spellEnd"/>
      <w:r w:rsidRPr="00907A9A">
        <w:rPr>
          <w:bCs/>
        </w:rPr>
        <w:t xml:space="preserve"> </w:t>
      </w:r>
      <w:proofErr w:type="spellStart"/>
      <w:r w:rsidRPr="00907A9A">
        <w:rPr>
          <w:bCs/>
        </w:rPr>
        <w:t>SpA</w:t>
      </w:r>
      <w:proofErr w:type="spellEnd"/>
      <w:r w:rsidRPr="00907A9A">
        <w:rPr>
          <w:bCs/>
        </w:rPr>
        <w:t>, [2019]</w:t>
      </w:r>
      <w:r w:rsidR="00FB7119" w:rsidRPr="00907A9A">
        <w:rPr>
          <w:bCs/>
        </w:rPr>
        <w:t>.</w:t>
      </w:r>
    </w:p>
    <w:p w:rsidR="009E3816" w:rsidRPr="00907A9A" w:rsidRDefault="009E3816" w:rsidP="00632E76">
      <w:pPr>
        <w:pStyle w:val="c08dispositif"/>
        <w:spacing w:before="0" w:beforeAutospacing="0" w:after="0" w:afterAutospacing="0"/>
        <w:ind w:left="709"/>
        <w:jc w:val="both"/>
        <w:rPr>
          <w:b/>
          <w:bCs/>
        </w:rPr>
      </w:pPr>
      <w:r w:rsidRPr="00907A9A">
        <w:rPr>
          <w:b/>
          <w:bCs/>
        </w:rPr>
        <w:t xml:space="preserve">Výrok rozhodnutia </w:t>
      </w:r>
    </w:p>
    <w:p w:rsidR="009E3816" w:rsidRPr="00907A9A" w:rsidRDefault="009E3816" w:rsidP="00632E76">
      <w:pPr>
        <w:pStyle w:val="c08dispositif"/>
        <w:spacing w:before="0" w:beforeAutospacing="0" w:after="0" w:afterAutospacing="0"/>
        <w:ind w:left="709"/>
        <w:jc w:val="both"/>
        <w:rPr>
          <w:bCs/>
        </w:rPr>
      </w:pPr>
      <w:r w:rsidRPr="00907A9A">
        <w:rPr>
          <w:bCs/>
        </w:rPr>
        <w:t xml:space="preserve">1. Pojem „zmena štatútu“ v zmysle článku 12 ods. 2 delegovaného nariadenia Komisie (EÚ) 2015/63 z 21. októbra 2014, ktorým sa dopĺňa smernica Európskeho parlamentu a Rady 2014/59/EÚ, pokiaľ ide o príspevky ex  </w:t>
      </w:r>
      <w:proofErr w:type="spellStart"/>
      <w:r w:rsidRPr="00907A9A">
        <w:rPr>
          <w:bCs/>
        </w:rPr>
        <w:t>ante</w:t>
      </w:r>
      <w:proofErr w:type="spellEnd"/>
      <w:r w:rsidRPr="00907A9A">
        <w:rPr>
          <w:bCs/>
        </w:rPr>
        <w:t xml:space="preserve"> do mechanizmov financovania riešenia krízových situácií, sa má vykladať v tom zmysle, že zahŕňa takú operáciu, o akú</w:t>
      </w:r>
      <w:r w:rsidRPr="00907A9A">
        <w:t xml:space="preserve"> </w:t>
      </w:r>
      <w:r w:rsidRPr="00907A9A">
        <w:rPr>
          <w:bCs/>
        </w:rPr>
        <w:t>ide vo veci samej, v súvislosti s ktorou inštitúcia prestane v priebehu roka podliehať dohľadu národného orgánu pre riešenie krízových situácií v nadväznosti na cezhraničné zlúčenie s jej materskou spoločnosťou, a že v dôsledku toho táto operácia nemá vplyv na povinnosť tejto inštitúcie uhradiť všetky pravidelné príspevky splatné za príslušný príspevkový rok.</w:t>
      </w:r>
    </w:p>
    <w:p w:rsidR="009E3816" w:rsidRPr="00907A9A" w:rsidRDefault="009E3816" w:rsidP="00C75138">
      <w:pPr>
        <w:pStyle w:val="c08dispositif"/>
        <w:spacing w:after="240" w:afterAutospacing="0"/>
        <w:ind w:left="709"/>
        <w:jc w:val="both"/>
        <w:rPr>
          <w:bCs/>
        </w:rPr>
      </w:pPr>
      <w:r w:rsidRPr="00907A9A">
        <w:rPr>
          <w:bCs/>
        </w:rPr>
        <w:lastRenderedPageBreak/>
        <w:t>2. Článok 12 ods. 2 delegovaného nariadenia 2015/63 sa má vykladať v tom zmysle, že sa uplatňuje na situáciu, v ktorej k cezhraničnému zlúčeniu inštitúcie so sídlom v členskom štáte s jej materskou spoločnosťou so sídlom v inom členskom štáte a následnému zániku tejto inštitúcie došlo počas roka 2015, hoci vnútroštátny orgán pre riešenie krízových situácií ani štátny fond neboli prvým členským štátom ešte formálne vytvorené a príspevky</w:t>
      </w:r>
      <w:r w:rsidRPr="00907A9A">
        <w:t xml:space="preserve"> </w:t>
      </w:r>
      <w:r w:rsidRPr="00907A9A">
        <w:rPr>
          <w:bCs/>
        </w:rPr>
        <w:t>ešte neboli vypočítané.</w:t>
      </w:r>
    </w:p>
    <w:p w:rsidR="008545C6" w:rsidRPr="00907A9A" w:rsidRDefault="009E3816" w:rsidP="00C75138">
      <w:pPr>
        <w:pStyle w:val="c08dispositif"/>
        <w:spacing w:after="240" w:afterAutospacing="0"/>
        <w:ind w:left="709"/>
        <w:jc w:val="both"/>
        <w:rPr>
          <w:bCs/>
        </w:rPr>
      </w:pPr>
      <w:r w:rsidRPr="00907A9A">
        <w:rPr>
          <w:bCs/>
        </w:rPr>
        <w:t>3. Článok 104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sa má vykladať v tom zmysle, že inštitúcia so sídlom v členskom štáte, ktorá sa zlúčila s materskou spoločnosťou so sídlom v inom členskom štáte pred zavedením mimoriadneho príspevku vnútroštátnym orgánom pre riešenie krízových situácií prvého členského štátu, nie je povinná uhradiť tento príspevok.</w:t>
      </w:r>
    </w:p>
    <w:p w:rsidR="00F20D53" w:rsidRPr="00907A9A" w:rsidRDefault="00F20D53" w:rsidP="00F20D53">
      <w:pPr>
        <w:pStyle w:val="c08dispositif"/>
        <w:spacing w:after="240"/>
        <w:ind w:left="709"/>
        <w:jc w:val="both"/>
        <w:rPr>
          <w:bCs/>
        </w:rPr>
      </w:pPr>
      <w:r w:rsidRPr="00907A9A">
        <w:rPr>
          <w:bCs/>
        </w:rPr>
        <w:t>- rozsudok Súdneho dvora v spojených veciach C‑775/22, C‑779/22 a C‑794/22,</w:t>
      </w:r>
      <w:r w:rsidRPr="00907A9A">
        <w:t xml:space="preserve"> </w:t>
      </w:r>
      <w:r w:rsidRPr="00907A9A">
        <w:rPr>
          <w:bCs/>
        </w:rPr>
        <w:t xml:space="preserve">M.S.G., N.G.S., A.G.S. (C‑775/22), M.C.S. (C‑779/22), FSC (C‑794/22) proti </w:t>
      </w:r>
      <w:proofErr w:type="spellStart"/>
      <w:r w:rsidRPr="00907A9A">
        <w:rPr>
          <w:bCs/>
        </w:rPr>
        <w:t>Banco</w:t>
      </w:r>
      <w:proofErr w:type="spellEnd"/>
      <w:r w:rsidRPr="00907A9A">
        <w:rPr>
          <w:bCs/>
        </w:rPr>
        <w:t xml:space="preserve"> </w:t>
      </w:r>
      <w:proofErr w:type="spellStart"/>
      <w:r w:rsidRPr="00907A9A">
        <w:rPr>
          <w:bCs/>
        </w:rPr>
        <w:t>Santander</w:t>
      </w:r>
      <w:proofErr w:type="spellEnd"/>
      <w:r w:rsidRPr="00907A9A">
        <w:rPr>
          <w:bCs/>
        </w:rPr>
        <w:t xml:space="preserve"> SA, [2024].</w:t>
      </w:r>
    </w:p>
    <w:p w:rsidR="00F20D53" w:rsidRPr="00907A9A" w:rsidRDefault="00F20D53" w:rsidP="00F20D53">
      <w:pPr>
        <w:pStyle w:val="c08dispositif"/>
        <w:spacing w:before="0" w:beforeAutospacing="0" w:after="0" w:afterAutospacing="0"/>
        <w:ind w:left="709"/>
        <w:jc w:val="both"/>
        <w:rPr>
          <w:b/>
          <w:bCs/>
        </w:rPr>
      </w:pPr>
      <w:r w:rsidRPr="00907A9A">
        <w:rPr>
          <w:b/>
          <w:bCs/>
        </w:rPr>
        <w:t xml:space="preserve">Výrok rozhodnutia </w:t>
      </w:r>
    </w:p>
    <w:p w:rsidR="00F20D53" w:rsidRPr="00907A9A" w:rsidRDefault="00F20D53" w:rsidP="00F20D53">
      <w:pPr>
        <w:pStyle w:val="c08dispositif"/>
        <w:spacing w:after="240"/>
        <w:ind w:left="709"/>
        <w:jc w:val="both"/>
        <w:rPr>
          <w:bCs/>
        </w:rPr>
      </w:pPr>
      <w:r w:rsidRPr="00907A9A">
        <w:rPr>
          <w:bCs/>
        </w:rPr>
        <w:t xml:space="preserve">1. </w:t>
      </w:r>
      <w:r w:rsidRPr="00907A9A">
        <w:rPr>
          <w:bCs/>
        </w:rPr>
        <w:tab/>
        <w:t xml:space="preserve">Ustanovenia článku 34 ods. 1 písm. a) a b) v spojení s článkom 53 ods. 1 a 3, ako aj článkom 60 ods. 2 prvým </w:t>
      </w:r>
      <w:proofErr w:type="spellStart"/>
      <w:r w:rsidRPr="00907A9A">
        <w:rPr>
          <w:bCs/>
        </w:rPr>
        <w:t>pododsekom</w:t>
      </w:r>
      <w:proofErr w:type="spellEnd"/>
      <w:r w:rsidRPr="00907A9A">
        <w:rPr>
          <w:bCs/>
        </w:rPr>
        <w:t xml:space="preserve"> písm. b) a c)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sa majú vykladať v tom zmysle, že:</w:t>
      </w:r>
    </w:p>
    <w:p w:rsidR="00F20D53" w:rsidRPr="00907A9A" w:rsidRDefault="00F20D53" w:rsidP="00F20D53">
      <w:pPr>
        <w:pStyle w:val="c08dispositif"/>
        <w:spacing w:after="240"/>
        <w:ind w:left="709"/>
        <w:jc w:val="both"/>
        <w:rPr>
          <w:bCs/>
        </w:rPr>
      </w:pPr>
      <w:r w:rsidRPr="00907A9A">
        <w:rPr>
          <w:bCs/>
        </w:rPr>
        <w:t>bránia tomu, aby po úplnom odpísaní akcií tvoriacich základné imanie úverovej inštitúcie podliehajúcej postupu riešenia krízovej situácie podali osoby, ktoré nadobudli kapitálové nástroje, ktoré boli konvertované na akcie tejto úverovej inštitúcie, pred prijatím opatrení na riešenia krízovej situácie, proti uvedenej inštitúcii alebo proti subjektu, ktorý je jej právnym nástupcom, žalobu o náhradu škody spôsobenej chybnými a nesprávnymi informáciami poskytnutými v prospekte podľa článku 6 smernice 2003/71/ES Európskeho parlamentu a Rady zo 4. novembra 2003 o prospekte, ktorý sa zverejňuje pri verejnej ponuke cenných papierov alebo ich prijatí na obchodovanie, a o zmene a doplnení smernice 2001/34/ES, zmenenej smernicou Európskeho parlamentu a Rady 2008/11/ES z 11. marca 2008, alebo žalobu o neplatnosť zmluvy o upísaní týchto kapitálových nástrojov podľa vnútroštátneho práva, ktorá vzhľadom na svoj retroaktívny účinok by viedla k vráteniu protihodnoty pôvodne nadobudnutých kapitálových nástrojov a neskôr konvertovaných na akcie, spolu s úrokmi od dátumu uzavretia tejto zmluvy.</w:t>
      </w:r>
    </w:p>
    <w:p w:rsidR="00F20D53" w:rsidRPr="00907A9A" w:rsidRDefault="00F20D53" w:rsidP="00F20D53">
      <w:pPr>
        <w:pStyle w:val="c08dispositif"/>
        <w:spacing w:after="240"/>
        <w:ind w:left="709"/>
        <w:jc w:val="both"/>
        <w:rPr>
          <w:bCs/>
        </w:rPr>
      </w:pPr>
      <w:r w:rsidRPr="00907A9A">
        <w:rPr>
          <w:bCs/>
        </w:rPr>
        <w:t>2.      Ustanovenia smernice 2014/59, najmä jej článok 34 ods. 1 písm. a) a b), ako aj jej článok 38 sa majú vykladať v tom zmysle, že:</w:t>
      </w:r>
    </w:p>
    <w:p w:rsidR="00F20D53" w:rsidRPr="00907A9A" w:rsidRDefault="00F20D53" w:rsidP="00F20D53">
      <w:pPr>
        <w:pStyle w:val="c08dispositif"/>
        <w:spacing w:after="240"/>
        <w:ind w:left="709"/>
        <w:jc w:val="both"/>
        <w:rPr>
          <w:bCs/>
        </w:rPr>
      </w:pPr>
      <w:r w:rsidRPr="00907A9A">
        <w:rPr>
          <w:bCs/>
        </w:rPr>
        <w:lastRenderedPageBreak/>
        <w:t>bránia tomu, aby po úplnom odpísaní akcií tvoriacich základné imanie úverovej inštitúcie podliehajúcej postupu riešenia krízovej situácie podali osoby, ktoré nadobudli kapitálové nástroje, ktoré boli v rámci tohto postupu konvertované na akcie tejto úverovej inštitúcie, ktoré boli následne prevedené na inú úverovú inštitúciu, proti tejto inej úverovej inštitúcii žalobu o neplatnosť zmluvy o upísaní týchto kapitálových nástrojov podľa vnútroštátneho práva, ktorá by vzhľadom na svoj retroaktívny účinok viedla k vráteniu protihodnoty uvedených kapitálových nástrojov, spolu s úrokmi od dátumu uzavretia tejto zmluvy.</w:t>
      </w:r>
    </w:p>
    <w:p w:rsidR="00703A5A" w:rsidRPr="00907A9A" w:rsidRDefault="00703A5A" w:rsidP="00703A5A">
      <w:pPr>
        <w:spacing w:after="0" w:line="240" w:lineRule="auto"/>
        <w:rPr>
          <w:rFonts w:ascii="Times New Roman" w:eastAsia="Times New Roman" w:hAnsi="Times New Roman" w:cs="Times New Roman"/>
          <w:b/>
          <w:bCs/>
          <w:color w:val="000000"/>
          <w:sz w:val="24"/>
          <w:szCs w:val="24"/>
          <w:lang w:eastAsia="sk-SK"/>
        </w:rPr>
      </w:pPr>
    </w:p>
    <w:p w:rsidR="008545C6" w:rsidRPr="00907A9A" w:rsidRDefault="008545C6" w:rsidP="007B3132">
      <w:pPr>
        <w:pStyle w:val="Odsekzoznamu"/>
        <w:numPr>
          <w:ilvl w:val="0"/>
          <w:numId w:val="1"/>
        </w:numPr>
        <w:spacing w:after="240" w:line="240" w:lineRule="auto"/>
        <w:ind w:left="425" w:hanging="425"/>
        <w:rPr>
          <w:rFonts w:ascii="Times New Roman" w:eastAsia="Times New Roman" w:hAnsi="Times New Roman" w:cs="Times New Roman"/>
          <w:color w:val="000000"/>
          <w:sz w:val="27"/>
          <w:szCs w:val="27"/>
          <w:lang w:eastAsia="sk-SK"/>
        </w:rPr>
      </w:pPr>
      <w:r w:rsidRPr="00907A9A">
        <w:rPr>
          <w:rFonts w:ascii="Times New Roman" w:eastAsia="Times New Roman" w:hAnsi="Times New Roman" w:cs="Times New Roman"/>
          <w:b/>
          <w:bCs/>
          <w:color w:val="000000"/>
          <w:sz w:val="24"/>
          <w:szCs w:val="24"/>
          <w:lang w:eastAsia="sk-SK"/>
        </w:rPr>
        <w:t>Záväzky Slovenskej republiky vo vzťahu k Európskej únii:</w:t>
      </w:r>
    </w:p>
    <w:p w:rsidR="00DB681B" w:rsidRPr="00907A9A" w:rsidRDefault="00EE3B2A" w:rsidP="00DE42A0">
      <w:pPr>
        <w:pStyle w:val="Odsekzoznamu"/>
        <w:numPr>
          <w:ilvl w:val="0"/>
          <w:numId w:val="5"/>
        </w:numPr>
        <w:spacing w:after="240" w:line="240" w:lineRule="auto"/>
        <w:ind w:left="709" w:hanging="283"/>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Lehota</w:t>
      </w:r>
      <w:r w:rsidRPr="00907A9A">
        <w:rPr>
          <w:rFonts w:ascii="Times New Roman" w:eastAsia="Times New Roman" w:hAnsi="Times New Roman" w:cs="Times New Roman"/>
          <w:color w:val="000000"/>
          <w:spacing w:val="82"/>
          <w:sz w:val="24"/>
          <w:szCs w:val="24"/>
          <w:lang w:eastAsia="sk-SK"/>
        </w:rPr>
        <w:t xml:space="preserve"> </w:t>
      </w:r>
      <w:r w:rsidRPr="00907A9A">
        <w:rPr>
          <w:rFonts w:ascii="Times New Roman" w:eastAsia="Times New Roman" w:hAnsi="Times New Roman" w:cs="Times New Roman"/>
          <w:color w:val="000000"/>
          <w:sz w:val="24"/>
          <w:szCs w:val="24"/>
          <w:lang w:eastAsia="sk-SK"/>
        </w:rPr>
        <w:t>na</w:t>
      </w:r>
      <w:r w:rsidRPr="00907A9A">
        <w:rPr>
          <w:rFonts w:ascii="Times New Roman" w:eastAsia="Times New Roman" w:hAnsi="Times New Roman" w:cs="Times New Roman"/>
          <w:color w:val="000000"/>
          <w:spacing w:val="82"/>
          <w:sz w:val="24"/>
          <w:szCs w:val="24"/>
          <w:lang w:eastAsia="sk-SK"/>
        </w:rPr>
        <w:t xml:space="preserve"> </w:t>
      </w:r>
      <w:r w:rsidRPr="00907A9A">
        <w:rPr>
          <w:rFonts w:ascii="Times New Roman" w:hAnsi="Times New Roman" w:cs="Times New Roman"/>
          <w:sz w:val="24"/>
          <w:szCs w:val="24"/>
        </w:rPr>
        <w:t xml:space="preserve">prebratie </w:t>
      </w:r>
      <w:r w:rsidR="000126D1" w:rsidRPr="00907A9A">
        <w:rPr>
          <w:rFonts w:ascii="Times New Roman" w:hAnsi="Times New Roman" w:cs="Times New Roman"/>
          <w:sz w:val="24"/>
          <w:szCs w:val="24"/>
        </w:rPr>
        <w:t>čl.</w:t>
      </w:r>
      <w:r w:rsidR="00DE42A0" w:rsidRPr="00907A9A">
        <w:rPr>
          <w:rFonts w:ascii="Times New Roman" w:hAnsi="Times New Roman" w:cs="Times New Roman"/>
          <w:sz w:val="24"/>
          <w:szCs w:val="24"/>
        </w:rPr>
        <w:t xml:space="preserve"> </w:t>
      </w:r>
      <w:r w:rsidR="000126D1" w:rsidRPr="00907A9A">
        <w:rPr>
          <w:rFonts w:ascii="Times New Roman" w:hAnsi="Times New Roman" w:cs="Times New Roman"/>
          <w:sz w:val="24"/>
          <w:szCs w:val="24"/>
        </w:rPr>
        <w:t>2 nariadenia</w:t>
      </w:r>
      <w:r w:rsidRPr="00907A9A">
        <w:rPr>
          <w:rFonts w:ascii="Times New Roman" w:hAnsi="Times New Roman" w:cs="Times New Roman"/>
          <w:sz w:val="24"/>
          <w:szCs w:val="24"/>
        </w:rPr>
        <w:t xml:space="preserve"> </w:t>
      </w:r>
      <w:r w:rsidR="000126D1" w:rsidRPr="00907A9A">
        <w:rPr>
          <w:rFonts w:ascii="Times New Roman" w:hAnsi="Times New Roman" w:cs="Times New Roman"/>
          <w:sz w:val="24"/>
          <w:szCs w:val="24"/>
        </w:rPr>
        <w:t xml:space="preserve">(EÚ) </w:t>
      </w:r>
      <w:r w:rsidRPr="00907A9A">
        <w:rPr>
          <w:rFonts w:ascii="Times New Roman" w:hAnsi="Times New Roman" w:cs="Times New Roman"/>
          <w:sz w:val="24"/>
          <w:szCs w:val="24"/>
        </w:rPr>
        <w:t>20</w:t>
      </w:r>
      <w:r w:rsidR="000126D1" w:rsidRPr="00907A9A">
        <w:rPr>
          <w:rFonts w:ascii="Times New Roman" w:hAnsi="Times New Roman" w:cs="Times New Roman"/>
          <w:sz w:val="24"/>
          <w:szCs w:val="24"/>
        </w:rPr>
        <w:t>22</w:t>
      </w:r>
      <w:r w:rsidR="00DB681B" w:rsidRPr="00907A9A">
        <w:rPr>
          <w:rFonts w:ascii="Times New Roman" w:hAnsi="Times New Roman" w:cs="Times New Roman"/>
          <w:sz w:val="24"/>
          <w:szCs w:val="24"/>
        </w:rPr>
        <w:t>/</w:t>
      </w:r>
      <w:r w:rsidR="000126D1" w:rsidRPr="00907A9A">
        <w:rPr>
          <w:rFonts w:ascii="Times New Roman" w:hAnsi="Times New Roman" w:cs="Times New Roman"/>
          <w:sz w:val="24"/>
          <w:szCs w:val="24"/>
        </w:rPr>
        <w:t>2036</w:t>
      </w:r>
      <w:r w:rsidRPr="00907A9A">
        <w:rPr>
          <w:rFonts w:ascii="Times New Roman" w:hAnsi="Times New Roman" w:cs="Times New Roman"/>
          <w:sz w:val="24"/>
          <w:szCs w:val="24"/>
        </w:rPr>
        <w:t xml:space="preserve"> </w:t>
      </w:r>
      <w:r w:rsidR="000126D1" w:rsidRPr="00907A9A">
        <w:rPr>
          <w:rFonts w:ascii="Times New Roman" w:hAnsi="Times New Roman" w:cs="Times New Roman"/>
          <w:sz w:val="24"/>
          <w:szCs w:val="24"/>
        </w:rPr>
        <w:t xml:space="preserve">(čl. 2 novelizuje smernicu 2014/59/EÚ) </w:t>
      </w:r>
      <w:r w:rsidRPr="00907A9A">
        <w:rPr>
          <w:rFonts w:ascii="Times New Roman" w:hAnsi="Times New Roman" w:cs="Times New Roman"/>
          <w:sz w:val="24"/>
          <w:szCs w:val="24"/>
        </w:rPr>
        <w:t>je stanovená</w:t>
      </w:r>
      <w:r w:rsidRPr="00907A9A">
        <w:rPr>
          <w:rFonts w:ascii="Times New Roman" w:eastAsia="Times New Roman" w:hAnsi="Times New Roman" w:cs="Times New Roman"/>
          <w:color w:val="000000"/>
          <w:spacing w:val="82"/>
          <w:sz w:val="24"/>
          <w:szCs w:val="24"/>
          <w:lang w:eastAsia="sk-SK"/>
        </w:rPr>
        <w:t xml:space="preserve"> </w:t>
      </w:r>
      <w:r w:rsidRPr="00907A9A">
        <w:rPr>
          <w:rFonts w:ascii="Times New Roman" w:eastAsia="Times New Roman" w:hAnsi="Times New Roman" w:cs="Times New Roman"/>
          <w:color w:val="000000"/>
          <w:sz w:val="24"/>
          <w:szCs w:val="24"/>
          <w:lang w:eastAsia="sk-SK"/>
        </w:rPr>
        <w:t>do</w:t>
      </w:r>
      <w:r w:rsidRPr="00907A9A">
        <w:rPr>
          <w:rFonts w:ascii="Times New Roman" w:eastAsia="Times New Roman" w:hAnsi="Times New Roman" w:cs="Times New Roman"/>
          <w:color w:val="000000"/>
          <w:spacing w:val="82"/>
          <w:sz w:val="24"/>
          <w:szCs w:val="24"/>
          <w:lang w:eastAsia="sk-SK"/>
        </w:rPr>
        <w:t xml:space="preserve"> </w:t>
      </w:r>
      <w:r w:rsidR="003E0300" w:rsidRPr="00907A9A">
        <w:rPr>
          <w:rFonts w:ascii="Times New Roman" w:eastAsia="Times New Roman" w:hAnsi="Times New Roman" w:cs="Times New Roman"/>
          <w:color w:val="000000"/>
          <w:sz w:val="24"/>
          <w:szCs w:val="24"/>
          <w:lang w:eastAsia="sk-SK"/>
        </w:rPr>
        <w:t>15</w:t>
      </w:r>
      <w:r w:rsidRPr="00907A9A">
        <w:rPr>
          <w:rFonts w:ascii="Times New Roman" w:eastAsia="Times New Roman" w:hAnsi="Times New Roman" w:cs="Times New Roman"/>
          <w:color w:val="000000"/>
          <w:sz w:val="24"/>
          <w:szCs w:val="24"/>
          <w:lang w:eastAsia="sk-SK"/>
        </w:rPr>
        <w:t xml:space="preserve">. </w:t>
      </w:r>
      <w:r w:rsidR="003E0300" w:rsidRPr="00907A9A">
        <w:rPr>
          <w:rFonts w:ascii="Times New Roman" w:eastAsia="Times New Roman" w:hAnsi="Times New Roman" w:cs="Times New Roman"/>
          <w:color w:val="000000"/>
          <w:sz w:val="24"/>
          <w:szCs w:val="24"/>
          <w:lang w:eastAsia="sk-SK"/>
        </w:rPr>
        <w:t>novembra</w:t>
      </w:r>
      <w:r w:rsidRPr="00907A9A">
        <w:rPr>
          <w:rFonts w:ascii="Times New Roman" w:eastAsia="Times New Roman" w:hAnsi="Times New Roman" w:cs="Times New Roman"/>
          <w:color w:val="000000"/>
          <w:sz w:val="24"/>
          <w:szCs w:val="24"/>
          <w:lang w:eastAsia="sk-SK"/>
        </w:rPr>
        <w:t xml:space="preserve"> 202</w:t>
      </w:r>
      <w:r w:rsidR="003E0300" w:rsidRPr="00907A9A">
        <w:rPr>
          <w:rFonts w:ascii="Times New Roman" w:eastAsia="Times New Roman" w:hAnsi="Times New Roman" w:cs="Times New Roman"/>
          <w:color w:val="000000"/>
          <w:sz w:val="24"/>
          <w:szCs w:val="24"/>
          <w:lang w:eastAsia="sk-SK"/>
        </w:rPr>
        <w:t>3</w:t>
      </w:r>
      <w:r w:rsidR="00DB681B" w:rsidRPr="00907A9A">
        <w:rPr>
          <w:rFonts w:ascii="Times New Roman" w:eastAsia="Times New Roman" w:hAnsi="Times New Roman" w:cs="Times New Roman"/>
          <w:color w:val="000000"/>
          <w:sz w:val="24"/>
          <w:szCs w:val="24"/>
          <w:lang w:eastAsia="sk-SK"/>
        </w:rPr>
        <w:t>.</w:t>
      </w:r>
    </w:p>
    <w:p w:rsidR="00DD00BC" w:rsidRPr="00907A9A" w:rsidRDefault="00DD00BC" w:rsidP="00DD00BC">
      <w:pPr>
        <w:pStyle w:val="Odsekzoznamu"/>
        <w:spacing w:after="0" w:line="240" w:lineRule="auto"/>
        <w:jc w:val="both"/>
        <w:rPr>
          <w:rFonts w:ascii="Times New Roman" w:hAnsi="Times New Roman" w:cs="Times New Roman"/>
          <w:sz w:val="24"/>
          <w:szCs w:val="24"/>
        </w:rPr>
      </w:pPr>
      <w:r w:rsidRPr="00907A9A">
        <w:rPr>
          <w:rFonts w:ascii="Times New Roman" w:hAnsi="Times New Roman" w:cs="Times New Roman"/>
          <w:sz w:val="24"/>
          <w:szCs w:val="24"/>
        </w:rPr>
        <w:t xml:space="preserve">Lehota na prebratie smernice </w:t>
      </w:r>
      <w:r w:rsidRPr="00907A9A">
        <w:rPr>
          <w:rFonts w:ascii="Times New Roman" w:hAnsi="Times New Roman" w:cs="Times New Roman"/>
          <w:bCs/>
          <w:color w:val="333333"/>
          <w:sz w:val="24"/>
          <w:szCs w:val="24"/>
          <w:shd w:val="clear" w:color="auto" w:fill="FFFFFF"/>
        </w:rPr>
        <w:t xml:space="preserve">(EÚ) </w:t>
      </w:r>
      <w:r w:rsidRPr="00907A9A">
        <w:rPr>
          <w:rFonts w:ascii="Times New Roman" w:eastAsia="Times New Roman" w:hAnsi="Times New Roman" w:cs="Times New Roman"/>
          <w:color w:val="000000"/>
          <w:sz w:val="24"/>
          <w:szCs w:val="24"/>
          <w:lang w:eastAsia="sk-SK"/>
        </w:rPr>
        <w:t xml:space="preserve">2024/1174 </w:t>
      </w:r>
      <w:r w:rsidRPr="00907A9A">
        <w:rPr>
          <w:rFonts w:ascii="Times New Roman" w:hAnsi="Times New Roman" w:cs="Times New Roman"/>
          <w:sz w:val="24"/>
          <w:szCs w:val="24"/>
        </w:rPr>
        <w:t>bola stanovená do</w:t>
      </w:r>
      <w:r w:rsidRPr="00907A9A">
        <w:t xml:space="preserve"> </w:t>
      </w:r>
      <w:r w:rsidRPr="00907A9A">
        <w:rPr>
          <w:rFonts w:ascii="Times New Roman" w:hAnsi="Times New Roman" w:cs="Times New Roman"/>
          <w:sz w:val="24"/>
          <w:szCs w:val="24"/>
        </w:rPr>
        <w:t>13. novembra 2024.</w:t>
      </w:r>
    </w:p>
    <w:p w:rsidR="008E1213" w:rsidRPr="00907A9A" w:rsidRDefault="008E1213" w:rsidP="00DD00BC">
      <w:pPr>
        <w:pStyle w:val="Odsekzoznamu"/>
        <w:spacing w:after="0" w:line="240" w:lineRule="auto"/>
        <w:jc w:val="both"/>
        <w:rPr>
          <w:rFonts w:ascii="Times New Roman" w:eastAsia="Times New Roman" w:hAnsi="Times New Roman" w:cs="Times New Roman"/>
          <w:b/>
          <w:color w:val="000000"/>
          <w:sz w:val="24"/>
          <w:szCs w:val="24"/>
          <w:lang w:eastAsia="sk-SK"/>
        </w:rPr>
      </w:pPr>
      <w:r w:rsidRPr="00907A9A">
        <w:rPr>
          <w:rFonts w:ascii="Times New Roman" w:hAnsi="Times New Roman" w:cs="Times New Roman"/>
          <w:sz w:val="24"/>
          <w:szCs w:val="24"/>
        </w:rPr>
        <w:t xml:space="preserve">Lehota účinnosti bola ustanovená </w:t>
      </w:r>
      <w:r w:rsidRPr="00907A9A">
        <w:rPr>
          <w:rFonts w:ascii="Times New Roman" w:eastAsia="Times New Roman" w:hAnsi="Times New Roman" w:cs="Times New Roman"/>
          <w:color w:val="000000"/>
          <w:sz w:val="24"/>
          <w:szCs w:val="24"/>
          <w:lang w:eastAsia="sk-SK"/>
        </w:rPr>
        <w:t>od 14. novembra 2024.</w:t>
      </w:r>
    </w:p>
    <w:p w:rsidR="000126D1" w:rsidRPr="00907A9A" w:rsidRDefault="000126D1" w:rsidP="000126D1">
      <w:pPr>
        <w:pStyle w:val="Odsekzoznamu"/>
        <w:tabs>
          <w:tab w:val="left" w:pos="360"/>
          <w:tab w:val="left" w:pos="540"/>
        </w:tabs>
        <w:spacing w:after="0" w:line="240" w:lineRule="auto"/>
        <w:jc w:val="both"/>
        <w:rPr>
          <w:rFonts w:ascii="Times New Roman" w:hAnsi="Times New Roman" w:cs="Times New Roman"/>
          <w:sz w:val="24"/>
          <w:szCs w:val="24"/>
        </w:rPr>
      </w:pPr>
      <w:r w:rsidRPr="00907A9A">
        <w:rPr>
          <w:rFonts w:ascii="Times New Roman" w:hAnsi="Times New Roman" w:cs="Times New Roman"/>
          <w:sz w:val="24"/>
          <w:szCs w:val="24"/>
        </w:rPr>
        <w:t>Lehota na prebratie smernice 2014/59/EÚ</w:t>
      </w:r>
      <w:r w:rsidR="00720C31">
        <w:rPr>
          <w:rFonts w:ascii="Times New Roman" w:hAnsi="Times New Roman" w:cs="Times New Roman"/>
          <w:sz w:val="24"/>
          <w:szCs w:val="24"/>
        </w:rPr>
        <w:t xml:space="preserve"> v platnom znení</w:t>
      </w:r>
      <w:r w:rsidRPr="00907A9A">
        <w:rPr>
          <w:rFonts w:ascii="Times New Roman" w:hAnsi="Times New Roman" w:cs="Times New Roman"/>
          <w:sz w:val="24"/>
          <w:szCs w:val="24"/>
        </w:rPr>
        <w:t xml:space="preserve"> bola stanovená do 31. decembra 2014.</w:t>
      </w:r>
    </w:p>
    <w:p w:rsidR="00BE7BE1" w:rsidRPr="00907A9A" w:rsidRDefault="00BE7BE1" w:rsidP="00BE7BE1">
      <w:pPr>
        <w:pStyle w:val="Odsekzoznamu"/>
        <w:tabs>
          <w:tab w:val="left" w:pos="360"/>
          <w:tab w:val="left" w:pos="540"/>
        </w:tabs>
        <w:spacing w:after="0" w:line="240" w:lineRule="auto"/>
        <w:jc w:val="both"/>
        <w:rPr>
          <w:rFonts w:ascii="Times New Roman" w:hAnsi="Times New Roman" w:cs="Times New Roman"/>
          <w:sz w:val="24"/>
          <w:szCs w:val="24"/>
        </w:rPr>
      </w:pPr>
      <w:r w:rsidRPr="00907A9A">
        <w:rPr>
          <w:rFonts w:ascii="Times New Roman" w:hAnsi="Times New Roman" w:cs="Times New Roman"/>
          <w:sz w:val="24"/>
          <w:szCs w:val="24"/>
        </w:rPr>
        <w:t>Lehota účinnosti bola ustanovená od 1. januára 2015. Ustanovenia prijaté s cieľom riadiť sa požiadavkami hlavy IV kapitoly IV oddielu 5 sa uplatňujú najneskôr od 1. januára 2016.</w:t>
      </w:r>
    </w:p>
    <w:p w:rsidR="000126D1" w:rsidRPr="00907A9A" w:rsidRDefault="000126D1" w:rsidP="000126D1">
      <w:pPr>
        <w:pStyle w:val="Odsekzoznamu"/>
        <w:spacing w:after="0" w:line="240" w:lineRule="auto"/>
        <w:jc w:val="both"/>
        <w:rPr>
          <w:rFonts w:ascii="Times New Roman" w:hAnsi="Times New Roman" w:cs="Times New Roman"/>
          <w:sz w:val="24"/>
          <w:szCs w:val="24"/>
        </w:rPr>
      </w:pPr>
      <w:r w:rsidRPr="00907A9A">
        <w:rPr>
          <w:rFonts w:ascii="Times New Roman" w:hAnsi="Times New Roman" w:cs="Times New Roman"/>
          <w:sz w:val="24"/>
          <w:szCs w:val="24"/>
        </w:rPr>
        <w:t xml:space="preserve">Lehota na prebratie smernice </w:t>
      </w:r>
      <w:r w:rsidRPr="00907A9A">
        <w:rPr>
          <w:rFonts w:ascii="Times New Roman" w:hAnsi="Times New Roman" w:cs="Times New Roman"/>
          <w:bCs/>
          <w:color w:val="333333"/>
          <w:sz w:val="24"/>
          <w:szCs w:val="24"/>
          <w:shd w:val="clear" w:color="auto" w:fill="FFFFFF"/>
        </w:rPr>
        <w:t>(EÚ) 2019/879</w:t>
      </w:r>
      <w:r w:rsidR="00720C31">
        <w:rPr>
          <w:rFonts w:ascii="Times New Roman" w:hAnsi="Times New Roman" w:cs="Times New Roman"/>
          <w:bCs/>
          <w:color w:val="333333"/>
          <w:sz w:val="24"/>
          <w:szCs w:val="24"/>
          <w:shd w:val="clear" w:color="auto" w:fill="FFFFFF"/>
        </w:rPr>
        <w:t xml:space="preserve"> v platnom znení</w:t>
      </w:r>
      <w:r w:rsidRPr="00907A9A">
        <w:rPr>
          <w:rFonts w:ascii="Times New Roman" w:hAnsi="Times New Roman" w:cs="Times New Roman"/>
          <w:bCs/>
          <w:color w:val="333333"/>
          <w:sz w:val="24"/>
          <w:szCs w:val="24"/>
          <w:shd w:val="clear" w:color="auto" w:fill="FFFFFF"/>
        </w:rPr>
        <w:t xml:space="preserve"> </w:t>
      </w:r>
      <w:r w:rsidRPr="00907A9A">
        <w:rPr>
          <w:rFonts w:ascii="Times New Roman" w:hAnsi="Times New Roman" w:cs="Times New Roman"/>
          <w:sz w:val="24"/>
          <w:szCs w:val="24"/>
        </w:rPr>
        <w:t>bola stanovená do 28. decembra 2020.</w:t>
      </w:r>
    </w:p>
    <w:p w:rsidR="00F226A8" w:rsidRPr="00907A9A" w:rsidRDefault="00F226A8" w:rsidP="000126D1">
      <w:pPr>
        <w:pStyle w:val="Odsekzoznamu"/>
        <w:spacing w:after="0" w:line="240" w:lineRule="auto"/>
        <w:jc w:val="both"/>
        <w:rPr>
          <w:rFonts w:ascii="Times New Roman" w:hAnsi="Times New Roman" w:cs="Times New Roman"/>
          <w:sz w:val="24"/>
          <w:szCs w:val="24"/>
        </w:rPr>
      </w:pPr>
      <w:r w:rsidRPr="00907A9A">
        <w:rPr>
          <w:rFonts w:ascii="Times New Roman" w:hAnsi="Times New Roman" w:cs="Times New Roman"/>
          <w:sz w:val="24"/>
          <w:szCs w:val="24"/>
        </w:rPr>
        <w:t xml:space="preserve">Článok 1 bod 17 tejto smernice sa uplatňuje, pokiaľ ide o článok 45i ods. 3 smernice 2014/59/EÚ, od 1. januára 2024. </w:t>
      </w:r>
    </w:p>
    <w:p w:rsidR="000B3D64" w:rsidRDefault="000B3D64" w:rsidP="000126D1">
      <w:pPr>
        <w:pStyle w:val="Odsekzoznamu"/>
        <w:spacing w:after="0" w:line="240" w:lineRule="auto"/>
        <w:jc w:val="both"/>
        <w:rPr>
          <w:rFonts w:ascii="Times New Roman" w:hAnsi="Times New Roman" w:cs="Times New Roman"/>
          <w:color w:val="333333"/>
          <w:sz w:val="24"/>
          <w:szCs w:val="24"/>
          <w:shd w:val="clear" w:color="auto" w:fill="FFFFFF"/>
        </w:rPr>
      </w:pPr>
      <w:r w:rsidRPr="00907A9A">
        <w:rPr>
          <w:rFonts w:ascii="Times New Roman" w:hAnsi="Times New Roman" w:cs="Times New Roman"/>
          <w:sz w:val="24"/>
          <w:szCs w:val="24"/>
        </w:rPr>
        <w:t xml:space="preserve">Lehota na prebratie smernice </w:t>
      </w:r>
      <w:r w:rsidRPr="00907A9A">
        <w:rPr>
          <w:rFonts w:ascii="Times New Roman" w:hAnsi="Times New Roman" w:cs="Times New Roman"/>
          <w:bCs/>
          <w:color w:val="333333"/>
          <w:sz w:val="24"/>
          <w:szCs w:val="24"/>
          <w:shd w:val="clear" w:color="auto" w:fill="FFFFFF"/>
        </w:rPr>
        <w:t>(EÚ) 2017/2399</w:t>
      </w:r>
      <w:r w:rsidRPr="00907A9A">
        <w:rPr>
          <w:rFonts w:ascii="Times New Roman" w:hAnsi="Times New Roman" w:cs="Times New Roman"/>
          <w:sz w:val="24"/>
          <w:szCs w:val="24"/>
        </w:rPr>
        <w:t xml:space="preserve"> bola stanovená do</w:t>
      </w:r>
      <w:r w:rsidRPr="00907A9A">
        <w:rPr>
          <w:rFonts w:ascii="Times New Roman" w:hAnsi="Times New Roman" w:cs="Times New Roman"/>
          <w:color w:val="333333"/>
          <w:sz w:val="24"/>
          <w:szCs w:val="24"/>
          <w:shd w:val="clear" w:color="auto" w:fill="FFFFFF"/>
        </w:rPr>
        <w:t xml:space="preserve"> 29. decembra 2018.</w:t>
      </w:r>
    </w:p>
    <w:p w:rsidR="00720C31" w:rsidRPr="006A2C96" w:rsidRDefault="00720C31" w:rsidP="00720C31">
      <w:pPr>
        <w:pStyle w:val="Odsekzoznamu"/>
        <w:spacing w:after="0" w:line="240" w:lineRule="auto"/>
        <w:jc w:val="both"/>
        <w:rPr>
          <w:rFonts w:ascii="Times New Roman" w:hAnsi="Times New Roman" w:cs="Times New Roman"/>
          <w:color w:val="333333"/>
          <w:sz w:val="24"/>
          <w:szCs w:val="24"/>
          <w:shd w:val="clear" w:color="auto" w:fill="FFFFFF"/>
        </w:rPr>
      </w:pPr>
      <w:r w:rsidRPr="00760DDD">
        <w:rPr>
          <w:rFonts w:ascii="Times New Roman" w:hAnsi="Times New Roman" w:cs="Times New Roman"/>
          <w:sz w:val="24"/>
          <w:szCs w:val="24"/>
        </w:rPr>
        <w:t xml:space="preserve">Lehota na prebratie smernice </w:t>
      </w:r>
      <w:r w:rsidRPr="006A2C96">
        <w:rPr>
          <w:rFonts w:ascii="Times New Roman" w:hAnsi="Times New Roman" w:cs="Times New Roman"/>
          <w:bCs/>
          <w:sz w:val="24"/>
          <w:szCs w:val="24"/>
          <w:shd w:val="clear" w:color="auto" w:fill="FFFFFF"/>
        </w:rPr>
        <w:t>2014/49/EÚ</w:t>
      </w:r>
      <w:r w:rsidRPr="00760DDD">
        <w:rPr>
          <w:rFonts w:ascii="Times New Roman" w:hAnsi="Times New Roman" w:cs="Times New Roman"/>
          <w:bCs/>
          <w:sz w:val="24"/>
          <w:szCs w:val="24"/>
          <w:shd w:val="clear" w:color="auto" w:fill="FFFFFF"/>
        </w:rPr>
        <w:t xml:space="preserve"> </w:t>
      </w:r>
      <w:r w:rsidRPr="00760DDD">
        <w:rPr>
          <w:rFonts w:ascii="Times New Roman" w:hAnsi="Times New Roman" w:cs="Times New Roman"/>
          <w:sz w:val="24"/>
          <w:szCs w:val="24"/>
        </w:rPr>
        <w:t>bola stanovená</w:t>
      </w:r>
      <w:r w:rsidRPr="00760DDD">
        <w:rPr>
          <w:rFonts w:ascii="Times New Roman" w:hAnsi="Times New Roman" w:cs="Times New Roman"/>
          <w:bCs/>
          <w:sz w:val="24"/>
          <w:szCs w:val="24"/>
          <w:shd w:val="clear" w:color="auto" w:fill="FFFFFF"/>
        </w:rPr>
        <w:t xml:space="preserve"> </w:t>
      </w:r>
      <w:r w:rsidRPr="006A2C96">
        <w:rPr>
          <w:rFonts w:ascii="Times New Roman" w:hAnsi="Times New Roman" w:cs="Times New Roman"/>
          <w:color w:val="333333"/>
          <w:sz w:val="24"/>
          <w:szCs w:val="24"/>
          <w:shd w:val="clear" w:color="auto" w:fill="FFFFFF"/>
        </w:rPr>
        <w:t>do 3. júla 2015 pokia</w:t>
      </w:r>
      <w:r w:rsidRPr="006A2C96">
        <w:rPr>
          <w:rFonts w:ascii="Times New Roman" w:hAnsi="Times New Roman" w:cs="Times New Roman" w:hint="eastAsia"/>
          <w:color w:val="333333"/>
          <w:sz w:val="24"/>
          <w:szCs w:val="24"/>
          <w:shd w:val="clear" w:color="auto" w:fill="FFFFFF"/>
        </w:rPr>
        <w:t>ľ</w:t>
      </w:r>
      <w:r w:rsidRPr="006A2C96">
        <w:rPr>
          <w:rFonts w:ascii="Times New Roman" w:hAnsi="Times New Roman" w:cs="Times New Roman"/>
          <w:color w:val="333333"/>
          <w:sz w:val="24"/>
          <w:szCs w:val="24"/>
          <w:shd w:val="clear" w:color="auto" w:fill="FFFFFF"/>
        </w:rPr>
        <w:t xml:space="preserve"> ide o  </w:t>
      </w:r>
      <w:r w:rsidRPr="006A2C96">
        <w:rPr>
          <w:rFonts w:ascii="Times New Roman" w:hAnsi="Times New Roman" w:cs="Times New Roman" w:hint="eastAsia"/>
          <w:color w:val="333333"/>
          <w:sz w:val="24"/>
          <w:szCs w:val="24"/>
          <w:shd w:val="clear" w:color="auto" w:fill="FFFFFF"/>
        </w:rPr>
        <w:t>č</w:t>
      </w:r>
      <w:r w:rsidRPr="006A2C96">
        <w:rPr>
          <w:rFonts w:ascii="Times New Roman" w:hAnsi="Times New Roman" w:cs="Times New Roman"/>
          <w:color w:val="333333"/>
          <w:sz w:val="24"/>
          <w:szCs w:val="24"/>
          <w:shd w:val="clear" w:color="auto" w:fill="FFFFFF"/>
        </w:rPr>
        <w:t xml:space="preserve">lánky 1 až 4, </w:t>
      </w:r>
      <w:r w:rsidRPr="006A2C96">
        <w:rPr>
          <w:rFonts w:ascii="Times New Roman" w:hAnsi="Times New Roman" w:cs="Times New Roman" w:hint="eastAsia"/>
          <w:color w:val="333333"/>
          <w:sz w:val="24"/>
          <w:szCs w:val="24"/>
          <w:shd w:val="clear" w:color="auto" w:fill="FFFFFF"/>
        </w:rPr>
        <w:t>č</w:t>
      </w:r>
      <w:r w:rsidRPr="006A2C96">
        <w:rPr>
          <w:rFonts w:ascii="Times New Roman" w:hAnsi="Times New Roman" w:cs="Times New Roman"/>
          <w:color w:val="333333"/>
          <w:sz w:val="24"/>
          <w:szCs w:val="24"/>
          <w:shd w:val="clear" w:color="auto" w:fill="FFFFFF"/>
        </w:rPr>
        <w:t xml:space="preserve">lánok 5 ods. 1 písm. d) až k), </w:t>
      </w:r>
      <w:r w:rsidRPr="00760DDD">
        <w:rPr>
          <w:rFonts w:ascii="Times New Roman" w:hAnsi="Times New Roman" w:cs="Times New Roman"/>
          <w:color w:val="333333"/>
          <w:sz w:val="24"/>
          <w:szCs w:val="24"/>
          <w:shd w:val="clear" w:color="auto" w:fill="FFFFFF"/>
        </w:rPr>
        <w:t xml:space="preserve">článok </w:t>
      </w:r>
      <w:r w:rsidRPr="006A2C96">
        <w:rPr>
          <w:rFonts w:ascii="Times New Roman" w:hAnsi="Times New Roman" w:cs="Times New Roman"/>
          <w:color w:val="333333"/>
          <w:sz w:val="24"/>
          <w:szCs w:val="24"/>
          <w:shd w:val="clear" w:color="auto" w:fill="FFFFFF"/>
        </w:rPr>
        <w:t xml:space="preserve">5 ods. 2, 3 a 4, </w:t>
      </w:r>
      <w:r w:rsidRPr="00760DDD">
        <w:rPr>
          <w:rFonts w:ascii="Times New Roman" w:hAnsi="Times New Roman" w:cs="Times New Roman"/>
          <w:color w:val="333333"/>
          <w:sz w:val="24"/>
          <w:szCs w:val="24"/>
          <w:shd w:val="clear" w:color="auto" w:fill="FFFFFF"/>
        </w:rPr>
        <w:t xml:space="preserve">článok </w:t>
      </w:r>
      <w:r w:rsidRPr="006A2C96">
        <w:rPr>
          <w:rFonts w:ascii="Times New Roman" w:hAnsi="Times New Roman" w:cs="Times New Roman"/>
          <w:color w:val="333333"/>
          <w:sz w:val="24"/>
          <w:szCs w:val="24"/>
          <w:shd w:val="clear" w:color="auto" w:fill="FFFFFF"/>
        </w:rPr>
        <w:t xml:space="preserve">6 ods. 2 až 7, </w:t>
      </w:r>
      <w:r w:rsidRPr="00760DDD">
        <w:rPr>
          <w:rFonts w:ascii="Times New Roman" w:hAnsi="Times New Roman" w:cs="Times New Roman"/>
          <w:color w:val="333333"/>
          <w:sz w:val="24"/>
          <w:szCs w:val="24"/>
          <w:shd w:val="clear" w:color="auto" w:fill="FFFFFF"/>
        </w:rPr>
        <w:t xml:space="preserve">článok </w:t>
      </w:r>
      <w:r w:rsidRPr="006A2C96">
        <w:rPr>
          <w:rFonts w:ascii="Times New Roman" w:hAnsi="Times New Roman" w:cs="Times New Roman"/>
          <w:color w:val="333333"/>
          <w:sz w:val="24"/>
          <w:szCs w:val="24"/>
          <w:shd w:val="clear" w:color="auto" w:fill="FFFFFF"/>
        </w:rPr>
        <w:t xml:space="preserve">7 ods. 4 až 9, </w:t>
      </w:r>
      <w:r w:rsidRPr="006A2C96">
        <w:rPr>
          <w:rFonts w:ascii="Times New Roman" w:hAnsi="Times New Roman" w:cs="Times New Roman" w:hint="eastAsia"/>
          <w:color w:val="333333"/>
          <w:sz w:val="24"/>
          <w:szCs w:val="24"/>
          <w:shd w:val="clear" w:color="auto" w:fill="FFFFFF"/>
        </w:rPr>
        <w:t>č</w:t>
      </w:r>
      <w:r w:rsidRPr="006A2C96">
        <w:rPr>
          <w:rFonts w:ascii="Times New Roman" w:hAnsi="Times New Roman" w:cs="Times New Roman"/>
          <w:color w:val="333333"/>
          <w:sz w:val="24"/>
          <w:szCs w:val="24"/>
          <w:shd w:val="clear" w:color="auto" w:fill="FFFFFF"/>
        </w:rPr>
        <w:t>lán</w:t>
      </w:r>
      <w:r w:rsidRPr="00760DDD">
        <w:rPr>
          <w:rFonts w:ascii="Times New Roman" w:hAnsi="Times New Roman" w:cs="Times New Roman"/>
          <w:color w:val="333333"/>
          <w:sz w:val="24"/>
          <w:szCs w:val="24"/>
          <w:shd w:val="clear" w:color="auto" w:fill="FFFFFF"/>
        </w:rPr>
        <w:t>ok</w:t>
      </w:r>
      <w:r w:rsidRPr="006A2C96">
        <w:rPr>
          <w:rFonts w:ascii="Times New Roman" w:hAnsi="Times New Roman" w:cs="Times New Roman"/>
          <w:color w:val="333333"/>
          <w:sz w:val="24"/>
          <w:szCs w:val="24"/>
          <w:shd w:val="clear" w:color="auto" w:fill="FFFFFF"/>
        </w:rPr>
        <w:t xml:space="preserve"> 8 ods. 1, 2, 3, 5, 6, 7 a 9, </w:t>
      </w:r>
      <w:r w:rsidRPr="00760DDD">
        <w:rPr>
          <w:rFonts w:ascii="Times New Roman" w:hAnsi="Times New Roman" w:cs="Times New Roman"/>
          <w:color w:val="333333"/>
          <w:sz w:val="24"/>
          <w:szCs w:val="24"/>
          <w:shd w:val="clear" w:color="auto" w:fill="FFFFFF"/>
        </w:rPr>
        <w:t xml:space="preserve">článok </w:t>
      </w:r>
      <w:r w:rsidRPr="006A2C96">
        <w:rPr>
          <w:rFonts w:ascii="Times New Roman" w:hAnsi="Times New Roman" w:cs="Times New Roman"/>
          <w:color w:val="333333"/>
          <w:sz w:val="24"/>
          <w:szCs w:val="24"/>
          <w:shd w:val="clear" w:color="auto" w:fill="FFFFFF"/>
        </w:rPr>
        <w:t xml:space="preserve">9 ods. 2 a 3, </w:t>
      </w:r>
      <w:r w:rsidRPr="006A2C96">
        <w:rPr>
          <w:rFonts w:ascii="Times New Roman" w:hAnsi="Times New Roman" w:cs="Times New Roman" w:hint="eastAsia"/>
          <w:color w:val="333333"/>
          <w:sz w:val="24"/>
          <w:szCs w:val="24"/>
          <w:shd w:val="clear" w:color="auto" w:fill="FFFFFF"/>
        </w:rPr>
        <w:t>č</w:t>
      </w:r>
      <w:r w:rsidRPr="006A2C96">
        <w:rPr>
          <w:rFonts w:ascii="Times New Roman" w:hAnsi="Times New Roman" w:cs="Times New Roman"/>
          <w:color w:val="333333"/>
          <w:sz w:val="24"/>
          <w:szCs w:val="24"/>
          <w:shd w:val="clear" w:color="auto" w:fill="FFFFFF"/>
        </w:rPr>
        <w:t>lánk</w:t>
      </w:r>
      <w:r w:rsidRPr="00760DDD">
        <w:rPr>
          <w:rFonts w:ascii="Times New Roman" w:hAnsi="Times New Roman" w:cs="Times New Roman"/>
          <w:color w:val="333333"/>
          <w:sz w:val="24"/>
          <w:szCs w:val="24"/>
          <w:shd w:val="clear" w:color="auto" w:fill="FFFFFF"/>
        </w:rPr>
        <w:t>y</w:t>
      </w:r>
      <w:r w:rsidRPr="006A2C96">
        <w:rPr>
          <w:rFonts w:ascii="Times New Roman" w:hAnsi="Times New Roman" w:cs="Times New Roman"/>
          <w:color w:val="333333"/>
          <w:sz w:val="24"/>
          <w:szCs w:val="24"/>
          <w:shd w:val="clear" w:color="auto" w:fill="FFFFFF"/>
        </w:rPr>
        <w:t xml:space="preserve"> 10 až 16, </w:t>
      </w:r>
      <w:r w:rsidRPr="006A2C96">
        <w:rPr>
          <w:rFonts w:ascii="Times New Roman" w:hAnsi="Times New Roman" w:cs="Times New Roman" w:hint="eastAsia"/>
          <w:color w:val="333333"/>
          <w:sz w:val="24"/>
          <w:szCs w:val="24"/>
          <w:shd w:val="clear" w:color="auto" w:fill="FFFFFF"/>
        </w:rPr>
        <w:t>č</w:t>
      </w:r>
      <w:r w:rsidRPr="006A2C96">
        <w:rPr>
          <w:rFonts w:ascii="Times New Roman" w:hAnsi="Times New Roman" w:cs="Times New Roman"/>
          <w:color w:val="333333"/>
          <w:sz w:val="24"/>
          <w:szCs w:val="24"/>
          <w:shd w:val="clear" w:color="auto" w:fill="FFFFFF"/>
        </w:rPr>
        <w:t>lánk</w:t>
      </w:r>
      <w:r w:rsidRPr="00760DDD">
        <w:rPr>
          <w:rFonts w:ascii="Times New Roman" w:hAnsi="Times New Roman" w:cs="Times New Roman"/>
          <w:color w:val="333333"/>
          <w:sz w:val="24"/>
          <w:szCs w:val="24"/>
          <w:shd w:val="clear" w:color="auto" w:fill="FFFFFF"/>
        </w:rPr>
        <w:t>y</w:t>
      </w:r>
      <w:r w:rsidRPr="006A2C96">
        <w:rPr>
          <w:rFonts w:ascii="Times New Roman" w:hAnsi="Times New Roman" w:cs="Times New Roman"/>
          <w:color w:val="333333"/>
          <w:sz w:val="24"/>
          <w:szCs w:val="24"/>
          <w:shd w:val="clear" w:color="auto" w:fill="FFFFFF"/>
        </w:rPr>
        <w:t xml:space="preserve"> 18 a 19 a prílohu I.</w:t>
      </w:r>
      <w:r w:rsidRPr="00760DDD">
        <w:rPr>
          <w:rFonts w:ascii="Times New Roman" w:hAnsi="Times New Roman" w:cs="Times New Roman"/>
          <w:color w:val="333333"/>
          <w:sz w:val="24"/>
          <w:szCs w:val="24"/>
          <w:shd w:val="clear" w:color="auto" w:fill="FFFFFF"/>
        </w:rPr>
        <w:t xml:space="preserve"> Pre </w:t>
      </w:r>
      <w:r w:rsidRPr="006A2C96">
        <w:rPr>
          <w:rFonts w:ascii="Times New Roman" w:hAnsi="Times New Roman" w:cs="Times New Roman" w:hint="eastAsia"/>
          <w:color w:val="333333"/>
          <w:sz w:val="24"/>
          <w:szCs w:val="24"/>
          <w:shd w:val="clear" w:color="auto" w:fill="FFFFFF"/>
        </w:rPr>
        <w:t>č</w:t>
      </w:r>
      <w:r w:rsidRPr="006A2C96">
        <w:rPr>
          <w:rFonts w:ascii="Times New Roman" w:hAnsi="Times New Roman" w:cs="Times New Roman"/>
          <w:color w:val="333333"/>
          <w:sz w:val="24"/>
          <w:szCs w:val="24"/>
          <w:shd w:val="clear" w:color="auto" w:fill="FFFFFF"/>
        </w:rPr>
        <w:t>lánok 8 ods. 4</w:t>
      </w:r>
      <w:r w:rsidRPr="00760DDD">
        <w:rPr>
          <w:rFonts w:ascii="Times New Roman" w:hAnsi="Times New Roman" w:cs="Times New Roman"/>
          <w:color w:val="333333"/>
          <w:sz w:val="24"/>
          <w:szCs w:val="24"/>
          <w:shd w:val="clear" w:color="auto" w:fill="FFFFFF"/>
        </w:rPr>
        <w:t xml:space="preserve"> bola stanovená transpozičná lehota do 31. mája 2016.</w:t>
      </w:r>
    </w:p>
    <w:p w:rsidR="00720C31" w:rsidRPr="00720C31" w:rsidRDefault="00720C31" w:rsidP="00720C31">
      <w:pPr>
        <w:spacing w:after="0" w:line="240" w:lineRule="auto"/>
        <w:jc w:val="both"/>
        <w:rPr>
          <w:rFonts w:ascii="Times New Roman" w:eastAsia="Times New Roman" w:hAnsi="Times New Roman" w:cs="Times New Roman"/>
          <w:color w:val="000000"/>
          <w:sz w:val="24"/>
          <w:szCs w:val="24"/>
          <w:lang w:eastAsia="sk-SK"/>
        </w:rPr>
      </w:pPr>
    </w:p>
    <w:p w:rsidR="00DD00BC" w:rsidRPr="00907A9A" w:rsidRDefault="00DD00BC" w:rsidP="00703A5A">
      <w:pPr>
        <w:pStyle w:val="Odsekzoznamu"/>
        <w:spacing w:after="0" w:line="240" w:lineRule="auto"/>
        <w:jc w:val="both"/>
        <w:rPr>
          <w:rFonts w:ascii="Times New Roman" w:eastAsia="Times New Roman" w:hAnsi="Times New Roman" w:cs="Times New Roman"/>
          <w:color w:val="000000"/>
          <w:sz w:val="24"/>
          <w:szCs w:val="24"/>
          <w:lang w:eastAsia="sk-SK"/>
        </w:rPr>
      </w:pPr>
    </w:p>
    <w:p w:rsidR="008545C6" w:rsidRPr="00907A9A" w:rsidRDefault="002B251D" w:rsidP="008545C6">
      <w:pPr>
        <w:pStyle w:val="Odsekzoznamu"/>
        <w:numPr>
          <w:ilvl w:val="0"/>
          <w:numId w:val="5"/>
        </w:numPr>
        <w:spacing w:after="0" w:line="240" w:lineRule="auto"/>
        <w:rPr>
          <w:rFonts w:ascii="Times New Roman" w:eastAsia="Times New Roman" w:hAnsi="Times New Roman" w:cs="Times New Roman"/>
          <w:color w:val="000000"/>
          <w:sz w:val="24"/>
          <w:szCs w:val="24"/>
          <w:lang w:eastAsia="sk-SK"/>
        </w:rPr>
      </w:pPr>
      <w:r w:rsidRPr="00907A9A">
        <w:rPr>
          <w:rFonts w:ascii="Times New Roman" w:hAnsi="Times New Roman" w:cs="Times New Roman"/>
          <w:sz w:val="24"/>
          <w:szCs w:val="24"/>
        </w:rPr>
        <w:t xml:space="preserve">Proti SR </w:t>
      </w:r>
      <w:r w:rsidR="00FC287C" w:rsidRPr="00907A9A">
        <w:rPr>
          <w:rFonts w:ascii="Times New Roman" w:hAnsi="Times New Roman" w:cs="Times New Roman"/>
          <w:sz w:val="24"/>
          <w:szCs w:val="24"/>
        </w:rPr>
        <w:t>bolo začaté konanie o porušení Zmluvy o fungovaní Euró</w:t>
      </w:r>
      <w:r w:rsidR="00A22AD7" w:rsidRPr="00907A9A">
        <w:rPr>
          <w:rFonts w:ascii="Times New Roman" w:hAnsi="Times New Roman" w:cs="Times New Roman"/>
          <w:sz w:val="24"/>
          <w:szCs w:val="24"/>
        </w:rPr>
        <w:t>pskej únie podľa čl. 258 až 260:</w:t>
      </w:r>
    </w:p>
    <w:p w:rsidR="00A22AD7" w:rsidRPr="00907A9A" w:rsidRDefault="002B251D" w:rsidP="00A22AD7">
      <w:pPr>
        <w:pStyle w:val="Odsekzoznamu"/>
        <w:spacing w:after="0" w:line="240" w:lineRule="auto"/>
        <w:rPr>
          <w:rFonts w:ascii="Times New Roman" w:hAnsi="Times New Roman" w:cs="Times New Roman"/>
          <w:bCs/>
          <w:sz w:val="24"/>
          <w:szCs w:val="24"/>
        </w:rPr>
      </w:pPr>
      <w:r w:rsidRPr="00907A9A">
        <w:rPr>
          <w:rFonts w:ascii="Times New Roman" w:hAnsi="Times New Roman" w:cs="Times New Roman"/>
          <w:color w:val="000000"/>
          <w:sz w:val="24"/>
          <w:szCs w:val="24"/>
        </w:rPr>
        <w:t>- konanie č. INF(2024)2186</w:t>
      </w:r>
      <w:r w:rsidRPr="00907A9A">
        <w:rPr>
          <w:sz w:val="24"/>
          <w:szCs w:val="24"/>
        </w:rPr>
        <w:t xml:space="preserve"> </w:t>
      </w:r>
      <w:r w:rsidRPr="00907A9A">
        <w:rPr>
          <w:rFonts w:ascii="Times New Roman" w:hAnsi="Times New Roman" w:cs="Times New Roman"/>
          <w:color w:val="000000"/>
          <w:sz w:val="24"/>
          <w:szCs w:val="24"/>
        </w:rPr>
        <w:t>v súvislosti s</w:t>
      </w:r>
      <w:r w:rsidR="00AE1011" w:rsidRPr="00907A9A">
        <w:rPr>
          <w:rFonts w:ascii="Times New Roman" w:hAnsi="Times New Roman" w:cs="Times New Roman"/>
          <w:color w:val="000000"/>
          <w:sz w:val="24"/>
          <w:szCs w:val="24"/>
        </w:rPr>
        <w:t> chýbajúcou transpozíciou</w:t>
      </w:r>
      <w:r w:rsidRPr="00907A9A">
        <w:rPr>
          <w:rFonts w:ascii="Times New Roman" w:hAnsi="Times New Roman" w:cs="Times New Roman"/>
          <w:color w:val="000000"/>
          <w:sz w:val="24"/>
          <w:szCs w:val="24"/>
        </w:rPr>
        <w:t xml:space="preserve"> </w:t>
      </w:r>
      <w:r w:rsidR="00A22AD7" w:rsidRPr="00907A9A">
        <w:rPr>
          <w:rFonts w:ascii="Times New Roman" w:hAnsi="Times New Roman" w:cs="Times New Roman"/>
          <w:color w:val="000000"/>
          <w:sz w:val="24"/>
          <w:szCs w:val="24"/>
        </w:rPr>
        <w:t xml:space="preserve">nariadenia </w:t>
      </w:r>
      <w:r w:rsidR="00A22AD7" w:rsidRPr="00907A9A">
        <w:rPr>
          <w:rFonts w:ascii="Times New Roman" w:eastAsia="Times New Roman" w:hAnsi="Times New Roman" w:cs="Times New Roman"/>
          <w:color w:val="000000"/>
          <w:sz w:val="24"/>
          <w:szCs w:val="24"/>
          <w:lang w:eastAsia="sk-SK"/>
        </w:rPr>
        <w:t>(EÚ) 2022/2036 (</w:t>
      </w:r>
      <w:r w:rsidR="00A91CDB" w:rsidRPr="00907A9A">
        <w:rPr>
          <w:rFonts w:ascii="Times New Roman" w:eastAsia="Times New Roman" w:hAnsi="Times New Roman" w:cs="Times New Roman"/>
          <w:color w:val="000000"/>
          <w:sz w:val="24"/>
          <w:szCs w:val="24"/>
          <w:lang w:eastAsia="sk-SK"/>
        </w:rPr>
        <w:t xml:space="preserve">novelizácia </w:t>
      </w:r>
      <w:r w:rsidR="00A22AD7" w:rsidRPr="00907A9A">
        <w:rPr>
          <w:rFonts w:ascii="Times New Roman" w:eastAsia="Times New Roman" w:hAnsi="Times New Roman" w:cs="Times New Roman"/>
          <w:color w:val="000000"/>
          <w:sz w:val="24"/>
          <w:szCs w:val="24"/>
          <w:lang w:eastAsia="sk-SK"/>
        </w:rPr>
        <w:t>smernic</w:t>
      </w:r>
      <w:r w:rsidR="00A91CDB" w:rsidRPr="00907A9A">
        <w:rPr>
          <w:rFonts w:ascii="Times New Roman" w:eastAsia="Times New Roman" w:hAnsi="Times New Roman" w:cs="Times New Roman"/>
          <w:color w:val="000000"/>
          <w:sz w:val="24"/>
          <w:szCs w:val="24"/>
          <w:lang w:eastAsia="sk-SK"/>
        </w:rPr>
        <w:t>e</w:t>
      </w:r>
      <w:r w:rsidR="00A22AD7" w:rsidRPr="00907A9A">
        <w:rPr>
          <w:rFonts w:ascii="Times New Roman" w:eastAsia="Times New Roman" w:hAnsi="Times New Roman" w:cs="Times New Roman"/>
          <w:color w:val="000000"/>
          <w:sz w:val="24"/>
          <w:szCs w:val="24"/>
          <w:lang w:eastAsia="sk-SK"/>
        </w:rPr>
        <w:t xml:space="preserve"> 2014/59/EÚ).</w:t>
      </w:r>
    </w:p>
    <w:p w:rsidR="00A22AD7" w:rsidRPr="00907A9A" w:rsidRDefault="00A22AD7" w:rsidP="00A22AD7">
      <w:pPr>
        <w:pStyle w:val="Odsekzoznamu"/>
        <w:spacing w:after="0" w:line="240" w:lineRule="auto"/>
        <w:rPr>
          <w:rFonts w:ascii="Times New Roman" w:hAnsi="Times New Roman" w:cs="Times New Roman"/>
          <w:bCs/>
          <w:sz w:val="24"/>
          <w:szCs w:val="24"/>
        </w:rPr>
      </w:pPr>
    </w:p>
    <w:p w:rsidR="0061194C" w:rsidRPr="00907A9A" w:rsidRDefault="00A22AD7" w:rsidP="00EF5411">
      <w:pPr>
        <w:pStyle w:val="Odsekzoznamu"/>
        <w:numPr>
          <w:ilvl w:val="0"/>
          <w:numId w:val="5"/>
        </w:numPr>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hAnsi="Times New Roman" w:cs="Times New Roman"/>
          <w:bCs/>
          <w:sz w:val="24"/>
          <w:szCs w:val="24"/>
        </w:rPr>
        <w:t xml:space="preserve">Smernica </w:t>
      </w:r>
      <w:r w:rsidR="0061194C" w:rsidRPr="00907A9A">
        <w:rPr>
          <w:rFonts w:ascii="Times New Roman" w:hAnsi="Times New Roman" w:cs="Times New Roman"/>
          <w:bCs/>
          <w:sz w:val="24"/>
          <w:szCs w:val="24"/>
        </w:rPr>
        <w:t xml:space="preserve">2014/59/EÚ </w:t>
      </w:r>
      <w:r w:rsidR="00720C31">
        <w:rPr>
          <w:rFonts w:ascii="Times New Roman" w:hAnsi="Times New Roman" w:cs="Times New Roman"/>
          <w:bCs/>
          <w:sz w:val="24"/>
          <w:szCs w:val="24"/>
        </w:rPr>
        <w:t xml:space="preserve">v platnom znení </w:t>
      </w:r>
      <w:r w:rsidR="0061194C" w:rsidRPr="00907A9A">
        <w:rPr>
          <w:rFonts w:ascii="Times New Roman" w:hAnsi="Times New Roman" w:cs="Times New Roman"/>
          <w:bCs/>
          <w:sz w:val="24"/>
          <w:szCs w:val="24"/>
        </w:rPr>
        <w:t>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sidR="00073292" w:rsidRPr="00907A9A">
        <w:rPr>
          <w:rFonts w:ascii="Times New Roman" w:hAnsi="Times New Roman" w:cs="Times New Roman"/>
          <w:bCs/>
          <w:sz w:val="24"/>
          <w:szCs w:val="24"/>
        </w:rPr>
        <w:t xml:space="preserve">, </w:t>
      </w:r>
      <w:r w:rsidR="00073292" w:rsidRPr="00907A9A">
        <w:rPr>
          <w:rFonts w:ascii="Times New Roman" w:hAnsi="Times New Roman" w:cs="Times New Roman"/>
          <w:bCs/>
          <w:sz w:val="24"/>
          <w:szCs w:val="24"/>
          <w:shd w:val="clear" w:color="auto" w:fill="FFFFFF"/>
        </w:rPr>
        <w:t>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w:t>
      </w:r>
      <w:r w:rsidR="0061194C" w:rsidRPr="00907A9A">
        <w:rPr>
          <w:rFonts w:ascii="Times New Roman" w:hAnsi="Times New Roman" w:cs="Times New Roman"/>
          <w:bCs/>
          <w:sz w:val="24"/>
          <w:szCs w:val="24"/>
        </w:rPr>
        <w:t xml:space="preserve"> a do </w:t>
      </w:r>
      <w:r w:rsidR="0061194C" w:rsidRPr="00907A9A">
        <w:rPr>
          <w:rFonts w:ascii="Times New Roman" w:hAnsi="Times New Roman" w:cs="Times New Roman"/>
          <w:sz w:val="24"/>
          <w:szCs w:val="24"/>
        </w:rPr>
        <w:t>zákona č. 7/2005 Z. z. o konkurze a reštrukturalizácii a o zmene a doplnení niektorých zákonov</w:t>
      </w:r>
      <w:r w:rsidR="002B5F41" w:rsidRPr="00907A9A">
        <w:rPr>
          <w:rFonts w:ascii="Times New Roman" w:hAnsi="Times New Roman" w:cs="Times New Roman"/>
          <w:sz w:val="24"/>
          <w:szCs w:val="24"/>
        </w:rPr>
        <w:t xml:space="preserve"> </w:t>
      </w:r>
      <w:r w:rsidR="002B5F41" w:rsidRPr="00907A9A">
        <w:rPr>
          <w:rFonts w:ascii="Times New Roman" w:hAnsi="Times New Roman" w:cs="Times New Roman"/>
          <w:bCs/>
          <w:sz w:val="24"/>
          <w:szCs w:val="24"/>
        </w:rPr>
        <w:t>v znení neskorších predpisov</w:t>
      </w:r>
      <w:r w:rsidR="0061194C" w:rsidRPr="00907A9A">
        <w:rPr>
          <w:rFonts w:ascii="Times New Roman" w:hAnsi="Times New Roman" w:cs="Times New Roman"/>
          <w:sz w:val="24"/>
          <w:szCs w:val="24"/>
        </w:rPr>
        <w:t>.</w:t>
      </w:r>
    </w:p>
    <w:p w:rsidR="00E91772" w:rsidRPr="00907A9A" w:rsidRDefault="00E91772" w:rsidP="00E91772">
      <w:pPr>
        <w:pStyle w:val="Odsekzoznamu"/>
        <w:rPr>
          <w:rFonts w:ascii="Times New Roman" w:eastAsia="Times New Roman" w:hAnsi="Times New Roman" w:cs="Times New Roman"/>
          <w:color w:val="000000"/>
          <w:sz w:val="24"/>
          <w:szCs w:val="24"/>
          <w:lang w:eastAsia="sk-SK"/>
        </w:rPr>
      </w:pPr>
    </w:p>
    <w:p w:rsidR="00E91772" w:rsidRPr="00907A9A" w:rsidRDefault="00E91772" w:rsidP="00E91772">
      <w:pPr>
        <w:pStyle w:val="Odsekzoznamu"/>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hAnsi="Times New Roman" w:cs="Times New Roman"/>
          <w:bCs/>
          <w:sz w:val="24"/>
          <w:szCs w:val="24"/>
          <w:shd w:val="clear" w:color="auto" w:fill="FFFFFF"/>
        </w:rPr>
        <w:lastRenderedPageBreak/>
        <w:t xml:space="preserve">Smernica </w:t>
      </w:r>
      <w:r w:rsidRPr="00907A9A">
        <w:rPr>
          <w:rFonts w:ascii="Times New Roman" w:hAnsi="Times New Roman" w:cs="Times New Roman"/>
          <w:bCs/>
          <w:color w:val="333333"/>
          <w:sz w:val="24"/>
          <w:szCs w:val="24"/>
          <w:shd w:val="clear" w:color="auto" w:fill="FFFFFF"/>
        </w:rPr>
        <w:t xml:space="preserve">(EÚ) 2019/879 </w:t>
      </w:r>
      <w:r w:rsidR="00720C31">
        <w:rPr>
          <w:rFonts w:ascii="Times New Roman" w:hAnsi="Times New Roman" w:cs="Times New Roman"/>
          <w:bCs/>
          <w:color w:val="333333"/>
          <w:sz w:val="24"/>
          <w:szCs w:val="24"/>
          <w:shd w:val="clear" w:color="auto" w:fill="FFFFFF"/>
        </w:rPr>
        <w:t xml:space="preserve"> v platnom znení </w:t>
      </w:r>
      <w:r w:rsidRPr="00907A9A">
        <w:rPr>
          <w:rFonts w:ascii="Times New Roman" w:hAnsi="Times New Roman" w:cs="Times New Roman"/>
          <w:bCs/>
          <w:sz w:val="24"/>
          <w:szCs w:val="24"/>
          <w:shd w:val="clear" w:color="auto" w:fill="FFFFFF"/>
        </w:rPr>
        <w:t>bola prebratá do zákona č. 371/2014 Z. z. o riešení krízových situácií na finančnom trhu o zmene a doplnení niektorých zákonov v znení neskorších predpisov</w:t>
      </w:r>
      <w:r w:rsidR="00B170D3" w:rsidRPr="00907A9A">
        <w:rPr>
          <w:rFonts w:ascii="Times New Roman" w:hAnsi="Times New Roman" w:cs="Times New Roman"/>
          <w:bCs/>
          <w:sz w:val="24"/>
          <w:szCs w:val="24"/>
          <w:shd w:val="clear" w:color="auto" w:fill="FFFFFF"/>
        </w:rPr>
        <w:t>,</w:t>
      </w:r>
      <w:r w:rsidRPr="00907A9A">
        <w:rPr>
          <w:rFonts w:ascii="Times New Roman" w:hAnsi="Times New Roman" w:cs="Times New Roman"/>
          <w:bCs/>
          <w:sz w:val="24"/>
          <w:szCs w:val="24"/>
          <w:shd w:val="clear" w:color="auto" w:fill="FFFFFF"/>
        </w:rPr>
        <w:t xml:space="preserve"> do zákona č. </w:t>
      </w:r>
      <w:r w:rsidRPr="00907A9A">
        <w:rPr>
          <w:rFonts w:ascii="Times New Roman" w:eastAsia="Times New Roman" w:hAnsi="Times New Roman" w:cs="Times New Roman"/>
          <w:color w:val="000000"/>
          <w:sz w:val="24"/>
          <w:szCs w:val="24"/>
          <w:lang w:eastAsia="sk-SK"/>
        </w:rPr>
        <w:t>7/2005 Z. z. o konkurze a reštrukturalizácii a o zmene a doplnení niektorých zákonov v znení neskorších predpisov</w:t>
      </w:r>
      <w:r w:rsidR="00B170D3" w:rsidRPr="00907A9A">
        <w:rPr>
          <w:rFonts w:ascii="Times New Roman" w:eastAsia="Times New Roman" w:hAnsi="Times New Roman" w:cs="Times New Roman"/>
          <w:color w:val="000000"/>
          <w:sz w:val="24"/>
          <w:szCs w:val="24"/>
          <w:lang w:eastAsia="sk-SK"/>
        </w:rPr>
        <w:t xml:space="preserve"> a  </w:t>
      </w:r>
      <w:r w:rsidR="00B170D3" w:rsidRPr="00907A9A">
        <w:rPr>
          <w:rFonts w:ascii="Times New Roman" w:hAnsi="Times New Roman" w:cs="Times New Roman"/>
          <w:bCs/>
          <w:sz w:val="24"/>
          <w:szCs w:val="24"/>
        </w:rPr>
        <w:t>do zákona č. 566/2001 Z. z. o cenných papieroch a investičných službách a o zmene a doplnení niektorých zákonov (zákon o cenných papieroch) v znení neskorších predpisov</w:t>
      </w:r>
      <w:r w:rsidRPr="00907A9A">
        <w:rPr>
          <w:rFonts w:ascii="Times New Roman" w:eastAsia="Times New Roman" w:hAnsi="Times New Roman" w:cs="Times New Roman"/>
          <w:color w:val="000000"/>
          <w:sz w:val="24"/>
          <w:szCs w:val="24"/>
          <w:lang w:eastAsia="sk-SK"/>
        </w:rPr>
        <w:t>.</w:t>
      </w:r>
    </w:p>
    <w:p w:rsidR="00E91772" w:rsidRPr="00907A9A" w:rsidRDefault="00E91772" w:rsidP="00E91772">
      <w:pPr>
        <w:pStyle w:val="Odsekzoznamu"/>
        <w:spacing w:after="0" w:line="240" w:lineRule="auto"/>
        <w:jc w:val="both"/>
        <w:rPr>
          <w:rFonts w:ascii="Times New Roman" w:eastAsia="Times New Roman" w:hAnsi="Times New Roman" w:cs="Times New Roman"/>
          <w:color w:val="000000"/>
          <w:sz w:val="24"/>
          <w:szCs w:val="24"/>
          <w:lang w:eastAsia="sk-SK"/>
        </w:rPr>
      </w:pPr>
    </w:p>
    <w:p w:rsidR="00703A5A" w:rsidRDefault="000B3D64" w:rsidP="00720C31">
      <w:pPr>
        <w:pStyle w:val="Odsekzoznamu"/>
        <w:spacing w:after="0" w:line="240" w:lineRule="auto"/>
        <w:jc w:val="both"/>
        <w:rPr>
          <w:rFonts w:ascii="Times New Roman" w:eastAsia="Times New Roman" w:hAnsi="Times New Roman" w:cs="Times New Roman"/>
          <w:color w:val="000000"/>
          <w:sz w:val="24"/>
          <w:szCs w:val="24"/>
          <w:lang w:eastAsia="sk-SK"/>
        </w:rPr>
      </w:pPr>
      <w:r w:rsidRPr="00907A9A">
        <w:rPr>
          <w:rFonts w:ascii="Times New Roman" w:eastAsia="Times New Roman" w:hAnsi="Times New Roman" w:cs="Times New Roman"/>
          <w:color w:val="000000"/>
          <w:sz w:val="24"/>
          <w:szCs w:val="24"/>
          <w:lang w:eastAsia="sk-SK"/>
        </w:rPr>
        <w:t>Smernica</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(EÚ)</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2017/2399</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bola</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prebratá</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do</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zákona</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č.</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371/2014</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Z.</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z.</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o</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riešení</w:t>
      </w:r>
      <w:r w:rsidRPr="00907A9A">
        <w:rPr>
          <w:rFonts w:ascii="Times New Roman" w:eastAsia="Times New Roman" w:hAnsi="Times New Roman" w:cs="Times New Roman"/>
          <w:color w:val="000000"/>
          <w:spacing w:val="13"/>
          <w:sz w:val="24"/>
          <w:szCs w:val="24"/>
          <w:lang w:eastAsia="sk-SK"/>
        </w:rPr>
        <w:t xml:space="preserve"> </w:t>
      </w:r>
      <w:r w:rsidRPr="00907A9A">
        <w:rPr>
          <w:rFonts w:ascii="Times New Roman" w:eastAsia="Times New Roman" w:hAnsi="Times New Roman" w:cs="Times New Roman"/>
          <w:color w:val="000000"/>
          <w:sz w:val="24"/>
          <w:szCs w:val="24"/>
          <w:lang w:eastAsia="sk-SK"/>
        </w:rPr>
        <w:t>krízových situácií</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na</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finančnom</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trhu</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a</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o</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zmene</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a</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doplnení</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niektorých</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zákonov</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v</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znení</w:t>
      </w:r>
      <w:r w:rsidRPr="00907A9A">
        <w:rPr>
          <w:rFonts w:ascii="Times New Roman" w:eastAsia="Times New Roman" w:hAnsi="Times New Roman" w:cs="Times New Roman"/>
          <w:color w:val="000000"/>
          <w:spacing w:val="18"/>
          <w:sz w:val="24"/>
          <w:szCs w:val="24"/>
          <w:lang w:eastAsia="sk-SK"/>
        </w:rPr>
        <w:t xml:space="preserve"> </w:t>
      </w:r>
      <w:r w:rsidRPr="00907A9A">
        <w:rPr>
          <w:rFonts w:ascii="Times New Roman" w:eastAsia="Times New Roman" w:hAnsi="Times New Roman" w:cs="Times New Roman"/>
          <w:color w:val="000000"/>
          <w:sz w:val="24"/>
          <w:szCs w:val="24"/>
          <w:lang w:eastAsia="sk-SK"/>
        </w:rPr>
        <w:t>neskorších predpisov</w:t>
      </w:r>
      <w:r w:rsidRPr="00907A9A">
        <w:rPr>
          <w:rFonts w:ascii="Times New Roman" w:hAnsi="Times New Roman" w:cs="Times New Roman"/>
          <w:bCs/>
          <w:sz w:val="24"/>
          <w:szCs w:val="24"/>
        </w:rPr>
        <w:t xml:space="preserve"> a do </w:t>
      </w:r>
      <w:r w:rsidRPr="00907A9A">
        <w:rPr>
          <w:rFonts w:ascii="Times New Roman" w:hAnsi="Times New Roman" w:cs="Times New Roman"/>
          <w:sz w:val="24"/>
          <w:szCs w:val="24"/>
        </w:rPr>
        <w:t xml:space="preserve">zákona č. 7/2005 Z. z. o konkurze a reštrukturalizácii a o zmene a doplnení niektorých zákonov </w:t>
      </w:r>
      <w:r w:rsidRPr="00907A9A">
        <w:rPr>
          <w:rFonts w:ascii="Times New Roman" w:hAnsi="Times New Roman" w:cs="Times New Roman"/>
          <w:bCs/>
          <w:sz w:val="24"/>
          <w:szCs w:val="24"/>
        </w:rPr>
        <w:t>v znení neskorších predpisov.</w:t>
      </w:r>
    </w:p>
    <w:p w:rsidR="00720C31" w:rsidRDefault="00720C31" w:rsidP="00720C31">
      <w:pPr>
        <w:pStyle w:val="Odsekzoznamu"/>
        <w:spacing w:after="0" w:line="240" w:lineRule="auto"/>
        <w:jc w:val="both"/>
        <w:rPr>
          <w:rFonts w:ascii="Times New Roman" w:eastAsia="Times New Roman" w:hAnsi="Times New Roman" w:cs="Times New Roman"/>
          <w:color w:val="000000"/>
          <w:sz w:val="24"/>
          <w:szCs w:val="24"/>
          <w:lang w:eastAsia="sk-SK"/>
        </w:rPr>
      </w:pPr>
    </w:p>
    <w:p w:rsidR="00720C31" w:rsidRPr="00C500F4" w:rsidRDefault="00720C31" w:rsidP="00720C31">
      <w:pPr>
        <w:pStyle w:val="Odsekzoznamu"/>
        <w:spacing w:after="0" w:line="240" w:lineRule="auto"/>
        <w:jc w:val="both"/>
        <w:rPr>
          <w:rFonts w:ascii="Times New Roman" w:eastAsia="Times New Roman" w:hAnsi="Times New Roman" w:cs="Times New Roman"/>
          <w:color w:val="000000"/>
          <w:sz w:val="24"/>
          <w:szCs w:val="24"/>
          <w:lang w:eastAsia="sk-SK"/>
        </w:rPr>
      </w:pPr>
      <w:r w:rsidRPr="006A2C96">
        <w:rPr>
          <w:rFonts w:ascii="Times New Roman" w:hAnsi="Times New Roman" w:cs="Times New Roman"/>
          <w:sz w:val="24"/>
          <w:szCs w:val="24"/>
        </w:rPr>
        <w:t xml:space="preserve">Smernica </w:t>
      </w:r>
      <w:r w:rsidRPr="006A2C96">
        <w:rPr>
          <w:rFonts w:ascii="Times New Roman" w:hAnsi="Times New Roman" w:cs="Times New Roman"/>
          <w:bCs/>
          <w:sz w:val="24"/>
          <w:szCs w:val="24"/>
          <w:shd w:val="clear" w:color="auto" w:fill="FFFFFF"/>
        </w:rPr>
        <w:t>2014/49/EÚ</w:t>
      </w:r>
      <w:r w:rsidRPr="00760DDD">
        <w:rPr>
          <w:rFonts w:ascii="Times New Roman" w:hAnsi="Times New Roman" w:cs="Times New Roman"/>
          <w:bCs/>
          <w:sz w:val="24"/>
          <w:szCs w:val="24"/>
          <w:shd w:val="clear" w:color="auto" w:fill="FFFFFF"/>
        </w:rPr>
        <w:t xml:space="preserve"> </w:t>
      </w:r>
      <w:r w:rsidRPr="00760DDD">
        <w:rPr>
          <w:rFonts w:ascii="Times New Roman" w:eastAsia="Times New Roman" w:hAnsi="Times New Roman" w:cs="Times New Roman"/>
          <w:color w:val="000000"/>
          <w:sz w:val="24"/>
          <w:szCs w:val="24"/>
          <w:lang w:eastAsia="sk-SK"/>
        </w:rPr>
        <w:t>bola</w:t>
      </w:r>
      <w:r w:rsidRPr="00760DDD">
        <w:rPr>
          <w:rFonts w:ascii="Times New Roman" w:eastAsia="Times New Roman" w:hAnsi="Times New Roman" w:cs="Times New Roman"/>
          <w:color w:val="000000"/>
          <w:spacing w:val="13"/>
          <w:sz w:val="24"/>
          <w:szCs w:val="24"/>
          <w:lang w:eastAsia="sk-SK"/>
        </w:rPr>
        <w:t xml:space="preserve"> </w:t>
      </w:r>
      <w:r w:rsidRPr="00760DDD">
        <w:rPr>
          <w:rFonts w:ascii="Times New Roman" w:eastAsia="Times New Roman" w:hAnsi="Times New Roman" w:cs="Times New Roman"/>
          <w:color w:val="000000"/>
          <w:sz w:val="24"/>
          <w:szCs w:val="24"/>
          <w:lang w:eastAsia="sk-SK"/>
        </w:rPr>
        <w:t>prebratá</w:t>
      </w:r>
      <w:r w:rsidRPr="00760DDD">
        <w:rPr>
          <w:rFonts w:ascii="Times New Roman" w:eastAsia="Times New Roman" w:hAnsi="Times New Roman" w:cs="Times New Roman"/>
          <w:color w:val="000000"/>
          <w:spacing w:val="13"/>
          <w:sz w:val="24"/>
          <w:szCs w:val="24"/>
          <w:lang w:eastAsia="sk-SK"/>
        </w:rPr>
        <w:t xml:space="preserve"> </w:t>
      </w:r>
      <w:r w:rsidRPr="00760DDD">
        <w:rPr>
          <w:rFonts w:ascii="Times New Roman" w:eastAsia="Times New Roman" w:hAnsi="Times New Roman" w:cs="Times New Roman"/>
          <w:color w:val="000000"/>
          <w:sz w:val="24"/>
          <w:szCs w:val="24"/>
          <w:lang w:eastAsia="sk-SK"/>
        </w:rPr>
        <w:t>do</w:t>
      </w:r>
      <w:r w:rsidRPr="00760DDD">
        <w:rPr>
          <w:rFonts w:ascii="Times New Roman" w:eastAsia="Times New Roman" w:hAnsi="Times New Roman" w:cs="Times New Roman"/>
          <w:color w:val="000000"/>
          <w:spacing w:val="13"/>
          <w:sz w:val="24"/>
          <w:szCs w:val="24"/>
          <w:lang w:eastAsia="sk-SK"/>
        </w:rPr>
        <w:t xml:space="preserve"> </w:t>
      </w:r>
      <w:r w:rsidRPr="00760DDD">
        <w:rPr>
          <w:rFonts w:ascii="Times New Roman" w:eastAsia="Times New Roman" w:hAnsi="Times New Roman" w:cs="Times New Roman"/>
          <w:color w:val="000000"/>
          <w:sz w:val="24"/>
          <w:szCs w:val="24"/>
          <w:lang w:eastAsia="sk-SK"/>
        </w:rPr>
        <w:t xml:space="preserve">zákona </w:t>
      </w:r>
      <w:r w:rsidRPr="006A2C96">
        <w:rPr>
          <w:rFonts w:ascii="Times New Roman" w:eastAsia="Times New Roman" w:hAnsi="Times New Roman" w:cs="Times New Roman"/>
          <w:color w:val="000000"/>
          <w:sz w:val="24"/>
          <w:szCs w:val="24"/>
          <w:lang w:eastAsia="sk-SK"/>
        </w:rPr>
        <w:t xml:space="preserve">Národnej rady Slovenskej republiky </w:t>
      </w:r>
      <w:r w:rsidRPr="006A2C96">
        <w:rPr>
          <w:rFonts w:ascii="Times New Roman" w:hAnsi="Times New Roman" w:cs="Times New Roman"/>
          <w:sz w:val="24"/>
          <w:szCs w:val="24"/>
        </w:rPr>
        <w:t xml:space="preserve">č. 118/1996 Z. z. o ochrane vkladov a o zmene a doplnení niektorých zákonov </w:t>
      </w:r>
      <w:r w:rsidRPr="00760DDD">
        <w:rPr>
          <w:rFonts w:ascii="Times New Roman" w:hAnsi="Times New Roman" w:cs="Times New Roman"/>
          <w:bCs/>
          <w:sz w:val="24"/>
          <w:szCs w:val="24"/>
        </w:rPr>
        <w:t>v znení neskorších predpisov a do zákona č. 483/2001 Z. z. o bankách a o zmene a doplnení niektorých zákonov v znení neskorších predpisov.</w:t>
      </w:r>
    </w:p>
    <w:p w:rsidR="00720C31" w:rsidRPr="00907A9A" w:rsidRDefault="00720C31" w:rsidP="00720C31">
      <w:pPr>
        <w:pStyle w:val="Odsekzoznamu"/>
        <w:spacing w:after="0" w:line="240" w:lineRule="auto"/>
        <w:jc w:val="both"/>
        <w:rPr>
          <w:rFonts w:ascii="Times New Roman" w:eastAsia="Times New Roman" w:hAnsi="Times New Roman" w:cs="Times New Roman"/>
          <w:color w:val="000000"/>
          <w:sz w:val="24"/>
          <w:szCs w:val="24"/>
          <w:lang w:eastAsia="sk-SK"/>
        </w:rPr>
      </w:pPr>
      <w:bookmarkStart w:id="0" w:name="_GoBack"/>
      <w:bookmarkEnd w:id="0"/>
    </w:p>
    <w:p w:rsidR="007B3132" w:rsidRPr="00907A9A" w:rsidRDefault="007B3132" w:rsidP="00FC287C">
      <w:pPr>
        <w:spacing w:after="0" w:line="240" w:lineRule="auto"/>
        <w:jc w:val="both"/>
        <w:rPr>
          <w:rFonts w:ascii="Times New Roman" w:eastAsia="Times New Roman" w:hAnsi="Times New Roman" w:cs="Times New Roman"/>
          <w:color w:val="000000"/>
          <w:sz w:val="24"/>
          <w:szCs w:val="24"/>
          <w:lang w:eastAsia="sk-SK"/>
        </w:rPr>
      </w:pPr>
    </w:p>
    <w:p w:rsidR="00FC287C" w:rsidRPr="00907A9A" w:rsidRDefault="00FC287C" w:rsidP="00FC287C">
      <w:pPr>
        <w:pStyle w:val="Odsekzoznamu"/>
        <w:numPr>
          <w:ilvl w:val="0"/>
          <w:numId w:val="1"/>
        </w:numPr>
        <w:spacing w:after="0" w:line="240" w:lineRule="auto"/>
        <w:ind w:left="426" w:hanging="426"/>
        <w:rPr>
          <w:rFonts w:ascii="Times New Roman" w:eastAsia="Times New Roman" w:hAnsi="Times New Roman" w:cs="Times New Roman"/>
          <w:color w:val="000000"/>
          <w:sz w:val="27"/>
          <w:szCs w:val="27"/>
          <w:lang w:eastAsia="sk-SK"/>
        </w:rPr>
      </w:pPr>
      <w:r w:rsidRPr="00907A9A">
        <w:rPr>
          <w:rFonts w:ascii="Times New Roman" w:eastAsia="Times New Roman" w:hAnsi="Times New Roman" w:cs="Times New Roman"/>
          <w:b/>
          <w:bCs/>
          <w:color w:val="000000"/>
          <w:sz w:val="24"/>
          <w:szCs w:val="24"/>
          <w:lang w:eastAsia="sk-SK"/>
        </w:rPr>
        <w:t>Návrh zákona je zlučiteľný s právom Európskej únie:</w:t>
      </w:r>
    </w:p>
    <w:p w:rsidR="00FE77D3" w:rsidRPr="00907A9A" w:rsidRDefault="00FC287C" w:rsidP="00D23E31">
      <w:pPr>
        <w:pStyle w:val="Odsekzoznamu"/>
        <w:numPr>
          <w:ilvl w:val="0"/>
          <w:numId w:val="6"/>
        </w:numPr>
        <w:spacing w:after="0" w:line="240" w:lineRule="auto"/>
        <w:jc w:val="both"/>
        <w:rPr>
          <w:rFonts w:ascii="Times New Roman" w:hAnsi="Times New Roman" w:cs="Times New Roman"/>
          <w:sz w:val="24"/>
          <w:szCs w:val="24"/>
        </w:rPr>
      </w:pPr>
      <w:r w:rsidRPr="00907A9A">
        <w:rPr>
          <w:rFonts w:ascii="Times New Roman" w:eastAsia="Times New Roman" w:hAnsi="Times New Roman" w:cs="Times New Roman"/>
          <w:color w:val="000000"/>
          <w:sz w:val="24"/>
          <w:szCs w:val="24"/>
          <w:lang w:eastAsia="sk-SK"/>
        </w:rPr>
        <w:t>úplne.</w:t>
      </w:r>
    </w:p>
    <w:sectPr w:rsidR="00FE77D3" w:rsidRPr="00907A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6A0" w:rsidRDefault="009E16A0" w:rsidP="0016171F">
      <w:pPr>
        <w:spacing w:after="0" w:line="240" w:lineRule="auto"/>
      </w:pPr>
      <w:r>
        <w:separator/>
      </w:r>
    </w:p>
  </w:endnote>
  <w:endnote w:type="continuationSeparator" w:id="0">
    <w:p w:rsidR="009E16A0" w:rsidRDefault="009E16A0" w:rsidP="0016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37808"/>
      <w:docPartObj>
        <w:docPartGallery w:val="Page Numbers (Bottom of Page)"/>
        <w:docPartUnique/>
      </w:docPartObj>
    </w:sdtPr>
    <w:sdtEndPr/>
    <w:sdtContent>
      <w:p w:rsidR="0016171F" w:rsidRDefault="0016171F">
        <w:pPr>
          <w:pStyle w:val="Pta"/>
          <w:jc w:val="center"/>
        </w:pPr>
        <w:r>
          <w:fldChar w:fldCharType="begin"/>
        </w:r>
        <w:r>
          <w:instrText>PAGE   \* MERGEFORMAT</w:instrText>
        </w:r>
        <w:r>
          <w:fldChar w:fldCharType="separate"/>
        </w:r>
        <w:r w:rsidR="00720C31">
          <w:rPr>
            <w:noProof/>
          </w:rPr>
          <w:t>5</w:t>
        </w:r>
        <w:r>
          <w:fldChar w:fldCharType="end"/>
        </w:r>
      </w:p>
    </w:sdtContent>
  </w:sdt>
  <w:p w:rsidR="0016171F" w:rsidRDefault="001617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6A0" w:rsidRDefault="009E16A0" w:rsidP="0016171F">
      <w:pPr>
        <w:spacing w:after="0" w:line="240" w:lineRule="auto"/>
      </w:pPr>
      <w:r>
        <w:separator/>
      </w:r>
    </w:p>
  </w:footnote>
  <w:footnote w:type="continuationSeparator" w:id="0">
    <w:p w:rsidR="009E16A0" w:rsidRDefault="009E16A0" w:rsidP="0016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A6B5D05"/>
    <w:multiLevelType w:val="hybridMultilevel"/>
    <w:tmpl w:val="7ABAD782"/>
    <w:lvl w:ilvl="0" w:tplc="66D0BA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F4BFA"/>
    <w:multiLevelType w:val="hybridMultilevel"/>
    <w:tmpl w:val="129EBEBC"/>
    <w:lvl w:ilvl="0" w:tplc="854E6A9C">
      <w:start w:val="1"/>
      <w:numFmt w:val="bullet"/>
      <w:lvlText w:val="-"/>
      <w:lvlJc w:val="left"/>
      <w:pPr>
        <w:ind w:left="786" w:hanging="360"/>
      </w:pPr>
      <w:rPr>
        <w:rFonts w:ascii="Times New Roman" w:eastAsia="Times New Roman" w:hAnsi="Times New Roman" w:hint="default"/>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464723"/>
    <w:multiLevelType w:val="hybridMultilevel"/>
    <w:tmpl w:val="6E6E0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515B8A"/>
    <w:multiLevelType w:val="hybridMultilevel"/>
    <w:tmpl w:val="81F647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A"/>
    <w:rsid w:val="00006B79"/>
    <w:rsid w:val="000126D1"/>
    <w:rsid w:val="00060915"/>
    <w:rsid w:val="00070450"/>
    <w:rsid w:val="00073292"/>
    <w:rsid w:val="000B3D64"/>
    <w:rsid w:val="000C1109"/>
    <w:rsid w:val="0016171F"/>
    <w:rsid w:val="001A45EA"/>
    <w:rsid w:val="001D3A99"/>
    <w:rsid w:val="001D3ED0"/>
    <w:rsid w:val="001E02CB"/>
    <w:rsid w:val="002055BD"/>
    <w:rsid w:val="00267955"/>
    <w:rsid w:val="00273BE2"/>
    <w:rsid w:val="002756D7"/>
    <w:rsid w:val="0028065B"/>
    <w:rsid w:val="002B251D"/>
    <w:rsid w:val="002B5F41"/>
    <w:rsid w:val="002C5CDC"/>
    <w:rsid w:val="003025F5"/>
    <w:rsid w:val="00317690"/>
    <w:rsid w:val="00324745"/>
    <w:rsid w:val="003A68BE"/>
    <w:rsid w:val="003B1BB3"/>
    <w:rsid w:val="003E0300"/>
    <w:rsid w:val="003F34AE"/>
    <w:rsid w:val="00406662"/>
    <w:rsid w:val="004276A8"/>
    <w:rsid w:val="00436CAF"/>
    <w:rsid w:val="0046235E"/>
    <w:rsid w:val="00492483"/>
    <w:rsid w:val="00495E33"/>
    <w:rsid w:val="004B1AA6"/>
    <w:rsid w:val="004B6737"/>
    <w:rsid w:val="00503BAD"/>
    <w:rsid w:val="00526314"/>
    <w:rsid w:val="005971BD"/>
    <w:rsid w:val="005A6383"/>
    <w:rsid w:val="00603F67"/>
    <w:rsid w:val="0061194C"/>
    <w:rsid w:val="00632E76"/>
    <w:rsid w:val="0066120D"/>
    <w:rsid w:val="00670372"/>
    <w:rsid w:val="00671460"/>
    <w:rsid w:val="00677E30"/>
    <w:rsid w:val="00687737"/>
    <w:rsid w:val="006D54E3"/>
    <w:rsid w:val="006E6127"/>
    <w:rsid w:val="00703A5A"/>
    <w:rsid w:val="00713C42"/>
    <w:rsid w:val="00720C31"/>
    <w:rsid w:val="007B3132"/>
    <w:rsid w:val="007F0EDE"/>
    <w:rsid w:val="008014B6"/>
    <w:rsid w:val="0080316E"/>
    <w:rsid w:val="00851397"/>
    <w:rsid w:val="008545C6"/>
    <w:rsid w:val="00864B4B"/>
    <w:rsid w:val="008A29DA"/>
    <w:rsid w:val="008C6E91"/>
    <w:rsid w:val="008E1213"/>
    <w:rsid w:val="00907A9A"/>
    <w:rsid w:val="00921E45"/>
    <w:rsid w:val="009C018C"/>
    <w:rsid w:val="009C04AA"/>
    <w:rsid w:val="009E16A0"/>
    <w:rsid w:val="009E3816"/>
    <w:rsid w:val="00A142A1"/>
    <w:rsid w:val="00A22AD7"/>
    <w:rsid w:val="00A22ED6"/>
    <w:rsid w:val="00A27849"/>
    <w:rsid w:val="00A77EB2"/>
    <w:rsid w:val="00A810BD"/>
    <w:rsid w:val="00A91CDB"/>
    <w:rsid w:val="00AE1011"/>
    <w:rsid w:val="00AF4F35"/>
    <w:rsid w:val="00B170D3"/>
    <w:rsid w:val="00B62288"/>
    <w:rsid w:val="00B74532"/>
    <w:rsid w:val="00B92E0A"/>
    <w:rsid w:val="00B95454"/>
    <w:rsid w:val="00BD51FD"/>
    <w:rsid w:val="00BE7BE1"/>
    <w:rsid w:val="00C063B2"/>
    <w:rsid w:val="00C34FD3"/>
    <w:rsid w:val="00C51B4B"/>
    <w:rsid w:val="00C75138"/>
    <w:rsid w:val="00C82C37"/>
    <w:rsid w:val="00C871F2"/>
    <w:rsid w:val="00CB0E61"/>
    <w:rsid w:val="00CB428A"/>
    <w:rsid w:val="00CC7CB6"/>
    <w:rsid w:val="00CD04B1"/>
    <w:rsid w:val="00CD59AF"/>
    <w:rsid w:val="00D23E31"/>
    <w:rsid w:val="00D47030"/>
    <w:rsid w:val="00D517ED"/>
    <w:rsid w:val="00D8565F"/>
    <w:rsid w:val="00DA5F66"/>
    <w:rsid w:val="00DB681B"/>
    <w:rsid w:val="00DC3857"/>
    <w:rsid w:val="00DD00BC"/>
    <w:rsid w:val="00DD1555"/>
    <w:rsid w:val="00DE42A0"/>
    <w:rsid w:val="00E10314"/>
    <w:rsid w:val="00E23F47"/>
    <w:rsid w:val="00E91772"/>
    <w:rsid w:val="00EE3B2A"/>
    <w:rsid w:val="00EF5411"/>
    <w:rsid w:val="00F20D53"/>
    <w:rsid w:val="00F226A8"/>
    <w:rsid w:val="00F378D7"/>
    <w:rsid w:val="00F812C2"/>
    <w:rsid w:val="00FB7119"/>
    <w:rsid w:val="00FB7EF9"/>
    <w:rsid w:val="00FC287C"/>
    <w:rsid w:val="00FE77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356A"/>
  <w15:docId w15:val="{F1102688-FD49-4712-865F-0AD0C8E6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1A45EA"/>
  </w:style>
  <w:style w:type="character" w:styleId="Hypertextovprepojenie">
    <w:name w:val="Hyperlink"/>
    <w:basedOn w:val="Predvolenpsmoodseku"/>
    <w:uiPriority w:val="99"/>
    <w:semiHidden/>
    <w:unhideWhenUsed/>
    <w:rsid w:val="001A45EA"/>
    <w:rPr>
      <w:color w:val="0000FF"/>
      <w:u w:val="single"/>
    </w:rPr>
  </w:style>
  <w:style w:type="paragraph" w:styleId="Odsekzoznamu">
    <w:name w:val="List Paragraph"/>
    <w:aliases w:val="Odstavec cíl se seznamem,Odstavec se seznamem1"/>
    <w:basedOn w:val="Normlny"/>
    <w:link w:val="OdsekzoznamuChar"/>
    <w:uiPriority w:val="34"/>
    <w:qFormat/>
    <w:rsid w:val="001A45EA"/>
    <w:pPr>
      <w:ind w:left="720"/>
      <w:contextualSpacing/>
    </w:pPr>
  </w:style>
  <w:style w:type="paragraph" w:styleId="Zkladntext">
    <w:name w:val="Body Text"/>
    <w:basedOn w:val="Normlny"/>
    <w:link w:val="ZkladntextChar"/>
    <w:uiPriority w:val="99"/>
    <w:rsid w:val="00DB681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DB681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8031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316E"/>
    <w:rPr>
      <w:rFonts w:ascii="Segoe UI" w:hAnsi="Segoe UI" w:cs="Segoe UI"/>
      <w:sz w:val="18"/>
      <w:szCs w:val="18"/>
    </w:rPr>
  </w:style>
  <w:style w:type="character" w:customStyle="1" w:styleId="OdsekzoznamuChar">
    <w:name w:val="Odsek zoznamu Char"/>
    <w:aliases w:val="Odstavec cíl se seznamem Char,Odstavec se seznamem1 Char"/>
    <w:basedOn w:val="Predvolenpsmoodseku"/>
    <w:link w:val="Odsekzoznamu"/>
    <w:uiPriority w:val="34"/>
    <w:locked/>
    <w:rsid w:val="0080316E"/>
  </w:style>
  <w:style w:type="paragraph" w:customStyle="1" w:styleId="c08dispositif">
    <w:name w:val="c08dispositif"/>
    <w:basedOn w:val="Normlny"/>
    <w:rsid w:val="009E38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971BD"/>
    <w:rPr>
      <w:i/>
      <w:iCs/>
    </w:rPr>
  </w:style>
  <w:style w:type="character" w:styleId="Jemnzvraznenie">
    <w:name w:val="Subtle Emphasis"/>
    <w:basedOn w:val="Predvolenpsmoodseku"/>
    <w:uiPriority w:val="19"/>
    <w:qFormat/>
    <w:rsid w:val="000126D1"/>
    <w:rPr>
      <w:i/>
      <w:iCs/>
      <w:color w:val="404040" w:themeColor="text1" w:themeTint="BF"/>
    </w:rPr>
  </w:style>
  <w:style w:type="paragraph" w:styleId="Hlavika">
    <w:name w:val="header"/>
    <w:basedOn w:val="Normlny"/>
    <w:link w:val="HlavikaChar"/>
    <w:uiPriority w:val="99"/>
    <w:unhideWhenUsed/>
    <w:rsid w:val="001617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171F"/>
  </w:style>
  <w:style w:type="paragraph" w:styleId="Pta">
    <w:name w:val="footer"/>
    <w:basedOn w:val="Normlny"/>
    <w:link w:val="PtaChar"/>
    <w:uiPriority w:val="99"/>
    <w:unhideWhenUsed/>
    <w:rsid w:val="0016171F"/>
    <w:pPr>
      <w:tabs>
        <w:tab w:val="center" w:pos="4536"/>
        <w:tab w:val="right" w:pos="9072"/>
      </w:tabs>
      <w:spacing w:after="0" w:line="240" w:lineRule="auto"/>
    </w:pPr>
  </w:style>
  <w:style w:type="character" w:customStyle="1" w:styleId="PtaChar">
    <w:name w:val="Päta Char"/>
    <w:basedOn w:val="Predvolenpsmoodseku"/>
    <w:link w:val="Pta"/>
    <w:uiPriority w:val="99"/>
    <w:rsid w:val="001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8039">
      <w:bodyDiv w:val="1"/>
      <w:marLeft w:val="0"/>
      <w:marRight w:val="0"/>
      <w:marTop w:val="0"/>
      <w:marBottom w:val="0"/>
      <w:divBdr>
        <w:top w:val="none" w:sz="0" w:space="0" w:color="auto"/>
        <w:left w:val="none" w:sz="0" w:space="0" w:color="auto"/>
        <w:bottom w:val="none" w:sz="0" w:space="0" w:color="auto"/>
        <w:right w:val="none" w:sz="0" w:space="0" w:color="auto"/>
      </w:divBdr>
    </w:div>
    <w:div w:id="845680705">
      <w:bodyDiv w:val="1"/>
      <w:marLeft w:val="0"/>
      <w:marRight w:val="0"/>
      <w:marTop w:val="0"/>
      <w:marBottom w:val="0"/>
      <w:divBdr>
        <w:top w:val="none" w:sz="0" w:space="0" w:color="auto"/>
        <w:left w:val="none" w:sz="0" w:space="0" w:color="auto"/>
        <w:bottom w:val="none" w:sz="0" w:space="0" w:color="auto"/>
        <w:right w:val="none" w:sz="0" w:space="0" w:color="auto"/>
      </w:divBdr>
    </w:div>
    <w:div w:id="1266766015">
      <w:bodyDiv w:val="1"/>
      <w:marLeft w:val="0"/>
      <w:marRight w:val="0"/>
      <w:marTop w:val="0"/>
      <w:marBottom w:val="0"/>
      <w:divBdr>
        <w:top w:val="none" w:sz="0" w:space="0" w:color="auto"/>
        <w:left w:val="none" w:sz="0" w:space="0" w:color="auto"/>
        <w:bottom w:val="none" w:sz="0" w:space="0" w:color="auto"/>
        <w:right w:val="none" w:sz="0" w:space="0" w:color="auto"/>
      </w:divBdr>
    </w:div>
    <w:div w:id="1575628961">
      <w:bodyDiv w:val="1"/>
      <w:marLeft w:val="0"/>
      <w:marRight w:val="0"/>
      <w:marTop w:val="0"/>
      <w:marBottom w:val="0"/>
      <w:divBdr>
        <w:top w:val="none" w:sz="0" w:space="0" w:color="auto"/>
        <w:left w:val="none" w:sz="0" w:space="0" w:color="auto"/>
        <w:bottom w:val="none" w:sz="0" w:space="0" w:color="auto"/>
        <w:right w:val="none" w:sz="0" w:space="0" w:color="auto"/>
      </w:divBdr>
      <w:divsChild>
        <w:div w:id="107506712">
          <w:marLeft w:val="0"/>
          <w:marRight w:val="0"/>
          <w:marTop w:val="200"/>
          <w:marBottom w:val="200"/>
          <w:divBdr>
            <w:top w:val="single" w:sz="8" w:space="0" w:color="000000"/>
            <w:left w:val="single" w:sz="8" w:space="0" w:color="000000"/>
            <w:bottom w:val="single" w:sz="8" w:space="0" w:color="000000"/>
            <w:right w:val="single" w:sz="8" w:space="0" w:color="000000"/>
          </w:divBdr>
          <w:divsChild>
            <w:div w:id="997268095">
              <w:marLeft w:val="0"/>
              <w:marRight w:val="0"/>
              <w:marTop w:val="0"/>
              <w:marBottom w:val="0"/>
              <w:divBdr>
                <w:top w:val="none" w:sz="0" w:space="0" w:color="auto"/>
                <w:left w:val="none" w:sz="0" w:space="0" w:color="auto"/>
                <w:bottom w:val="none" w:sz="0" w:space="0" w:color="auto"/>
                <w:right w:val="none" w:sz="0" w:space="0" w:color="auto"/>
              </w:divBdr>
            </w:div>
            <w:div w:id="2014448117">
              <w:marLeft w:val="0"/>
              <w:marRight w:val="0"/>
              <w:marTop w:val="0"/>
              <w:marBottom w:val="0"/>
              <w:divBdr>
                <w:top w:val="none" w:sz="0" w:space="0" w:color="auto"/>
                <w:left w:val="none" w:sz="0" w:space="0" w:color="auto"/>
                <w:bottom w:val="none" w:sz="0" w:space="0" w:color="auto"/>
                <w:right w:val="none" w:sz="0" w:space="0" w:color="auto"/>
              </w:divBdr>
              <w:divsChild>
                <w:div w:id="136994361">
                  <w:marLeft w:val="0"/>
                  <w:marRight w:val="0"/>
                  <w:marTop w:val="0"/>
                  <w:marBottom w:val="0"/>
                  <w:divBdr>
                    <w:top w:val="none" w:sz="0" w:space="0" w:color="auto"/>
                    <w:left w:val="none" w:sz="0" w:space="0" w:color="auto"/>
                    <w:bottom w:val="none" w:sz="0" w:space="0" w:color="auto"/>
                    <w:right w:val="none" w:sz="0" w:space="0" w:color="auto"/>
                  </w:divBdr>
                </w:div>
                <w:div w:id="365327725">
                  <w:marLeft w:val="0"/>
                  <w:marRight w:val="0"/>
                  <w:marTop w:val="0"/>
                  <w:marBottom w:val="0"/>
                  <w:divBdr>
                    <w:top w:val="none" w:sz="0" w:space="0" w:color="auto"/>
                    <w:left w:val="none" w:sz="0" w:space="0" w:color="auto"/>
                    <w:bottom w:val="none" w:sz="0" w:space="0" w:color="auto"/>
                    <w:right w:val="none" w:sz="0" w:space="0" w:color="auto"/>
                  </w:divBdr>
                </w:div>
                <w:div w:id="450512629">
                  <w:marLeft w:val="0"/>
                  <w:marRight w:val="0"/>
                  <w:marTop w:val="0"/>
                  <w:marBottom w:val="0"/>
                  <w:divBdr>
                    <w:top w:val="none" w:sz="0" w:space="0" w:color="auto"/>
                    <w:left w:val="none" w:sz="0" w:space="0" w:color="auto"/>
                    <w:bottom w:val="none" w:sz="0" w:space="0" w:color="auto"/>
                    <w:right w:val="none" w:sz="0" w:space="0" w:color="auto"/>
                  </w:divBdr>
                </w:div>
                <w:div w:id="798260656">
                  <w:marLeft w:val="0"/>
                  <w:marRight w:val="0"/>
                  <w:marTop w:val="0"/>
                  <w:marBottom w:val="0"/>
                  <w:divBdr>
                    <w:top w:val="none" w:sz="0" w:space="0" w:color="auto"/>
                    <w:left w:val="none" w:sz="0" w:space="0" w:color="auto"/>
                    <w:bottom w:val="none" w:sz="0" w:space="0" w:color="auto"/>
                    <w:right w:val="none" w:sz="0" w:space="0" w:color="auto"/>
                  </w:divBdr>
                </w:div>
                <w:div w:id="805582631">
                  <w:marLeft w:val="0"/>
                  <w:marRight w:val="0"/>
                  <w:marTop w:val="0"/>
                  <w:marBottom w:val="0"/>
                  <w:divBdr>
                    <w:top w:val="none" w:sz="0" w:space="0" w:color="auto"/>
                    <w:left w:val="none" w:sz="0" w:space="0" w:color="auto"/>
                    <w:bottom w:val="none" w:sz="0" w:space="0" w:color="auto"/>
                    <w:right w:val="none" w:sz="0" w:space="0" w:color="auto"/>
                  </w:divBdr>
                </w:div>
                <w:div w:id="857233771">
                  <w:marLeft w:val="0"/>
                  <w:marRight w:val="0"/>
                  <w:marTop w:val="0"/>
                  <w:marBottom w:val="0"/>
                  <w:divBdr>
                    <w:top w:val="none" w:sz="0" w:space="0" w:color="auto"/>
                    <w:left w:val="none" w:sz="0" w:space="0" w:color="auto"/>
                    <w:bottom w:val="none" w:sz="0" w:space="0" w:color="auto"/>
                    <w:right w:val="none" w:sz="0" w:space="0" w:color="auto"/>
                  </w:divBdr>
                  <w:divsChild>
                    <w:div w:id="570044893">
                      <w:marLeft w:val="0"/>
                      <w:marRight w:val="0"/>
                      <w:marTop w:val="0"/>
                      <w:marBottom w:val="0"/>
                      <w:divBdr>
                        <w:top w:val="none" w:sz="0" w:space="0" w:color="auto"/>
                        <w:left w:val="none" w:sz="0" w:space="0" w:color="auto"/>
                        <w:bottom w:val="none" w:sz="0" w:space="0" w:color="auto"/>
                        <w:right w:val="none" w:sz="0" w:space="0" w:color="auto"/>
                      </w:divBdr>
                    </w:div>
                    <w:div w:id="762994954">
                      <w:marLeft w:val="0"/>
                      <w:marRight w:val="0"/>
                      <w:marTop w:val="0"/>
                      <w:marBottom w:val="0"/>
                      <w:divBdr>
                        <w:top w:val="none" w:sz="0" w:space="0" w:color="auto"/>
                        <w:left w:val="none" w:sz="0" w:space="0" w:color="auto"/>
                        <w:bottom w:val="none" w:sz="0" w:space="0" w:color="auto"/>
                        <w:right w:val="none" w:sz="0" w:space="0" w:color="auto"/>
                      </w:divBdr>
                    </w:div>
                    <w:div w:id="801532607">
                      <w:marLeft w:val="0"/>
                      <w:marRight w:val="0"/>
                      <w:marTop w:val="0"/>
                      <w:marBottom w:val="0"/>
                      <w:divBdr>
                        <w:top w:val="none" w:sz="0" w:space="0" w:color="auto"/>
                        <w:left w:val="none" w:sz="0" w:space="0" w:color="auto"/>
                        <w:bottom w:val="none" w:sz="0" w:space="0" w:color="auto"/>
                        <w:right w:val="none" w:sz="0" w:space="0" w:color="auto"/>
                      </w:divBdr>
                    </w:div>
                    <w:div w:id="1006901631">
                      <w:marLeft w:val="0"/>
                      <w:marRight w:val="0"/>
                      <w:marTop w:val="0"/>
                      <w:marBottom w:val="0"/>
                      <w:divBdr>
                        <w:top w:val="none" w:sz="0" w:space="0" w:color="auto"/>
                        <w:left w:val="none" w:sz="0" w:space="0" w:color="auto"/>
                        <w:bottom w:val="none" w:sz="0" w:space="0" w:color="auto"/>
                        <w:right w:val="none" w:sz="0" w:space="0" w:color="auto"/>
                      </w:divBdr>
                    </w:div>
                    <w:div w:id="1823933786">
                      <w:marLeft w:val="0"/>
                      <w:marRight w:val="0"/>
                      <w:marTop w:val="0"/>
                      <w:marBottom w:val="0"/>
                      <w:divBdr>
                        <w:top w:val="none" w:sz="0" w:space="0" w:color="auto"/>
                        <w:left w:val="none" w:sz="0" w:space="0" w:color="auto"/>
                        <w:bottom w:val="none" w:sz="0" w:space="0" w:color="auto"/>
                        <w:right w:val="none" w:sz="0" w:space="0" w:color="auto"/>
                      </w:divBdr>
                    </w:div>
                  </w:divsChild>
                </w:div>
                <w:div w:id="874586650">
                  <w:marLeft w:val="0"/>
                  <w:marRight w:val="0"/>
                  <w:marTop w:val="0"/>
                  <w:marBottom w:val="0"/>
                  <w:divBdr>
                    <w:top w:val="none" w:sz="0" w:space="0" w:color="auto"/>
                    <w:left w:val="none" w:sz="0" w:space="0" w:color="auto"/>
                    <w:bottom w:val="none" w:sz="0" w:space="0" w:color="auto"/>
                    <w:right w:val="none" w:sz="0" w:space="0" w:color="auto"/>
                  </w:divBdr>
                </w:div>
                <w:div w:id="1103840420">
                  <w:marLeft w:val="0"/>
                  <w:marRight w:val="0"/>
                  <w:marTop w:val="0"/>
                  <w:marBottom w:val="0"/>
                  <w:divBdr>
                    <w:top w:val="none" w:sz="0" w:space="0" w:color="auto"/>
                    <w:left w:val="none" w:sz="0" w:space="0" w:color="auto"/>
                    <w:bottom w:val="none" w:sz="0" w:space="0" w:color="auto"/>
                    <w:right w:val="none" w:sz="0" w:space="0" w:color="auto"/>
                  </w:divBdr>
                </w:div>
                <w:div w:id="1281644739">
                  <w:marLeft w:val="0"/>
                  <w:marRight w:val="0"/>
                  <w:marTop w:val="0"/>
                  <w:marBottom w:val="0"/>
                  <w:divBdr>
                    <w:top w:val="none" w:sz="0" w:space="0" w:color="auto"/>
                    <w:left w:val="none" w:sz="0" w:space="0" w:color="auto"/>
                    <w:bottom w:val="none" w:sz="0" w:space="0" w:color="auto"/>
                    <w:right w:val="none" w:sz="0" w:space="0" w:color="auto"/>
                  </w:divBdr>
                </w:div>
                <w:div w:id="1308126267">
                  <w:marLeft w:val="0"/>
                  <w:marRight w:val="0"/>
                  <w:marTop w:val="0"/>
                  <w:marBottom w:val="0"/>
                  <w:divBdr>
                    <w:top w:val="none" w:sz="0" w:space="0" w:color="auto"/>
                    <w:left w:val="none" w:sz="0" w:space="0" w:color="auto"/>
                    <w:bottom w:val="none" w:sz="0" w:space="0" w:color="auto"/>
                    <w:right w:val="none" w:sz="0" w:space="0" w:color="auto"/>
                  </w:divBdr>
                </w:div>
                <w:div w:id="1323898042">
                  <w:marLeft w:val="0"/>
                  <w:marRight w:val="0"/>
                  <w:marTop w:val="0"/>
                  <w:marBottom w:val="0"/>
                  <w:divBdr>
                    <w:top w:val="none" w:sz="0" w:space="0" w:color="auto"/>
                    <w:left w:val="none" w:sz="0" w:space="0" w:color="auto"/>
                    <w:bottom w:val="none" w:sz="0" w:space="0" w:color="auto"/>
                    <w:right w:val="none" w:sz="0" w:space="0" w:color="auto"/>
                  </w:divBdr>
                </w:div>
                <w:div w:id="1489705944">
                  <w:marLeft w:val="0"/>
                  <w:marRight w:val="0"/>
                  <w:marTop w:val="0"/>
                  <w:marBottom w:val="0"/>
                  <w:divBdr>
                    <w:top w:val="none" w:sz="0" w:space="0" w:color="auto"/>
                    <w:left w:val="none" w:sz="0" w:space="0" w:color="auto"/>
                    <w:bottom w:val="none" w:sz="0" w:space="0" w:color="auto"/>
                    <w:right w:val="none" w:sz="0" w:space="0" w:color="auto"/>
                  </w:divBdr>
                </w:div>
                <w:div w:id="1582449039">
                  <w:marLeft w:val="0"/>
                  <w:marRight w:val="0"/>
                  <w:marTop w:val="0"/>
                  <w:marBottom w:val="0"/>
                  <w:divBdr>
                    <w:top w:val="none" w:sz="0" w:space="0" w:color="auto"/>
                    <w:left w:val="none" w:sz="0" w:space="0" w:color="auto"/>
                    <w:bottom w:val="none" w:sz="0" w:space="0" w:color="auto"/>
                    <w:right w:val="none" w:sz="0" w:space="0" w:color="auto"/>
                  </w:divBdr>
                </w:div>
                <w:div w:id="1772044063">
                  <w:marLeft w:val="0"/>
                  <w:marRight w:val="0"/>
                  <w:marTop w:val="0"/>
                  <w:marBottom w:val="0"/>
                  <w:divBdr>
                    <w:top w:val="none" w:sz="0" w:space="0" w:color="auto"/>
                    <w:left w:val="none" w:sz="0" w:space="0" w:color="auto"/>
                    <w:bottom w:val="none" w:sz="0" w:space="0" w:color="auto"/>
                    <w:right w:val="none" w:sz="0" w:space="0" w:color="auto"/>
                  </w:divBdr>
                </w:div>
                <w:div w:id="1831169621">
                  <w:marLeft w:val="0"/>
                  <w:marRight w:val="0"/>
                  <w:marTop w:val="0"/>
                  <w:marBottom w:val="0"/>
                  <w:divBdr>
                    <w:top w:val="none" w:sz="0" w:space="0" w:color="auto"/>
                    <w:left w:val="none" w:sz="0" w:space="0" w:color="auto"/>
                    <w:bottom w:val="none" w:sz="0" w:space="0" w:color="auto"/>
                    <w:right w:val="none" w:sz="0" w:space="0" w:color="auto"/>
                  </w:divBdr>
                </w:div>
                <w:div w:id="19848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3897">
          <w:marLeft w:val="0"/>
          <w:marRight w:val="0"/>
          <w:marTop w:val="200"/>
          <w:marBottom w:val="200"/>
          <w:divBdr>
            <w:top w:val="single" w:sz="8" w:space="0" w:color="000000"/>
            <w:left w:val="single" w:sz="8" w:space="0" w:color="000000"/>
            <w:bottom w:val="single" w:sz="8" w:space="0" w:color="000000"/>
            <w:right w:val="single" w:sz="8" w:space="0" w:color="000000"/>
          </w:divBdr>
          <w:divsChild>
            <w:div w:id="183446295">
              <w:marLeft w:val="0"/>
              <w:marRight w:val="0"/>
              <w:marTop w:val="0"/>
              <w:marBottom w:val="0"/>
              <w:divBdr>
                <w:top w:val="none" w:sz="0" w:space="0" w:color="auto"/>
                <w:left w:val="none" w:sz="0" w:space="0" w:color="auto"/>
                <w:bottom w:val="none" w:sz="0" w:space="0" w:color="auto"/>
                <w:right w:val="none" w:sz="0" w:space="0" w:color="auto"/>
              </w:divBdr>
            </w:div>
            <w:div w:id="1816215414">
              <w:marLeft w:val="0"/>
              <w:marRight w:val="0"/>
              <w:marTop w:val="0"/>
              <w:marBottom w:val="0"/>
              <w:divBdr>
                <w:top w:val="none" w:sz="0" w:space="0" w:color="auto"/>
                <w:left w:val="none" w:sz="0" w:space="0" w:color="auto"/>
                <w:bottom w:val="none" w:sz="0" w:space="0" w:color="auto"/>
                <w:right w:val="none" w:sz="0" w:space="0" w:color="auto"/>
              </w:divBdr>
              <w:divsChild>
                <w:div w:id="229577305">
                  <w:marLeft w:val="0"/>
                  <w:marRight w:val="0"/>
                  <w:marTop w:val="0"/>
                  <w:marBottom w:val="0"/>
                  <w:divBdr>
                    <w:top w:val="none" w:sz="0" w:space="0" w:color="auto"/>
                    <w:left w:val="none" w:sz="0" w:space="0" w:color="auto"/>
                    <w:bottom w:val="none" w:sz="0" w:space="0" w:color="auto"/>
                    <w:right w:val="none" w:sz="0" w:space="0" w:color="auto"/>
                  </w:divBdr>
                </w:div>
                <w:div w:id="466165788">
                  <w:marLeft w:val="0"/>
                  <w:marRight w:val="0"/>
                  <w:marTop w:val="0"/>
                  <w:marBottom w:val="0"/>
                  <w:divBdr>
                    <w:top w:val="none" w:sz="0" w:space="0" w:color="auto"/>
                    <w:left w:val="none" w:sz="0" w:space="0" w:color="auto"/>
                    <w:bottom w:val="none" w:sz="0" w:space="0" w:color="auto"/>
                    <w:right w:val="none" w:sz="0" w:space="0" w:color="auto"/>
                  </w:divBdr>
                </w:div>
                <w:div w:id="730422277">
                  <w:marLeft w:val="0"/>
                  <w:marRight w:val="0"/>
                  <w:marTop w:val="0"/>
                  <w:marBottom w:val="0"/>
                  <w:divBdr>
                    <w:top w:val="none" w:sz="0" w:space="0" w:color="auto"/>
                    <w:left w:val="none" w:sz="0" w:space="0" w:color="auto"/>
                    <w:bottom w:val="none" w:sz="0" w:space="0" w:color="auto"/>
                    <w:right w:val="none" w:sz="0" w:space="0" w:color="auto"/>
                  </w:divBdr>
                </w:div>
                <w:div w:id="987133181">
                  <w:marLeft w:val="0"/>
                  <w:marRight w:val="0"/>
                  <w:marTop w:val="0"/>
                  <w:marBottom w:val="0"/>
                  <w:divBdr>
                    <w:top w:val="none" w:sz="0" w:space="0" w:color="auto"/>
                    <w:left w:val="none" w:sz="0" w:space="0" w:color="auto"/>
                    <w:bottom w:val="none" w:sz="0" w:space="0" w:color="auto"/>
                    <w:right w:val="none" w:sz="0" w:space="0" w:color="auto"/>
                  </w:divBdr>
                </w:div>
                <w:div w:id="1066488103">
                  <w:marLeft w:val="0"/>
                  <w:marRight w:val="0"/>
                  <w:marTop w:val="0"/>
                  <w:marBottom w:val="0"/>
                  <w:divBdr>
                    <w:top w:val="none" w:sz="0" w:space="0" w:color="auto"/>
                    <w:left w:val="none" w:sz="0" w:space="0" w:color="auto"/>
                    <w:bottom w:val="none" w:sz="0" w:space="0" w:color="auto"/>
                    <w:right w:val="none" w:sz="0" w:space="0" w:color="auto"/>
                  </w:divBdr>
                </w:div>
                <w:div w:id="1643272966">
                  <w:marLeft w:val="0"/>
                  <w:marRight w:val="0"/>
                  <w:marTop w:val="0"/>
                  <w:marBottom w:val="0"/>
                  <w:divBdr>
                    <w:top w:val="none" w:sz="0" w:space="0" w:color="auto"/>
                    <w:left w:val="none" w:sz="0" w:space="0" w:color="auto"/>
                    <w:bottom w:val="none" w:sz="0" w:space="0" w:color="auto"/>
                    <w:right w:val="none" w:sz="0" w:space="0" w:color="auto"/>
                  </w:divBdr>
                </w:div>
                <w:div w:id="1770809361">
                  <w:marLeft w:val="0"/>
                  <w:marRight w:val="0"/>
                  <w:marTop w:val="0"/>
                  <w:marBottom w:val="0"/>
                  <w:divBdr>
                    <w:top w:val="none" w:sz="0" w:space="0" w:color="auto"/>
                    <w:left w:val="none" w:sz="0" w:space="0" w:color="auto"/>
                    <w:bottom w:val="none" w:sz="0" w:space="0" w:color="auto"/>
                    <w:right w:val="none" w:sz="0" w:space="0" w:color="auto"/>
                  </w:divBdr>
                </w:div>
                <w:div w:id="1804813624">
                  <w:marLeft w:val="0"/>
                  <w:marRight w:val="0"/>
                  <w:marTop w:val="0"/>
                  <w:marBottom w:val="0"/>
                  <w:divBdr>
                    <w:top w:val="none" w:sz="0" w:space="0" w:color="auto"/>
                    <w:left w:val="none" w:sz="0" w:space="0" w:color="auto"/>
                    <w:bottom w:val="none" w:sz="0" w:space="0" w:color="auto"/>
                    <w:right w:val="none" w:sz="0" w:space="0" w:color="auto"/>
                  </w:divBdr>
                </w:div>
                <w:div w:id="1810245834">
                  <w:marLeft w:val="0"/>
                  <w:marRight w:val="0"/>
                  <w:marTop w:val="0"/>
                  <w:marBottom w:val="0"/>
                  <w:divBdr>
                    <w:top w:val="none" w:sz="0" w:space="0" w:color="auto"/>
                    <w:left w:val="none" w:sz="0" w:space="0" w:color="auto"/>
                    <w:bottom w:val="none" w:sz="0" w:space="0" w:color="auto"/>
                    <w:right w:val="none" w:sz="0" w:space="0" w:color="auto"/>
                  </w:divBdr>
                </w:div>
                <w:div w:id="2103799897">
                  <w:marLeft w:val="0"/>
                  <w:marRight w:val="0"/>
                  <w:marTop w:val="0"/>
                  <w:marBottom w:val="0"/>
                  <w:divBdr>
                    <w:top w:val="none" w:sz="0" w:space="0" w:color="auto"/>
                    <w:left w:val="none" w:sz="0" w:space="0" w:color="auto"/>
                    <w:bottom w:val="none" w:sz="0" w:space="0" w:color="auto"/>
                    <w:right w:val="none" w:sz="0" w:space="0" w:color="auto"/>
                  </w:divBdr>
                </w:div>
                <w:div w:id="2134978130">
                  <w:marLeft w:val="0"/>
                  <w:marRight w:val="0"/>
                  <w:marTop w:val="0"/>
                  <w:marBottom w:val="0"/>
                  <w:divBdr>
                    <w:top w:val="none" w:sz="0" w:space="0" w:color="auto"/>
                    <w:left w:val="none" w:sz="0" w:space="0" w:color="auto"/>
                    <w:bottom w:val="none" w:sz="0" w:space="0" w:color="auto"/>
                    <w:right w:val="none" w:sz="0" w:space="0" w:color="auto"/>
                  </w:divBdr>
                </w:div>
                <w:div w:id="21387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514">
          <w:marLeft w:val="0"/>
          <w:marRight w:val="0"/>
          <w:marTop w:val="200"/>
          <w:marBottom w:val="200"/>
          <w:divBdr>
            <w:top w:val="single" w:sz="8" w:space="0" w:color="000000"/>
            <w:left w:val="single" w:sz="8" w:space="0" w:color="000000"/>
            <w:bottom w:val="single" w:sz="8" w:space="0" w:color="000000"/>
            <w:right w:val="single" w:sz="8" w:space="0" w:color="000000"/>
          </w:divBdr>
          <w:divsChild>
            <w:div w:id="1562908705">
              <w:marLeft w:val="0"/>
              <w:marRight w:val="0"/>
              <w:marTop w:val="0"/>
              <w:marBottom w:val="0"/>
              <w:divBdr>
                <w:top w:val="none" w:sz="0" w:space="0" w:color="auto"/>
                <w:left w:val="none" w:sz="0" w:space="0" w:color="auto"/>
                <w:bottom w:val="none" w:sz="0" w:space="0" w:color="auto"/>
                <w:right w:val="none" w:sz="0" w:space="0" w:color="auto"/>
              </w:divBdr>
              <w:divsChild>
                <w:div w:id="143477547">
                  <w:marLeft w:val="0"/>
                  <w:marRight w:val="0"/>
                  <w:marTop w:val="0"/>
                  <w:marBottom w:val="0"/>
                  <w:divBdr>
                    <w:top w:val="none" w:sz="0" w:space="0" w:color="auto"/>
                    <w:left w:val="none" w:sz="0" w:space="0" w:color="auto"/>
                    <w:bottom w:val="none" w:sz="0" w:space="0" w:color="auto"/>
                    <w:right w:val="none" w:sz="0" w:space="0" w:color="auto"/>
                  </w:divBdr>
                </w:div>
                <w:div w:id="352003855">
                  <w:marLeft w:val="0"/>
                  <w:marRight w:val="0"/>
                  <w:marTop w:val="0"/>
                  <w:marBottom w:val="0"/>
                  <w:divBdr>
                    <w:top w:val="none" w:sz="0" w:space="0" w:color="auto"/>
                    <w:left w:val="none" w:sz="0" w:space="0" w:color="auto"/>
                    <w:bottom w:val="none" w:sz="0" w:space="0" w:color="auto"/>
                    <w:right w:val="none" w:sz="0" w:space="0" w:color="auto"/>
                  </w:divBdr>
                </w:div>
                <w:div w:id="402411772">
                  <w:marLeft w:val="0"/>
                  <w:marRight w:val="0"/>
                  <w:marTop w:val="0"/>
                  <w:marBottom w:val="0"/>
                  <w:divBdr>
                    <w:top w:val="none" w:sz="0" w:space="0" w:color="auto"/>
                    <w:left w:val="none" w:sz="0" w:space="0" w:color="auto"/>
                    <w:bottom w:val="none" w:sz="0" w:space="0" w:color="auto"/>
                    <w:right w:val="none" w:sz="0" w:space="0" w:color="auto"/>
                  </w:divBdr>
                </w:div>
                <w:div w:id="550654893">
                  <w:marLeft w:val="0"/>
                  <w:marRight w:val="0"/>
                  <w:marTop w:val="0"/>
                  <w:marBottom w:val="0"/>
                  <w:divBdr>
                    <w:top w:val="none" w:sz="0" w:space="0" w:color="auto"/>
                    <w:left w:val="none" w:sz="0" w:space="0" w:color="auto"/>
                    <w:bottom w:val="none" w:sz="0" w:space="0" w:color="auto"/>
                    <w:right w:val="none" w:sz="0" w:space="0" w:color="auto"/>
                  </w:divBdr>
                </w:div>
                <w:div w:id="595795166">
                  <w:marLeft w:val="0"/>
                  <w:marRight w:val="0"/>
                  <w:marTop w:val="0"/>
                  <w:marBottom w:val="0"/>
                  <w:divBdr>
                    <w:top w:val="none" w:sz="0" w:space="0" w:color="auto"/>
                    <w:left w:val="none" w:sz="0" w:space="0" w:color="auto"/>
                    <w:bottom w:val="none" w:sz="0" w:space="0" w:color="auto"/>
                    <w:right w:val="none" w:sz="0" w:space="0" w:color="auto"/>
                  </w:divBdr>
                </w:div>
                <w:div w:id="834495857">
                  <w:marLeft w:val="0"/>
                  <w:marRight w:val="0"/>
                  <w:marTop w:val="0"/>
                  <w:marBottom w:val="0"/>
                  <w:divBdr>
                    <w:top w:val="none" w:sz="0" w:space="0" w:color="auto"/>
                    <w:left w:val="none" w:sz="0" w:space="0" w:color="auto"/>
                    <w:bottom w:val="none" w:sz="0" w:space="0" w:color="auto"/>
                    <w:right w:val="none" w:sz="0" w:space="0" w:color="auto"/>
                  </w:divBdr>
                </w:div>
                <w:div w:id="859899920">
                  <w:marLeft w:val="0"/>
                  <w:marRight w:val="0"/>
                  <w:marTop w:val="0"/>
                  <w:marBottom w:val="0"/>
                  <w:divBdr>
                    <w:top w:val="none" w:sz="0" w:space="0" w:color="auto"/>
                    <w:left w:val="none" w:sz="0" w:space="0" w:color="auto"/>
                    <w:bottom w:val="none" w:sz="0" w:space="0" w:color="auto"/>
                    <w:right w:val="none" w:sz="0" w:space="0" w:color="auto"/>
                  </w:divBdr>
                </w:div>
                <w:div w:id="1018967760">
                  <w:marLeft w:val="0"/>
                  <w:marRight w:val="0"/>
                  <w:marTop w:val="0"/>
                  <w:marBottom w:val="0"/>
                  <w:divBdr>
                    <w:top w:val="none" w:sz="0" w:space="0" w:color="auto"/>
                    <w:left w:val="none" w:sz="0" w:space="0" w:color="auto"/>
                    <w:bottom w:val="none" w:sz="0" w:space="0" w:color="auto"/>
                    <w:right w:val="none" w:sz="0" w:space="0" w:color="auto"/>
                  </w:divBdr>
                </w:div>
                <w:div w:id="1171992351">
                  <w:marLeft w:val="0"/>
                  <w:marRight w:val="0"/>
                  <w:marTop w:val="0"/>
                  <w:marBottom w:val="0"/>
                  <w:divBdr>
                    <w:top w:val="none" w:sz="0" w:space="0" w:color="auto"/>
                    <w:left w:val="none" w:sz="0" w:space="0" w:color="auto"/>
                    <w:bottom w:val="none" w:sz="0" w:space="0" w:color="auto"/>
                    <w:right w:val="none" w:sz="0" w:space="0" w:color="auto"/>
                  </w:divBdr>
                </w:div>
                <w:div w:id="1292055417">
                  <w:marLeft w:val="0"/>
                  <w:marRight w:val="0"/>
                  <w:marTop w:val="0"/>
                  <w:marBottom w:val="0"/>
                  <w:divBdr>
                    <w:top w:val="none" w:sz="0" w:space="0" w:color="auto"/>
                    <w:left w:val="none" w:sz="0" w:space="0" w:color="auto"/>
                    <w:bottom w:val="none" w:sz="0" w:space="0" w:color="auto"/>
                    <w:right w:val="none" w:sz="0" w:space="0" w:color="auto"/>
                  </w:divBdr>
                </w:div>
                <w:div w:id="1439638040">
                  <w:marLeft w:val="0"/>
                  <w:marRight w:val="0"/>
                  <w:marTop w:val="0"/>
                  <w:marBottom w:val="0"/>
                  <w:divBdr>
                    <w:top w:val="none" w:sz="0" w:space="0" w:color="auto"/>
                    <w:left w:val="none" w:sz="0" w:space="0" w:color="auto"/>
                    <w:bottom w:val="none" w:sz="0" w:space="0" w:color="auto"/>
                    <w:right w:val="none" w:sz="0" w:space="0" w:color="auto"/>
                  </w:divBdr>
                </w:div>
                <w:div w:id="1509978040">
                  <w:marLeft w:val="0"/>
                  <w:marRight w:val="0"/>
                  <w:marTop w:val="0"/>
                  <w:marBottom w:val="0"/>
                  <w:divBdr>
                    <w:top w:val="none" w:sz="0" w:space="0" w:color="auto"/>
                    <w:left w:val="none" w:sz="0" w:space="0" w:color="auto"/>
                    <w:bottom w:val="none" w:sz="0" w:space="0" w:color="auto"/>
                    <w:right w:val="none" w:sz="0" w:space="0" w:color="auto"/>
                  </w:divBdr>
                </w:div>
                <w:div w:id="1521747052">
                  <w:marLeft w:val="0"/>
                  <w:marRight w:val="0"/>
                  <w:marTop w:val="0"/>
                  <w:marBottom w:val="0"/>
                  <w:divBdr>
                    <w:top w:val="none" w:sz="0" w:space="0" w:color="auto"/>
                    <w:left w:val="none" w:sz="0" w:space="0" w:color="auto"/>
                    <w:bottom w:val="none" w:sz="0" w:space="0" w:color="auto"/>
                    <w:right w:val="none" w:sz="0" w:space="0" w:color="auto"/>
                  </w:divBdr>
                </w:div>
                <w:div w:id="1747923190">
                  <w:marLeft w:val="0"/>
                  <w:marRight w:val="0"/>
                  <w:marTop w:val="0"/>
                  <w:marBottom w:val="0"/>
                  <w:divBdr>
                    <w:top w:val="none" w:sz="0" w:space="0" w:color="auto"/>
                    <w:left w:val="none" w:sz="0" w:space="0" w:color="auto"/>
                    <w:bottom w:val="none" w:sz="0" w:space="0" w:color="auto"/>
                    <w:right w:val="none" w:sz="0" w:space="0" w:color="auto"/>
                  </w:divBdr>
                </w:div>
                <w:div w:id="1874152532">
                  <w:marLeft w:val="0"/>
                  <w:marRight w:val="0"/>
                  <w:marTop w:val="0"/>
                  <w:marBottom w:val="0"/>
                  <w:divBdr>
                    <w:top w:val="none" w:sz="0" w:space="0" w:color="auto"/>
                    <w:left w:val="none" w:sz="0" w:space="0" w:color="auto"/>
                    <w:bottom w:val="none" w:sz="0" w:space="0" w:color="auto"/>
                    <w:right w:val="none" w:sz="0" w:space="0" w:color="auto"/>
                  </w:divBdr>
                </w:div>
                <w:div w:id="2009020374">
                  <w:marLeft w:val="0"/>
                  <w:marRight w:val="0"/>
                  <w:marTop w:val="0"/>
                  <w:marBottom w:val="0"/>
                  <w:divBdr>
                    <w:top w:val="none" w:sz="0" w:space="0" w:color="auto"/>
                    <w:left w:val="none" w:sz="0" w:space="0" w:color="auto"/>
                    <w:bottom w:val="none" w:sz="0" w:space="0" w:color="auto"/>
                    <w:right w:val="none" w:sz="0" w:space="0" w:color="auto"/>
                  </w:divBdr>
                </w:div>
              </w:divsChild>
            </w:div>
            <w:div w:id="20197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85A4-3B22-4E14-A4C0-C75C7A3B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1987</Words>
  <Characters>11329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worknbde</dc:creator>
  <cp:keywords/>
  <cp:lastModifiedBy>Fokova Barbora</cp:lastModifiedBy>
  <cp:revision>8</cp:revision>
  <cp:lastPrinted>2023-08-16T11:05:00Z</cp:lastPrinted>
  <dcterms:created xsi:type="dcterms:W3CDTF">2024-12-11T12:57:00Z</dcterms:created>
  <dcterms:modified xsi:type="dcterms:W3CDTF">2025-02-17T14:03:00Z</dcterms:modified>
</cp:coreProperties>
</file>