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B84BD9" w:rsidRDefault="00A340BB" w:rsidP="00A568F5">
      <w:pPr>
        <w:spacing w:after="0" w:line="240" w:lineRule="auto"/>
        <w:jc w:val="both"/>
        <w:rPr>
          <w:rFonts w:ascii="Times New Roman" w:eastAsia="Times New Roman" w:hAnsi="Times New Roman" w:cs="Times New Roman"/>
          <w:b/>
          <w:sz w:val="28"/>
          <w:szCs w:val="28"/>
          <w:lang w:eastAsia="sk-SK"/>
        </w:rPr>
      </w:pPr>
      <w:r w:rsidRPr="00B84BD9">
        <w:rPr>
          <w:rFonts w:ascii="Times New Roman" w:eastAsia="Times New Roman" w:hAnsi="Times New Roman" w:cs="Times New Roman"/>
          <w:b/>
          <w:sz w:val="28"/>
          <w:szCs w:val="28"/>
          <w:lang w:eastAsia="sk-SK"/>
        </w:rPr>
        <w:t>D</w:t>
      </w:r>
      <w:r w:rsidR="001B23B7" w:rsidRPr="00B84BD9">
        <w:rPr>
          <w:rFonts w:ascii="Times New Roman" w:eastAsia="Times New Roman" w:hAnsi="Times New Roman" w:cs="Times New Roman"/>
          <w:b/>
          <w:sz w:val="28"/>
          <w:szCs w:val="28"/>
          <w:lang w:eastAsia="sk-SK"/>
        </w:rPr>
        <w:t>oložka vybraných vplyvov</w:t>
      </w:r>
    </w:p>
    <w:p w:rsidR="001B23B7" w:rsidRPr="00B84BD9" w:rsidRDefault="001B23B7" w:rsidP="00A568F5">
      <w:pPr>
        <w:spacing w:after="0" w:line="240" w:lineRule="auto"/>
        <w:jc w:val="both"/>
        <w:rPr>
          <w:rFonts w:ascii="Times New Roman" w:eastAsia="Times New Roman" w:hAnsi="Times New Roman" w:cs="Times New Roman"/>
          <w:b/>
          <w:sz w:val="28"/>
          <w:szCs w:val="28"/>
          <w:lang w:eastAsia="sk-SK"/>
        </w:rPr>
      </w:pPr>
    </w:p>
    <w:p w:rsidR="001B23B7" w:rsidRPr="00B84BD9" w:rsidRDefault="001B23B7" w:rsidP="00A568F5">
      <w:pPr>
        <w:spacing w:after="200" w:line="276" w:lineRule="auto"/>
        <w:ind w:left="426"/>
        <w:contextualSpacing/>
        <w:jc w:val="both"/>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B84BD9" w:rsidTr="000800FC">
        <w:tc>
          <w:tcPr>
            <w:tcW w:w="9180" w:type="dxa"/>
            <w:gridSpan w:val="11"/>
            <w:tcBorders>
              <w:bottom w:val="single" w:sz="4" w:space="0" w:color="FFFFFF"/>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Základné údaje</w:t>
            </w:r>
          </w:p>
        </w:tc>
      </w:tr>
      <w:tr w:rsidR="00612E08" w:rsidRPr="00B84BD9" w:rsidTr="000800FC">
        <w:tc>
          <w:tcPr>
            <w:tcW w:w="9180" w:type="dxa"/>
            <w:gridSpan w:val="11"/>
            <w:tcBorders>
              <w:bottom w:val="single" w:sz="4" w:space="0" w:color="FFFFFF"/>
            </w:tcBorders>
            <w:shd w:val="clear" w:color="auto" w:fill="E2E2E2"/>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Názov materiálu</w:t>
            </w:r>
          </w:p>
        </w:tc>
      </w:tr>
      <w:tr w:rsidR="00612E08" w:rsidRPr="00B84BD9" w:rsidTr="000800FC">
        <w:tc>
          <w:tcPr>
            <w:tcW w:w="9180" w:type="dxa"/>
            <w:gridSpan w:val="11"/>
            <w:tcBorders>
              <w:top w:val="single" w:sz="4" w:space="0" w:color="FFFFFF"/>
              <w:bottom w:val="single" w:sz="4" w:space="0" w:color="auto"/>
            </w:tcBorders>
          </w:tcPr>
          <w:p w:rsidR="00B02B14" w:rsidRPr="00B84BD9" w:rsidRDefault="00B02B14" w:rsidP="00A568F5">
            <w:pPr>
              <w:jc w:val="both"/>
              <w:rPr>
                <w:rFonts w:ascii="Times New Roman" w:eastAsia="Times New Roman" w:hAnsi="Times New Roman" w:cs="Times New Roman"/>
                <w:sz w:val="20"/>
                <w:szCs w:val="20"/>
                <w:lang w:eastAsia="sk-SK"/>
              </w:rPr>
            </w:pPr>
            <w:r w:rsidRPr="00B84BD9">
              <w:rPr>
                <w:rFonts w:ascii="Times New Roman" w:hAnsi="Times New Roman" w:cs="Times New Roman"/>
                <w:bCs/>
              </w:rPr>
              <w:t>Návrh zákona, ktorým sa mení a dopĺňa zákon č. 371/2014 Z. z. o riešení krízových situácií na finančnom trhu a o zmene a doplnení niektorých zákonov v znení neskorších predpisov (ďalej len „návrh zákona“)</w:t>
            </w:r>
          </w:p>
          <w:p w:rsidR="001B23B7" w:rsidRPr="00B84BD9" w:rsidRDefault="001B23B7" w:rsidP="00A568F5">
            <w:pPr>
              <w:jc w:val="both"/>
              <w:rPr>
                <w:rFonts w:ascii="Times New Roman" w:eastAsia="Times New Roman" w:hAnsi="Times New Roman" w:cs="Times New Roman"/>
                <w:sz w:val="20"/>
                <w:szCs w:val="20"/>
                <w:lang w:eastAsia="sk-SK"/>
              </w:rPr>
            </w:pPr>
          </w:p>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Predkladateľ (a spolupredkladateľ)</w:t>
            </w:r>
          </w:p>
        </w:tc>
      </w:tr>
      <w:tr w:rsidR="00612E08" w:rsidRPr="00B84BD9" w:rsidTr="000800FC">
        <w:tc>
          <w:tcPr>
            <w:tcW w:w="9180" w:type="dxa"/>
            <w:gridSpan w:val="11"/>
            <w:tcBorders>
              <w:top w:val="single" w:sz="4" w:space="0" w:color="FFFFFF"/>
              <w:left w:val="single" w:sz="4" w:space="0" w:color="auto"/>
              <w:bottom w:val="single" w:sz="4" w:space="0" w:color="auto"/>
            </w:tcBorders>
            <w:shd w:val="clear" w:color="auto" w:fill="FFFFFF"/>
          </w:tcPr>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Ministerstvo financií Slovenskej republiky</w:t>
            </w:r>
          </w:p>
          <w:p w:rsidR="001B23B7" w:rsidRPr="00B84BD9" w:rsidRDefault="001B23B7" w:rsidP="00A568F5">
            <w:pPr>
              <w:jc w:val="both"/>
              <w:rPr>
                <w:rFonts w:ascii="Times New Roman" w:eastAsia="Times New Roman" w:hAnsi="Times New Roman" w:cs="Times New Roman"/>
                <w:sz w:val="20"/>
                <w:szCs w:val="20"/>
                <w:lang w:eastAsia="sk-SK"/>
              </w:rPr>
            </w:pPr>
          </w:p>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84BD9" w:rsidRDefault="000013C3"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Materiál nelegislatívnej povahy</w:t>
            </w:r>
          </w:p>
        </w:tc>
      </w:tr>
      <w:tr w:rsidR="00612E08" w:rsidRPr="00B84BD9" w:rsidTr="000800FC">
        <w:tc>
          <w:tcPr>
            <w:tcW w:w="4212" w:type="dxa"/>
            <w:gridSpan w:val="2"/>
            <w:vMerge/>
            <w:tcBorders>
              <w:top w:val="nil"/>
              <w:left w:val="single" w:sz="4" w:space="0" w:color="auto"/>
              <w:bottom w:val="single" w:sz="4" w:space="0" w:color="FFFFFF"/>
            </w:tcBorders>
            <w:shd w:val="clear" w:color="auto" w:fill="E2E2E2"/>
          </w:tcPr>
          <w:p w:rsidR="001B23B7" w:rsidRPr="00B84BD9" w:rsidRDefault="001B23B7" w:rsidP="00A568F5">
            <w:pPr>
              <w:jc w:val="both"/>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84BD9" w:rsidRDefault="00B02B14"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84BD9" w:rsidRDefault="001B23B7" w:rsidP="00A568F5">
            <w:pPr>
              <w:ind w:left="175" w:hanging="175"/>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Materiál legislatívnej povahy</w:t>
            </w:r>
          </w:p>
        </w:tc>
      </w:tr>
      <w:tr w:rsidR="00612E08" w:rsidRPr="00B84BD9" w:rsidTr="000800FC">
        <w:tc>
          <w:tcPr>
            <w:tcW w:w="4212" w:type="dxa"/>
            <w:gridSpan w:val="2"/>
            <w:vMerge/>
            <w:tcBorders>
              <w:top w:val="nil"/>
              <w:left w:val="single" w:sz="4" w:space="0" w:color="auto"/>
              <w:bottom w:val="single" w:sz="4" w:space="0" w:color="auto"/>
            </w:tcBorders>
            <w:shd w:val="clear" w:color="auto" w:fill="E2E2E2"/>
          </w:tcPr>
          <w:p w:rsidR="001B23B7" w:rsidRPr="00B84BD9" w:rsidRDefault="001B23B7" w:rsidP="00A568F5">
            <w:pPr>
              <w:jc w:val="both"/>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84BD9" w:rsidRDefault="00B02B14"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Transpozícia</w:t>
            </w:r>
            <w:r w:rsidR="00ED165A" w:rsidRPr="00B84BD9">
              <w:rPr>
                <w:rFonts w:ascii="Times New Roman" w:eastAsia="Times New Roman" w:hAnsi="Times New Roman" w:cs="Times New Roman"/>
                <w:sz w:val="20"/>
                <w:szCs w:val="20"/>
                <w:lang w:eastAsia="sk-SK"/>
              </w:rPr>
              <w:t>/ implementácia</w:t>
            </w:r>
            <w:r w:rsidRPr="00B84BD9">
              <w:rPr>
                <w:rFonts w:ascii="Times New Roman" w:eastAsia="Times New Roman" w:hAnsi="Times New Roman" w:cs="Times New Roman"/>
                <w:sz w:val="20"/>
                <w:szCs w:val="20"/>
                <w:lang w:eastAsia="sk-SK"/>
              </w:rPr>
              <w:t xml:space="preserve"> práva EÚ</w:t>
            </w:r>
          </w:p>
        </w:tc>
      </w:tr>
      <w:tr w:rsidR="00612E08" w:rsidRPr="00B84BD9"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V prípade transpozície</w:t>
            </w:r>
            <w:r w:rsidR="00156064" w:rsidRPr="00B84BD9">
              <w:rPr>
                <w:rFonts w:ascii="Times New Roman" w:eastAsia="Times New Roman" w:hAnsi="Times New Roman" w:cs="Times New Roman"/>
                <w:i/>
                <w:sz w:val="20"/>
                <w:szCs w:val="20"/>
                <w:lang w:eastAsia="sk-SK"/>
              </w:rPr>
              <w:t>/implementácie</w:t>
            </w:r>
            <w:r w:rsidRPr="00B84BD9">
              <w:rPr>
                <w:rFonts w:ascii="Times New Roman" w:eastAsia="Times New Roman" w:hAnsi="Times New Roman" w:cs="Times New Roman"/>
                <w:i/>
                <w:sz w:val="20"/>
                <w:szCs w:val="20"/>
                <w:lang w:eastAsia="sk-SK"/>
              </w:rPr>
              <w:t xml:space="preserve"> uveďte zoznam transponovaných</w:t>
            </w:r>
            <w:r w:rsidR="00156064" w:rsidRPr="00B84BD9">
              <w:rPr>
                <w:rFonts w:ascii="Times New Roman" w:eastAsia="Times New Roman" w:hAnsi="Times New Roman" w:cs="Times New Roman"/>
                <w:i/>
                <w:sz w:val="20"/>
                <w:szCs w:val="20"/>
                <w:lang w:eastAsia="sk-SK"/>
              </w:rPr>
              <w:t>/implementovaných</w:t>
            </w:r>
            <w:r w:rsidRPr="00B84BD9">
              <w:rPr>
                <w:rFonts w:ascii="Times New Roman" w:eastAsia="Times New Roman" w:hAnsi="Times New Roman" w:cs="Times New Roman"/>
                <w:i/>
                <w:sz w:val="20"/>
                <w:szCs w:val="20"/>
                <w:lang w:eastAsia="sk-SK"/>
              </w:rPr>
              <w:t xml:space="preserve"> predpisov:</w:t>
            </w:r>
          </w:p>
          <w:p w:rsidR="00B02B14" w:rsidRPr="00B84BD9" w:rsidRDefault="00B02B14" w:rsidP="00A568F5">
            <w:pPr>
              <w:pStyle w:val="Odsekzoznamu"/>
              <w:numPr>
                <w:ilvl w:val="0"/>
                <w:numId w:val="2"/>
              </w:numPr>
              <w:spacing w:after="0" w:line="240" w:lineRule="auto"/>
              <w:jc w:val="both"/>
              <w:rPr>
                <w:rFonts w:ascii="Times New Roman" w:hAnsi="Times New Roman" w:cs="Times New Roman"/>
                <w:b/>
              </w:rPr>
            </w:pPr>
            <w:r w:rsidRPr="00B84BD9">
              <w:rPr>
                <w:rFonts w:ascii="Times New Roman" w:hAnsi="Times New Roman" w:cs="Times New Roman"/>
              </w:rPr>
              <w:t xml:space="preserve">Nariadenia Európskeho Parlamentu a Rady (EÚ) 2022/2036 z 19. októbra 2022, ktorým sa mení nariadenie (EÚ) č. 575/2013 a smernica 2014/59/EÚ, pokiaľ ide o </w:t>
            </w:r>
            <w:proofErr w:type="spellStart"/>
            <w:r w:rsidRPr="00B84BD9">
              <w:rPr>
                <w:rFonts w:ascii="Times New Roman" w:hAnsi="Times New Roman" w:cs="Times New Roman"/>
              </w:rPr>
              <w:t>prudenciálne</w:t>
            </w:r>
            <w:proofErr w:type="spellEnd"/>
            <w:r w:rsidRPr="00B84BD9">
              <w:rPr>
                <w:rFonts w:ascii="Times New Roman" w:hAnsi="Times New Roman" w:cs="Times New Roman"/>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p>
          <w:p w:rsidR="00130CA0" w:rsidRPr="00B84BD9" w:rsidRDefault="00130CA0" w:rsidP="00A568F5">
            <w:pPr>
              <w:pStyle w:val="Odsekzoznamu"/>
              <w:numPr>
                <w:ilvl w:val="0"/>
                <w:numId w:val="2"/>
              </w:numPr>
              <w:spacing w:after="0" w:line="240" w:lineRule="auto"/>
              <w:jc w:val="both"/>
              <w:rPr>
                <w:rFonts w:ascii="Times New Roman" w:hAnsi="Times New Roman" w:cs="Times New Roman"/>
                <w:b/>
              </w:rPr>
            </w:pPr>
            <w:r w:rsidRPr="00B84BD9">
              <w:rPr>
                <w:rFonts w:ascii="Times New Roman" w:hAnsi="Times New Roman" w:cs="Times New Roman"/>
              </w:rPr>
              <w:t>smernice Európskeho Parlamentu a Rady (EÚ) 2024/1174 z 11. apríla 2024, ktorou sa mení smernica 2014/59/EÚ a nariadenie (EÚ) č. 806/2014, pokiaľ ide o určité aspekty minimálnej požiadavky na vlastné zdroje a oprávnené záväzky</w:t>
            </w:r>
          </w:p>
          <w:p w:rsidR="00B02B14" w:rsidRPr="00B84BD9" w:rsidRDefault="00B02B14" w:rsidP="00A568F5">
            <w:pPr>
              <w:pStyle w:val="Odsekzoznamu"/>
              <w:numPr>
                <w:ilvl w:val="0"/>
                <w:numId w:val="2"/>
              </w:numPr>
              <w:spacing w:after="0" w:line="240" w:lineRule="auto"/>
              <w:jc w:val="both"/>
              <w:rPr>
                <w:rFonts w:ascii="Times New Roman" w:hAnsi="Times New Roman" w:cs="Times New Roman"/>
                <w:b/>
              </w:rPr>
            </w:pPr>
            <w:r w:rsidRPr="00B84BD9">
              <w:rPr>
                <w:rFonts w:ascii="Times New Roman" w:hAnsi="Times New Roman" w:cs="Times New Roman"/>
                <w:shd w:val="clear" w:color="auto" w:fill="FFFFFF"/>
              </w:rPr>
              <w:t>transpozičný deficit pri niektorých ustanoveniach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p>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84BD9" w:rsidRDefault="00B02B14"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Na základe konzultácií s MH SR PPK nebolo potrebné uskutočniť</w:t>
            </w:r>
          </w:p>
        </w:tc>
      </w:tr>
      <w:tr w:rsidR="00612E08" w:rsidRPr="00B84BD9"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 xml:space="preserve">Predpokladaný termín predloženia na </w:t>
            </w:r>
            <w:r w:rsidR="00A340BB" w:rsidRPr="00B84BD9">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84BD9" w:rsidRDefault="00EE7FAA" w:rsidP="00A568F5">
            <w:pPr>
              <w:jc w:val="both"/>
              <w:rPr>
                <w:rFonts w:ascii="Times New Roman" w:eastAsia="Times New Roman" w:hAnsi="Times New Roman" w:cs="Times New Roman"/>
                <w:i/>
                <w:sz w:val="20"/>
                <w:szCs w:val="20"/>
                <w:lang w:eastAsia="sk-SK"/>
              </w:rPr>
            </w:pPr>
            <w:r>
              <w:rPr>
                <w:rFonts w:ascii="Times New Roman" w:hAnsi="Times New Roman" w:cs="Times New Roman"/>
              </w:rPr>
              <w:t>október</w:t>
            </w:r>
            <w:r w:rsidRPr="00B84BD9">
              <w:rPr>
                <w:rFonts w:ascii="Times New Roman" w:hAnsi="Times New Roman" w:cs="Times New Roman"/>
              </w:rPr>
              <w:t xml:space="preserve"> </w:t>
            </w:r>
            <w:r w:rsidR="00130CA0" w:rsidRPr="00B84BD9">
              <w:rPr>
                <w:rFonts w:ascii="Times New Roman" w:hAnsi="Times New Roman" w:cs="Times New Roman"/>
              </w:rPr>
              <w:t>2024</w:t>
            </w:r>
          </w:p>
        </w:tc>
      </w:tr>
      <w:tr w:rsidR="00612E08" w:rsidRPr="00B84BD9"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spacing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84BD9" w:rsidRDefault="001B23B7" w:rsidP="00A568F5">
            <w:pPr>
              <w:jc w:val="both"/>
              <w:rPr>
                <w:rFonts w:ascii="Times New Roman" w:eastAsia="Times New Roman" w:hAnsi="Times New Roman" w:cs="Times New Roman"/>
                <w:i/>
                <w:sz w:val="20"/>
                <w:szCs w:val="20"/>
                <w:lang w:eastAsia="sk-SK"/>
              </w:rPr>
            </w:pPr>
          </w:p>
        </w:tc>
      </w:tr>
      <w:tr w:rsidR="00612E08" w:rsidRPr="00B84BD9"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spacing w:after="200" w:line="276" w:lineRule="auto"/>
              <w:ind w:left="142"/>
              <w:contextualSpacing/>
              <w:jc w:val="both"/>
              <w:rPr>
                <w:rFonts w:ascii="Times New Roman" w:eastAsia="Calibri" w:hAnsi="Times New Roman" w:cs="Times New Roman"/>
                <w:b/>
              </w:rPr>
            </w:pPr>
            <w:r w:rsidRPr="00B84BD9">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84BD9" w:rsidRDefault="00EE7FAA" w:rsidP="00A568F5">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w:t>
            </w:r>
            <w:r w:rsidRPr="00B84BD9">
              <w:rPr>
                <w:rFonts w:ascii="Times New Roman" w:eastAsia="Times New Roman" w:hAnsi="Times New Roman" w:cs="Times New Roman"/>
                <w:i/>
                <w:sz w:val="20"/>
                <w:szCs w:val="20"/>
                <w:lang w:eastAsia="sk-SK"/>
              </w:rPr>
              <w:t xml:space="preserve"> </w:t>
            </w:r>
            <w:r w:rsidR="00130CA0" w:rsidRPr="00B84BD9">
              <w:rPr>
                <w:rFonts w:ascii="Times New Roman" w:eastAsia="Times New Roman" w:hAnsi="Times New Roman" w:cs="Times New Roman"/>
                <w:i/>
                <w:sz w:val="20"/>
                <w:szCs w:val="20"/>
                <w:lang w:eastAsia="sk-SK"/>
              </w:rPr>
              <w:t>2024</w:t>
            </w:r>
          </w:p>
        </w:tc>
      </w:tr>
      <w:tr w:rsidR="00612E08" w:rsidRPr="00B84BD9" w:rsidTr="000800FC">
        <w:tc>
          <w:tcPr>
            <w:tcW w:w="9180" w:type="dxa"/>
            <w:gridSpan w:val="11"/>
            <w:tcBorders>
              <w:top w:val="single" w:sz="4" w:space="0" w:color="auto"/>
              <w:left w:val="nil"/>
              <w:bottom w:val="single" w:sz="4" w:space="0" w:color="auto"/>
              <w:right w:val="nil"/>
            </w:tcBorders>
            <w:shd w:val="clear" w:color="auto" w:fill="FFFFFF"/>
          </w:tcPr>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Definovanie problému</w:t>
            </w:r>
          </w:p>
        </w:tc>
      </w:tr>
      <w:tr w:rsidR="00612E08" w:rsidRPr="00B84BD9"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B02B14" w:rsidRPr="00B84BD9" w:rsidRDefault="00B02B14" w:rsidP="00A568F5">
            <w:pPr>
              <w:spacing w:after="120"/>
              <w:jc w:val="both"/>
              <w:rPr>
                <w:rFonts w:ascii="Times New Roman" w:hAnsi="Times New Roman" w:cs="Times New Roman"/>
              </w:rPr>
            </w:pPr>
          </w:p>
          <w:p w:rsidR="00B02B14" w:rsidRPr="00B84BD9" w:rsidRDefault="00B02B14" w:rsidP="00A568F5">
            <w:pPr>
              <w:spacing w:after="120"/>
              <w:jc w:val="both"/>
              <w:rPr>
                <w:rFonts w:ascii="Times New Roman" w:hAnsi="Times New Roman" w:cs="Times New Roman"/>
              </w:rPr>
            </w:pPr>
            <w:r w:rsidRPr="00B84BD9">
              <w:rPr>
                <w:rFonts w:ascii="Times New Roman" w:hAnsi="Times New Roman" w:cs="Times New Roman"/>
              </w:rPr>
              <w:t xml:space="preserve">Dôvodom návrhu zákona, ktorým sa mení a dopĺňa zákon č. 371/2014 Z. z. zákona, ktorým sa mení a dopĺňa zákon č. 371/2014 Z. z. o riešení krízových situácií na finančnom trhu a o zmene a doplnení niektorých zákonov (ďalej len „návrh zákona“) je v prvom rade implementácia Nariadenia Európskeho Parlamentu a Rady (EÚ) 2022/2036 z 19. októbra 2022, ktorým sa mení nariadenie (EÚ) č. 575/2013 a smernica 2014/59/EÚ, pokiaľ ide o </w:t>
            </w:r>
            <w:proofErr w:type="spellStart"/>
            <w:r w:rsidRPr="00B84BD9">
              <w:rPr>
                <w:rFonts w:ascii="Times New Roman" w:hAnsi="Times New Roman" w:cs="Times New Roman"/>
              </w:rPr>
              <w:t>prudenciálne</w:t>
            </w:r>
            <w:proofErr w:type="spellEnd"/>
            <w:r w:rsidRPr="00B84BD9">
              <w:rPr>
                <w:rFonts w:ascii="Times New Roman" w:hAnsi="Times New Roman" w:cs="Times New Roman"/>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 </w:t>
            </w:r>
            <w:r w:rsidR="00130CA0" w:rsidRPr="00B84BD9">
              <w:rPr>
                <w:rFonts w:ascii="Times New Roman" w:hAnsi="Times New Roman" w:cs="Times New Roman"/>
              </w:rPr>
              <w:t xml:space="preserve">a smernica Európskeho Parlamentu a Rady (EÚ) 2024/1174 z 11. apríla 2024, ktorou sa mení smernica 2014/59/EÚ a nariadenie (EÚ) č. 806/2014, pokiaľ ide o určité aspekty </w:t>
            </w:r>
            <w:r w:rsidR="00130CA0" w:rsidRPr="00B84BD9">
              <w:rPr>
                <w:rFonts w:ascii="Times New Roman" w:hAnsi="Times New Roman" w:cs="Times New Roman"/>
              </w:rPr>
              <w:lastRenderedPageBreak/>
              <w:t xml:space="preserve">minimálnej požiadavky na vlastné zdroje a oprávnené záväzky </w:t>
            </w:r>
            <w:r w:rsidRPr="00B84BD9">
              <w:rPr>
                <w:rFonts w:ascii="Times New Roman" w:hAnsi="Times New Roman" w:cs="Times New Roman"/>
              </w:rPr>
              <w:t>s cieľom riešiť pretrvávajúce nedostatky regulačného rámca a vykonať niektoré zostávajúce prvky reformy globálnych finančných služieb, ktoré sú nevyhnutné na zabezpečenie odolnosti inštitúcií pôsobiacich na finančnom trhu.</w:t>
            </w:r>
          </w:p>
          <w:p w:rsidR="00B02B14" w:rsidRPr="00B84BD9" w:rsidRDefault="00B02B14" w:rsidP="00A568F5">
            <w:pPr>
              <w:spacing w:after="120"/>
              <w:jc w:val="both"/>
              <w:rPr>
                <w:rFonts w:ascii="Times New Roman" w:hAnsi="Times New Roman" w:cs="Times New Roman"/>
                <w:b/>
              </w:rPr>
            </w:pPr>
            <w:r w:rsidRPr="00B84BD9">
              <w:rPr>
                <w:rFonts w:ascii="Times New Roman" w:hAnsi="Times New Roman" w:cs="Times New Roman"/>
              </w:rPr>
              <w:t>Súčasťou návrhu sú aj legislatívne úpravy spočívajúce v spresnení niektorých platných ustanovení s cieľom reagovať na poznatky a skúsenosti z aplikačnej praxe. Jedná sa o úpravy technického charakteru, ktoré neprinášajú do praktického fungovania zásadné zmeny.</w:t>
            </w:r>
          </w:p>
          <w:p w:rsidR="001B23B7" w:rsidRPr="00B84BD9" w:rsidRDefault="001B23B7" w:rsidP="00A568F5">
            <w:pPr>
              <w:jc w:val="both"/>
              <w:rPr>
                <w:rFonts w:ascii="Times New Roman" w:eastAsia="Times New Roman" w:hAnsi="Times New Roman" w:cs="Times New Roman"/>
                <w:b/>
                <w:sz w:val="20"/>
                <w:szCs w:val="20"/>
                <w:lang w:eastAsia="sk-SK"/>
              </w:rPr>
            </w:pPr>
          </w:p>
        </w:tc>
      </w:tr>
      <w:tr w:rsidR="00612E08" w:rsidRPr="00B84BD9"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lastRenderedPageBreak/>
              <w:t>Ciele a výsledný stav</w:t>
            </w:r>
          </w:p>
        </w:tc>
      </w:tr>
      <w:tr w:rsidR="00612E08" w:rsidRPr="00B84BD9"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B23B7" w:rsidRPr="00B84BD9" w:rsidRDefault="001B23B7" w:rsidP="00A568F5">
            <w:pPr>
              <w:jc w:val="both"/>
              <w:rPr>
                <w:rFonts w:ascii="Times New Roman" w:eastAsia="Times New Roman" w:hAnsi="Times New Roman" w:cs="Times New Roman"/>
                <w:sz w:val="20"/>
                <w:szCs w:val="20"/>
                <w:lang w:eastAsia="sk-SK"/>
              </w:rPr>
            </w:pP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Hlavným cieľom predmetnej úpravy je</w:t>
            </w:r>
            <w:r w:rsidR="00B84BD9" w:rsidRPr="00B84BD9">
              <w:rPr>
                <w:rFonts w:ascii="Times New Roman" w:hAnsi="Times New Roman" w:cs="Times New Roman"/>
              </w:rPr>
              <w:t xml:space="preserve"> implementovať do slovenského legislatívneho rámca smernice, ktoré riešia </w:t>
            </w:r>
            <w:r w:rsidRPr="00B84BD9">
              <w:rPr>
                <w:rFonts w:ascii="Times New Roman" w:hAnsi="Times New Roman" w:cs="Times New Roman"/>
              </w:rPr>
              <w:t xml:space="preserve"> pretrvávajúce nedostatky regulačného rámca a </w:t>
            </w:r>
            <w:r w:rsidR="00B84BD9" w:rsidRPr="00B84BD9">
              <w:rPr>
                <w:rFonts w:ascii="Times New Roman" w:hAnsi="Times New Roman" w:cs="Times New Roman"/>
              </w:rPr>
              <w:t xml:space="preserve">vyriešiť tak </w:t>
            </w:r>
            <w:r w:rsidRPr="00B84BD9">
              <w:rPr>
                <w:rFonts w:ascii="Times New Roman" w:hAnsi="Times New Roman" w:cs="Times New Roman"/>
              </w:rPr>
              <w:t xml:space="preserve">niektoré zostávajúce </w:t>
            </w:r>
            <w:r w:rsidR="00B84BD9" w:rsidRPr="00B84BD9">
              <w:rPr>
                <w:rFonts w:ascii="Times New Roman" w:hAnsi="Times New Roman" w:cs="Times New Roman"/>
              </w:rPr>
              <w:t xml:space="preserve">nedostatky </w:t>
            </w:r>
            <w:r w:rsidRPr="00B84BD9">
              <w:rPr>
                <w:rFonts w:ascii="Times New Roman" w:hAnsi="Times New Roman" w:cs="Times New Roman"/>
              </w:rPr>
              <w:t xml:space="preserve">reformy globálnych finančných služieb, ktoré </w:t>
            </w:r>
            <w:r w:rsidR="00B84BD9" w:rsidRPr="00B84BD9">
              <w:rPr>
                <w:rFonts w:ascii="Times New Roman" w:hAnsi="Times New Roman" w:cs="Times New Roman"/>
              </w:rPr>
              <w:t xml:space="preserve">je nevyhnutné vykonať s cieľom zabezpečenia </w:t>
            </w:r>
            <w:r w:rsidRPr="00B84BD9">
              <w:rPr>
                <w:rFonts w:ascii="Times New Roman" w:hAnsi="Times New Roman" w:cs="Times New Roman"/>
              </w:rPr>
              <w:t xml:space="preserve"> odolnosti inštitúcií pôsobiacich na finančnom trhu.</w:t>
            </w:r>
            <w:r w:rsidR="00B84BD9" w:rsidRPr="00B84BD9">
              <w:rPr>
                <w:rFonts w:ascii="Times New Roman" w:hAnsi="Times New Roman" w:cs="Times New Roman"/>
              </w:rPr>
              <w:t xml:space="preserve"> </w:t>
            </w:r>
            <w:r w:rsidR="00B84BD9" w:rsidRPr="00B84BD9">
              <w:rPr>
                <w:rFonts w:ascii="Times New Roman" w:hAnsi="Times New Roman" w:cs="Times New Roman"/>
                <w:sz w:val="20"/>
                <w:szCs w:val="20"/>
              </w:rPr>
              <w:t>Táto povinnosť transpozície vyplýva Slovenskej republike z jej členstva v Európskej únii</w:t>
            </w:r>
            <w:r w:rsidR="00B84BD9" w:rsidRPr="00B84BD9">
              <w:rPr>
                <w:rFonts w:ascii="Times New Roman" w:hAnsi="Times New Roman" w:cs="Times New Roman"/>
              </w:rPr>
              <w:t>.</w:t>
            </w:r>
          </w:p>
          <w:p w:rsidR="00B02B14" w:rsidRPr="00B84BD9" w:rsidRDefault="00B02B14" w:rsidP="00A568F5">
            <w:pPr>
              <w:spacing w:after="120"/>
              <w:jc w:val="both"/>
              <w:rPr>
                <w:rFonts w:ascii="Times New Roman" w:hAnsi="Times New Roman" w:cs="Times New Roman"/>
              </w:rPr>
            </w:pPr>
          </w:p>
          <w:p w:rsidR="00B02B14" w:rsidRPr="00B84BD9" w:rsidRDefault="00B02B14" w:rsidP="00A568F5">
            <w:pPr>
              <w:spacing w:after="120"/>
              <w:jc w:val="both"/>
              <w:rPr>
                <w:rFonts w:ascii="Times New Roman" w:hAnsi="Times New Roman" w:cs="Times New Roman"/>
              </w:rPr>
            </w:pPr>
            <w:r w:rsidRPr="00B84BD9">
              <w:rPr>
                <w:rFonts w:ascii="Times New Roman" w:hAnsi="Times New Roman" w:cs="Times New Roman"/>
              </w:rPr>
              <w:t>Medzi najdôležitejšie zmeny, ktoré zavádza návrh zákona, patria:</w:t>
            </w:r>
          </w:p>
          <w:p w:rsidR="00B02B14" w:rsidRPr="00B84BD9" w:rsidRDefault="00B02B14" w:rsidP="00A568F5">
            <w:pPr>
              <w:pStyle w:val="Odsekzoznamu"/>
              <w:numPr>
                <w:ilvl w:val="0"/>
                <w:numId w:val="3"/>
              </w:numPr>
              <w:spacing w:after="120"/>
              <w:jc w:val="both"/>
              <w:rPr>
                <w:rFonts w:ascii="Times New Roman" w:hAnsi="Times New Roman" w:cs="Times New Roman"/>
              </w:rPr>
            </w:pPr>
            <w:r w:rsidRPr="00B84BD9">
              <w:rPr>
                <w:rFonts w:ascii="Times New Roman" w:hAnsi="Times New Roman" w:cs="Times New Roman"/>
              </w:rPr>
              <w:t xml:space="preserve">Stanovenie, že G-SII (globálne systémovo významné inštitúcie) so stratégiou riešenia krízových situácií, v rámci ktorej by sa mohla riešiť krízová situácia viac ako jedného subjektu skupiny (ďalej len „stratégia riešenia krízových situácií vo viacerých okamihoch“), vypočítajú svoju požiadavku na vlastné zdroje a oprávnené záväzky založenú na riziku na základe teoretického predpokladu, že sa bude riešiť krízová situácia len jedného subjektu skupiny, pričom straty a potreby </w:t>
            </w:r>
            <w:proofErr w:type="spellStart"/>
            <w:r w:rsidRPr="00B84BD9">
              <w:rPr>
                <w:rFonts w:ascii="Times New Roman" w:hAnsi="Times New Roman" w:cs="Times New Roman"/>
              </w:rPr>
              <w:t>rekapitalizácie</w:t>
            </w:r>
            <w:proofErr w:type="spellEnd"/>
            <w:r w:rsidRPr="00B84BD9">
              <w:rPr>
                <w:rFonts w:ascii="Times New Roman" w:hAnsi="Times New Roman" w:cs="Times New Roman"/>
              </w:rPr>
              <w:t xml:space="preserve"> akýchkoľvek dcérskych spoločností tejto skupiny sa prevedú na subjekt, ktorého krízová situácia sa rieši (ďalej len „stratégia riešenia krízových situácií v jednom okamihu“). Podobná požiadavka je stanovená v súvislosti s dodatočnou požiadavkou na vlastné zdroje a oprávnené záväzky, ktorú môžu uložiť orgány pre riešenie krízových situácií. V súlade s normou týkajúcou sa celkovej kapacity na absorpciu strát pre G-SII (norma TLAC) sa v uvedených výpočtoch zohľadňujú všetky subjekty z tretích krajín, ktoré sú súčasťou G-SII a ktoré by boli subjektmi, ktorých krízová situácia sa rieši, keby mali sídlo v Európskej únii. </w:t>
            </w:r>
          </w:p>
          <w:p w:rsidR="00B02B14" w:rsidRPr="00B84BD9" w:rsidRDefault="00B02B14" w:rsidP="00A568F5">
            <w:pPr>
              <w:pStyle w:val="Odsekzoznamu"/>
              <w:spacing w:after="120"/>
              <w:jc w:val="both"/>
              <w:rPr>
                <w:rFonts w:ascii="Times New Roman" w:hAnsi="Times New Roman" w:cs="Times New Roman"/>
              </w:rPr>
            </w:pPr>
          </w:p>
          <w:p w:rsidR="00B02B14" w:rsidRPr="00B84BD9" w:rsidRDefault="00B02B14" w:rsidP="00A568F5">
            <w:pPr>
              <w:pStyle w:val="Odsekzoznamu"/>
              <w:numPr>
                <w:ilvl w:val="0"/>
                <w:numId w:val="3"/>
              </w:numPr>
              <w:spacing w:after="120"/>
              <w:jc w:val="both"/>
              <w:rPr>
                <w:rFonts w:ascii="Times New Roman" w:hAnsi="Times New Roman" w:cs="Times New Roman"/>
              </w:rPr>
            </w:pPr>
            <w:r w:rsidRPr="00B84BD9">
              <w:rPr>
                <w:rFonts w:ascii="Times New Roman" w:hAnsi="Times New Roman" w:cs="Times New Roman"/>
              </w:rPr>
              <w:t xml:space="preserve">Nastavenie pravidiel, podľa ktorých nesmie byť súčet skutočných požiadaviek na vlastné zdroje a oprávnené záväzky G-SII so stratégiou riešenia krízových situácií vo viacerých okamihoch nižší ako teoretická požiadavka tejto skupiny v rámci stratégie riešenia krízových situácií v jednom okamihu. S cieľom zosúladiť ustanovenia nariadenia (EÚ) č. 575/2013 s ustanoveniami smernice 2014/59/EÚ sa vo výpočte zohľadňujú aj všetky subjekty z tretích krajín, ktoré sú súčasťou G-SII a ktoré by boli subjektmi, ktorých krízová situácia sa rieši, keby mali sídlo v Európskej únii. </w:t>
            </w:r>
          </w:p>
          <w:p w:rsidR="00130CA0" w:rsidRPr="00B84BD9" w:rsidRDefault="00130CA0" w:rsidP="00A568F5">
            <w:pPr>
              <w:pStyle w:val="Odsekzoznamu"/>
              <w:jc w:val="both"/>
              <w:rPr>
                <w:rFonts w:ascii="Times New Roman" w:hAnsi="Times New Roman" w:cs="Times New Roman"/>
              </w:rPr>
            </w:pPr>
          </w:p>
          <w:p w:rsidR="00130CA0" w:rsidRPr="00B84BD9" w:rsidRDefault="00130CA0" w:rsidP="00A568F5">
            <w:pPr>
              <w:pStyle w:val="Odsekzoznamu"/>
              <w:numPr>
                <w:ilvl w:val="0"/>
                <w:numId w:val="3"/>
              </w:numPr>
              <w:spacing w:after="0" w:line="240" w:lineRule="auto"/>
              <w:jc w:val="both"/>
              <w:rPr>
                <w:rFonts w:ascii="Times New Roman" w:hAnsi="Times New Roman" w:cs="Times New Roman"/>
                <w:color w:val="000000"/>
                <w:lang w:eastAsia="sk-SK"/>
              </w:rPr>
            </w:pPr>
            <w:r w:rsidRPr="00B84BD9">
              <w:rPr>
                <w:rFonts w:ascii="Times New Roman" w:hAnsi="Times New Roman" w:cs="Times New Roman"/>
                <w:color w:val="000000"/>
                <w:shd w:val="clear" w:color="auto" w:fill="FFFFFF"/>
              </w:rPr>
              <w:t xml:space="preserve">Podľa súčasného rámca sa pre subjekty vyčlenené na likvidáciu, MREL vo väčšine prípadov stanovuje na sumu potrebnú na absorpciu strát, ktorá zodpovedá požiadavkám na vlastné zdroje. V takýchto prípadoch MREL nezahŕňa žiadnu dodatočnú požiadavku priamo súvisiacu s rámcom riešenia krízových situácií pre likvidačný subjekt. To znamená, že likvidačný subjekt môže v plnej miere splniť MREL tak, že splní požiadavky na vlastné zdroje, a že osobitné rozhodnutie Rady pre riešenie krízových situácií určujúcu MREL neprispieva zmysluplným spôsobom k riešiteľnosti krízovej situácie uvedeného subjektu. Z takéhoto rozhodnutia vyplýva pre orgán pre riešenie krízových situácií, ako aj pre likvidačný subjekt mnoho procedurálnych povinností, no neprispieva to v zodpovedajúcej miere k lepšej riešiteľnosti krízovej situácie. Rada pre riešenie krízových situácií by preto nemala určiť </w:t>
            </w:r>
            <w:r w:rsidRPr="00B84BD9">
              <w:rPr>
                <w:rFonts w:ascii="Times New Roman" w:hAnsi="Times New Roman" w:cs="Times New Roman"/>
                <w:color w:val="000000"/>
                <w:shd w:val="clear" w:color="auto" w:fill="FFFFFF"/>
              </w:rPr>
              <w:lastRenderedPageBreak/>
              <w:t>MREL pre likvidačné subjekty. Rámec pre MREL by sa mal uplatňovať na základe kritérií, ktorými sa zabezpečí, aby sa subjekt kvalifikoval ako likvidačný subjekt konzistentne v celej Únii. Rada pre riešenie krízových situácií by preto mala zabezpečiť konzistentné uplatňovanie nových ustanovení týkajúcich sa likvidačných subjektov na tie subjekty, ktoré sú súčasťou cezhraničnej skupiny, najmä ak skupinu tvoria subjekty nachádzajúce sa v bankovej únii a mimo nej.</w:t>
            </w:r>
          </w:p>
          <w:p w:rsidR="00B02B14" w:rsidRPr="005073B0" w:rsidRDefault="00B02B14" w:rsidP="005073B0">
            <w:pPr>
              <w:spacing w:after="120"/>
              <w:jc w:val="both"/>
              <w:rPr>
                <w:rFonts w:ascii="Times New Roman" w:hAnsi="Times New Roman" w:cs="Times New Roman"/>
              </w:rPr>
            </w:pPr>
            <w:bookmarkStart w:id="0" w:name="_GoBack"/>
            <w:bookmarkEnd w:id="0"/>
          </w:p>
        </w:tc>
      </w:tr>
      <w:tr w:rsidR="00612E08" w:rsidRPr="00B84BD9"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lastRenderedPageBreak/>
              <w:t>Dotknuté subjekty</w:t>
            </w:r>
          </w:p>
        </w:tc>
      </w:tr>
      <w:tr w:rsidR="00612E08" w:rsidRPr="00B84BD9"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Pr="00B84BD9" w:rsidRDefault="001B23B7"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banky a pobočky zahraničných bánk (27)</w:t>
            </w:r>
          </w:p>
          <w:p w:rsidR="00B02B14" w:rsidRPr="00B84BD9" w:rsidRDefault="00B02B14"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eastAsia="Times New Roman" w:hAnsi="Times New Roman" w:cs="Times New Roman"/>
                <w:i/>
                <w:sz w:val="20"/>
                <w:szCs w:val="20"/>
                <w:lang w:eastAsia="sk-SK"/>
              </w:rPr>
            </w:pPr>
          </w:p>
        </w:tc>
      </w:tr>
      <w:tr w:rsidR="00612E08" w:rsidRPr="00B84BD9"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Alternatívne riešenia</w:t>
            </w:r>
          </w:p>
        </w:tc>
      </w:tr>
      <w:tr w:rsidR="00612E08" w:rsidRPr="00B84BD9"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84BD9" w:rsidRDefault="001B23B7"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eastAsia="Times New Roman" w:hAnsi="Times New Roman" w:cs="Times New Roman"/>
                <w:i/>
                <w:sz w:val="20"/>
                <w:szCs w:val="20"/>
                <w:lang w:eastAsia="sk-SK"/>
              </w:rPr>
            </w:pPr>
            <w:r w:rsidRPr="00B84BD9">
              <w:rPr>
                <w:rFonts w:ascii="Times New Roman" w:hAnsi="Times New Roman" w:cs="Times New Roman"/>
              </w:rPr>
              <w:t>Alternatívne riešenia neboli zvažované</w:t>
            </w:r>
          </w:p>
          <w:p w:rsidR="00B02B14" w:rsidRPr="00B84BD9" w:rsidRDefault="00B02B14" w:rsidP="00A568F5">
            <w:pPr>
              <w:jc w:val="both"/>
              <w:rPr>
                <w:rFonts w:ascii="Times New Roman" w:eastAsia="Times New Roman" w:hAnsi="Times New Roman" w:cs="Times New Roman"/>
                <w:i/>
                <w:sz w:val="20"/>
                <w:szCs w:val="20"/>
                <w:lang w:eastAsia="sk-SK"/>
              </w:rPr>
            </w:pPr>
          </w:p>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B02B14" w:rsidRPr="00B84BD9" w:rsidRDefault="00B02B14"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 xml:space="preserve">Ide o transpozíciu smernice. V prípade neuskutočnenia transpozície by mohli Slovenskej republiky hroziť sankcie zo strany Európskej únie. </w:t>
            </w:r>
          </w:p>
          <w:p w:rsidR="00B84BD9" w:rsidRPr="00B84BD9" w:rsidRDefault="00B84BD9" w:rsidP="00A568F5">
            <w:pPr>
              <w:jc w:val="both"/>
              <w:rPr>
                <w:rFonts w:ascii="Times New Roman" w:eastAsia="Times New Roman" w:hAnsi="Times New Roman" w:cs="Times New Roman"/>
                <w:i/>
                <w:sz w:val="20"/>
                <w:szCs w:val="20"/>
                <w:lang w:eastAsia="sk-SK"/>
              </w:rPr>
            </w:pPr>
          </w:p>
          <w:p w:rsidR="00B84BD9" w:rsidRPr="00B84BD9" w:rsidRDefault="00B84BD9" w:rsidP="00A568F5">
            <w:pPr>
              <w:jc w:val="both"/>
              <w:rPr>
                <w:rFonts w:ascii="Times New Roman" w:hAnsi="Times New Roman" w:cs="Times New Roman"/>
                <w:sz w:val="20"/>
                <w:szCs w:val="20"/>
              </w:rPr>
            </w:pPr>
            <w:r w:rsidRPr="00B84BD9">
              <w:rPr>
                <w:rFonts w:ascii="Times New Roman" w:hAnsi="Times New Roman" w:cs="Times New Roman"/>
                <w:sz w:val="20"/>
                <w:szCs w:val="20"/>
              </w:rPr>
              <w:t>Nulovým variantom je netransponovanie smerníc, čím by Slovenská republika nesplnila svoje povinnosti a vystavila sa tak nebezpečenstvu začatia konania podľa článku 258 Zmluvy o fungovaní EÚ (ZFEÚ) pre nesplnenie zmluvných povinností (</w:t>
            </w:r>
            <w:proofErr w:type="spellStart"/>
            <w:r w:rsidRPr="00B84BD9">
              <w:rPr>
                <w:rFonts w:ascii="Times New Roman" w:hAnsi="Times New Roman" w:cs="Times New Roman"/>
                <w:sz w:val="20"/>
                <w:szCs w:val="20"/>
              </w:rPr>
              <w:t>infringement</w:t>
            </w:r>
            <w:proofErr w:type="spellEnd"/>
            <w:r w:rsidRPr="00B84BD9">
              <w:rPr>
                <w:rFonts w:ascii="Times New Roman" w:hAnsi="Times New Roman" w:cs="Times New Roman"/>
                <w:sz w:val="20"/>
                <w:szCs w:val="20"/>
              </w:rPr>
              <w:t xml:space="preserve"> </w:t>
            </w:r>
            <w:proofErr w:type="spellStart"/>
            <w:r w:rsidRPr="00B84BD9">
              <w:rPr>
                <w:rFonts w:ascii="Times New Roman" w:hAnsi="Times New Roman" w:cs="Times New Roman"/>
                <w:sz w:val="20"/>
                <w:szCs w:val="20"/>
              </w:rPr>
              <w:t>proceedings</w:t>
            </w:r>
            <w:proofErr w:type="spellEnd"/>
            <w:r w:rsidRPr="00B84BD9">
              <w:rPr>
                <w:rFonts w:ascii="Times New Roman" w:hAnsi="Times New Roman" w:cs="Times New Roman"/>
                <w:sz w:val="20"/>
                <w:szCs w:val="20"/>
              </w:rPr>
              <w:t xml:space="preserve">). Vzhľadom na vyššie uvedené, alternatívne riešenia neboli zvažované. </w:t>
            </w:r>
          </w:p>
          <w:p w:rsidR="00B84BD9" w:rsidRPr="00B84BD9" w:rsidRDefault="00B84BD9"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eastAsia="Times New Roman" w:hAnsi="Times New Roman" w:cs="Times New Roman"/>
                <w:i/>
                <w:sz w:val="20"/>
                <w:szCs w:val="20"/>
                <w:lang w:eastAsia="sk-SK"/>
              </w:rPr>
            </w:pPr>
          </w:p>
        </w:tc>
      </w:tr>
      <w:tr w:rsidR="00612E08" w:rsidRPr="00B84BD9"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Vykonávacie predpisy</w:t>
            </w:r>
          </w:p>
        </w:tc>
      </w:tr>
      <w:tr w:rsidR="00612E08" w:rsidRPr="00B84BD9" w:rsidTr="000800FC">
        <w:tc>
          <w:tcPr>
            <w:tcW w:w="6203" w:type="dxa"/>
            <w:gridSpan w:val="7"/>
            <w:tcBorders>
              <w:top w:val="single" w:sz="4" w:space="0" w:color="FFFFFF"/>
              <w:left w:val="single" w:sz="4" w:space="0" w:color="auto"/>
              <w:bottom w:val="nil"/>
              <w:right w:val="nil"/>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B84BD9">
                  <w:rPr>
                    <w:rFonts w:ascii="Segoe UI Symbol" w:eastAsia="MS Gothic" w:hAnsi="Segoe UI Symbol" w:cs="Segoe UI Symbol"/>
                    <w:b/>
                    <w:sz w:val="20"/>
                    <w:szCs w:val="20"/>
                    <w:lang w:eastAsia="sk-SK"/>
                  </w:rPr>
                  <w:t>☐</w:t>
                </w:r>
              </w:sdtContent>
            </w:sdt>
            <w:r w:rsidR="001B23B7" w:rsidRPr="00B84BD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B02B14" w:rsidRPr="00B84BD9">
                  <w:rPr>
                    <w:rFonts w:ascii="Segoe UI Symbol" w:eastAsia="MS Gothic" w:hAnsi="Segoe UI Symbol" w:cs="Segoe UI Symbol"/>
                    <w:b/>
                    <w:sz w:val="20"/>
                    <w:szCs w:val="20"/>
                    <w:lang w:eastAsia="sk-SK"/>
                  </w:rPr>
                  <w:t>☒</w:t>
                </w:r>
              </w:sdtContent>
            </w:sdt>
            <w:r w:rsidR="001B23B7" w:rsidRPr="00B84BD9">
              <w:rPr>
                <w:rFonts w:ascii="Times New Roman" w:eastAsia="Times New Roman" w:hAnsi="Times New Roman" w:cs="Times New Roman"/>
                <w:b/>
                <w:sz w:val="20"/>
                <w:szCs w:val="20"/>
                <w:lang w:eastAsia="sk-SK"/>
              </w:rPr>
              <w:t xml:space="preserve">  Nie</w:t>
            </w:r>
          </w:p>
        </w:tc>
      </w:tr>
      <w:tr w:rsidR="00612E08" w:rsidRPr="00B84BD9"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Transpozícia</w:t>
            </w:r>
            <w:r w:rsidR="007C5312" w:rsidRPr="00B84BD9">
              <w:rPr>
                <w:rFonts w:ascii="Times New Roman" w:eastAsia="Calibri" w:hAnsi="Times New Roman" w:cs="Times New Roman"/>
                <w:b/>
              </w:rPr>
              <w:t>/</w:t>
            </w:r>
            <w:r w:rsidR="00C94E4E" w:rsidRPr="00B84BD9">
              <w:rPr>
                <w:rFonts w:ascii="Times New Roman" w:eastAsia="Calibri" w:hAnsi="Times New Roman" w:cs="Times New Roman"/>
                <w:b/>
              </w:rPr>
              <w:t xml:space="preserve">implementácia </w:t>
            </w:r>
            <w:r w:rsidRPr="00B84BD9">
              <w:rPr>
                <w:rFonts w:ascii="Times New Roman" w:eastAsia="Calibri" w:hAnsi="Times New Roman" w:cs="Times New Roman"/>
                <w:b/>
              </w:rPr>
              <w:t xml:space="preserve">práva EÚ </w:t>
            </w:r>
          </w:p>
        </w:tc>
      </w:tr>
      <w:tr w:rsidR="00612E08" w:rsidRPr="00B84BD9"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B84BD9">
              <w:trPr>
                <w:trHeight w:val="90"/>
              </w:trPr>
              <w:tc>
                <w:tcPr>
                  <w:tcW w:w="8643" w:type="dxa"/>
                </w:tcPr>
                <w:p w:rsidR="00A7788F" w:rsidRPr="00B84BD9" w:rsidRDefault="00A7788F" w:rsidP="00A568F5">
                  <w:pPr>
                    <w:pStyle w:val="Default"/>
                    <w:jc w:val="both"/>
                    <w:rPr>
                      <w:color w:val="auto"/>
                      <w:sz w:val="20"/>
                      <w:szCs w:val="20"/>
                    </w:rPr>
                  </w:pPr>
                  <w:r w:rsidRPr="00B84BD9">
                    <w:rPr>
                      <w:i/>
                      <w:iCs/>
                      <w:color w:val="auto"/>
                      <w:sz w:val="20"/>
                      <w:szCs w:val="20"/>
                    </w:rPr>
                    <w:t xml:space="preserve">Uveďte, či v predkladanom návrhu právneho predpisu dochádza ku </w:t>
                  </w:r>
                  <w:proofErr w:type="spellStart"/>
                  <w:r w:rsidRPr="00B84BD9">
                    <w:rPr>
                      <w:i/>
                      <w:iCs/>
                      <w:color w:val="auto"/>
                      <w:sz w:val="20"/>
                      <w:szCs w:val="20"/>
                    </w:rPr>
                    <w:t>goldplatingu</w:t>
                  </w:r>
                  <w:proofErr w:type="spellEnd"/>
                  <w:r w:rsidR="007C5312" w:rsidRPr="00B84BD9">
                    <w:rPr>
                      <w:i/>
                      <w:iCs/>
                      <w:color w:val="auto"/>
                      <w:sz w:val="20"/>
                      <w:szCs w:val="20"/>
                    </w:rPr>
                    <w:t xml:space="preserve"> podľa tabuľky zhody</w:t>
                  </w:r>
                  <w:r w:rsidR="00C86714" w:rsidRPr="00B84BD9">
                    <w:rPr>
                      <w:i/>
                      <w:iCs/>
                      <w:color w:val="auto"/>
                      <w:sz w:val="20"/>
                      <w:szCs w:val="20"/>
                    </w:rPr>
                    <w:t xml:space="preserve">, resp. či ku </w:t>
                  </w:r>
                  <w:proofErr w:type="spellStart"/>
                  <w:r w:rsidR="00C86714" w:rsidRPr="00B84BD9">
                    <w:rPr>
                      <w:i/>
                      <w:iCs/>
                      <w:color w:val="auto"/>
                      <w:sz w:val="20"/>
                      <w:szCs w:val="20"/>
                    </w:rPr>
                    <w:t>goldplatingu</w:t>
                  </w:r>
                  <w:proofErr w:type="spellEnd"/>
                  <w:r w:rsidR="00C86714" w:rsidRPr="00B84BD9">
                    <w:rPr>
                      <w:i/>
                      <w:iCs/>
                      <w:color w:val="auto"/>
                      <w:sz w:val="20"/>
                      <w:szCs w:val="20"/>
                    </w:rPr>
                    <w:t xml:space="preserve"> dochádza pri implementácii práva EÚ</w:t>
                  </w:r>
                  <w:r w:rsidRPr="00B84BD9">
                    <w:rPr>
                      <w:i/>
                      <w:iCs/>
                      <w:color w:val="auto"/>
                      <w:sz w:val="20"/>
                      <w:szCs w:val="20"/>
                    </w:rPr>
                    <w:t xml:space="preserve">. </w:t>
                  </w:r>
                </w:p>
              </w:tc>
            </w:tr>
            <w:tr w:rsidR="00612E08" w:rsidRPr="00B84BD9">
              <w:trPr>
                <w:trHeight w:val="296"/>
              </w:trPr>
              <w:tc>
                <w:tcPr>
                  <w:tcW w:w="8643" w:type="dxa"/>
                </w:tcPr>
                <w:p w:rsidR="00A7788F" w:rsidRPr="00B84BD9" w:rsidRDefault="00A7788F" w:rsidP="00A568F5">
                  <w:pPr>
                    <w:pStyle w:val="Default"/>
                    <w:jc w:val="both"/>
                    <w:rPr>
                      <w:b/>
                      <w:iCs/>
                      <w:color w:val="auto"/>
                      <w:sz w:val="20"/>
                      <w:szCs w:val="20"/>
                    </w:rPr>
                  </w:pPr>
                  <w:r w:rsidRPr="00B84BD9">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B84BD9">
                        <w:rPr>
                          <w:rFonts w:ascii="Segoe UI Symbol" w:eastAsia="MS Gothic" w:hAnsi="Segoe UI Symbol" w:cs="Segoe UI Symbol"/>
                          <w:b/>
                          <w:iCs/>
                          <w:color w:val="auto"/>
                          <w:sz w:val="20"/>
                          <w:szCs w:val="20"/>
                        </w:rPr>
                        <w:t>☐</w:t>
                      </w:r>
                    </w:sdtContent>
                  </w:sdt>
                  <w:r w:rsidRPr="00B84BD9">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02B14" w:rsidRPr="00B84BD9">
                        <w:rPr>
                          <w:rFonts w:ascii="Segoe UI Symbol" w:eastAsia="MS Gothic" w:hAnsi="Segoe UI Symbol" w:cs="Segoe UI Symbol"/>
                          <w:b/>
                          <w:iCs/>
                          <w:color w:val="auto"/>
                          <w:sz w:val="20"/>
                          <w:szCs w:val="20"/>
                        </w:rPr>
                        <w:t>☒</w:t>
                      </w:r>
                    </w:sdtContent>
                  </w:sdt>
                  <w:r w:rsidRPr="00B84BD9">
                    <w:rPr>
                      <w:b/>
                      <w:iCs/>
                      <w:color w:val="auto"/>
                      <w:sz w:val="20"/>
                      <w:szCs w:val="20"/>
                    </w:rPr>
                    <w:t xml:space="preserve"> Nie</w:t>
                  </w:r>
                </w:p>
                <w:p w:rsidR="00A7788F" w:rsidRPr="00B84BD9" w:rsidRDefault="00A7788F" w:rsidP="00A568F5">
                  <w:pPr>
                    <w:pStyle w:val="Default"/>
                    <w:jc w:val="both"/>
                    <w:rPr>
                      <w:i/>
                      <w:iCs/>
                      <w:color w:val="auto"/>
                      <w:sz w:val="20"/>
                      <w:szCs w:val="20"/>
                    </w:rPr>
                  </w:pPr>
                </w:p>
                <w:p w:rsidR="00A7788F" w:rsidRPr="00B84BD9" w:rsidRDefault="00A7788F" w:rsidP="00A568F5">
                  <w:pPr>
                    <w:pStyle w:val="Default"/>
                    <w:jc w:val="both"/>
                    <w:rPr>
                      <w:color w:val="auto"/>
                      <w:sz w:val="20"/>
                      <w:szCs w:val="20"/>
                    </w:rPr>
                  </w:pPr>
                  <w:r w:rsidRPr="00B84BD9">
                    <w:rPr>
                      <w:i/>
                      <w:iCs/>
                      <w:color w:val="auto"/>
                      <w:sz w:val="20"/>
                      <w:szCs w:val="20"/>
                    </w:rPr>
                    <w:t xml:space="preserve">Ak áno, uveďte, ktorých vplyvov podľa bodu 9 sa goldplating týka: </w:t>
                  </w:r>
                </w:p>
              </w:tc>
            </w:tr>
            <w:tr w:rsidR="00612E08" w:rsidRPr="00B84BD9">
              <w:trPr>
                <w:trHeight w:val="296"/>
              </w:trPr>
              <w:tc>
                <w:tcPr>
                  <w:tcW w:w="8643" w:type="dxa"/>
                </w:tcPr>
                <w:p w:rsidR="00A7788F" w:rsidRPr="00B84BD9" w:rsidRDefault="00A7788F" w:rsidP="00A568F5">
                  <w:pPr>
                    <w:pStyle w:val="Default"/>
                    <w:jc w:val="both"/>
                    <w:rPr>
                      <w:color w:val="auto"/>
                      <w:sz w:val="20"/>
                      <w:szCs w:val="20"/>
                    </w:rPr>
                  </w:pPr>
                </w:p>
              </w:tc>
            </w:tr>
          </w:tbl>
          <w:p w:rsidR="001B23B7" w:rsidRPr="00B84BD9" w:rsidRDefault="001B23B7" w:rsidP="00A568F5">
            <w:pPr>
              <w:jc w:val="both"/>
              <w:rPr>
                <w:rFonts w:ascii="Times New Roman" w:eastAsia="Times New Roman" w:hAnsi="Times New Roman" w:cs="Times New Roman"/>
                <w:i/>
                <w:sz w:val="20"/>
                <w:szCs w:val="20"/>
                <w:lang w:eastAsia="sk-SK"/>
              </w:rPr>
            </w:pPr>
          </w:p>
        </w:tc>
      </w:tr>
      <w:tr w:rsidR="00612E08" w:rsidRPr="00B84BD9"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84BD9" w:rsidRDefault="001B23B7" w:rsidP="00A568F5">
            <w:pPr>
              <w:jc w:val="both"/>
              <w:rPr>
                <w:rFonts w:ascii="Times New Roman" w:eastAsia="Times New Roman" w:hAnsi="Times New Roman" w:cs="Times New Roman"/>
                <w:sz w:val="20"/>
                <w:szCs w:val="20"/>
                <w:lang w:eastAsia="sk-SK"/>
              </w:rPr>
            </w:pPr>
          </w:p>
        </w:tc>
      </w:tr>
      <w:tr w:rsidR="00612E08" w:rsidRPr="00B84BD9"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Preskúmanie účelnosti</w:t>
            </w:r>
          </w:p>
        </w:tc>
      </w:tr>
      <w:tr w:rsidR="00612E08" w:rsidRPr="00B84BD9"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Uveďte kritériá, na základe ktorých bude preskúmanie vykonané.</w:t>
            </w:r>
          </w:p>
          <w:p w:rsidR="001B23B7" w:rsidRPr="00B84BD9" w:rsidRDefault="001B23B7" w:rsidP="00A568F5">
            <w:pPr>
              <w:jc w:val="both"/>
              <w:rPr>
                <w:rFonts w:ascii="Times New Roman" w:eastAsia="Times New Roman" w:hAnsi="Times New Roman" w:cs="Times New Roman"/>
                <w:i/>
                <w:sz w:val="20"/>
                <w:szCs w:val="20"/>
                <w:lang w:eastAsia="sk-SK"/>
              </w:rPr>
            </w:pPr>
          </w:p>
        </w:tc>
      </w:tr>
      <w:tr w:rsidR="00612E08" w:rsidRPr="00B84BD9" w:rsidTr="000800FC">
        <w:tc>
          <w:tcPr>
            <w:tcW w:w="9180" w:type="dxa"/>
            <w:gridSpan w:val="11"/>
            <w:tcBorders>
              <w:top w:val="nil"/>
              <w:left w:val="nil"/>
              <w:bottom w:val="single" w:sz="4" w:space="0" w:color="auto"/>
              <w:right w:val="nil"/>
            </w:tcBorders>
            <w:shd w:val="clear" w:color="auto" w:fill="FFFFFF"/>
          </w:tcPr>
          <w:p w:rsidR="001B23B7" w:rsidRPr="00B84BD9" w:rsidRDefault="001B23B7" w:rsidP="00A568F5">
            <w:pPr>
              <w:jc w:val="both"/>
              <w:rPr>
                <w:rFonts w:ascii="Times New Roman" w:eastAsia="Times New Roman" w:hAnsi="Times New Roman" w:cs="Times New Roman"/>
                <w:b/>
                <w:sz w:val="20"/>
                <w:szCs w:val="20"/>
                <w:lang w:eastAsia="sk-SK"/>
              </w:rPr>
            </w:pPr>
          </w:p>
          <w:p w:rsidR="001B23B7" w:rsidRPr="00B84BD9" w:rsidRDefault="001B23B7" w:rsidP="00A568F5">
            <w:pPr>
              <w:jc w:val="both"/>
              <w:rPr>
                <w:rFonts w:ascii="Times New Roman" w:eastAsia="Times New Roman" w:hAnsi="Times New Roman" w:cs="Times New Roman"/>
                <w:b/>
                <w:sz w:val="20"/>
                <w:szCs w:val="20"/>
                <w:lang w:eastAsia="sk-SK"/>
              </w:rPr>
            </w:pPr>
          </w:p>
          <w:p w:rsidR="001B23B7" w:rsidRPr="00B84BD9" w:rsidRDefault="001B23B7" w:rsidP="00A568F5">
            <w:pPr>
              <w:ind w:left="142" w:hanging="142"/>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B84BD9" w:rsidRDefault="001B23B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vyplniť iba v prípade, ak sa záverečné posúdenie</w:t>
            </w:r>
            <w:r w:rsidR="00A340BB" w:rsidRPr="00B84BD9">
              <w:rPr>
                <w:rFonts w:ascii="Times New Roman" w:eastAsia="Times New Roman" w:hAnsi="Times New Roman" w:cs="Times New Roman"/>
                <w:sz w:val="20"/>
                <w:szCs w:val="20"/>
                <w:lang w:eastAsia="sk-SK"/>
              </w:rPr>
              <w:t xml:space="preserve"> vybraných vplyvov</w:t>
            </w:r>
            <w:r w:rsidRPr="00B84BD9">
              <w:rPr>
                <w:rFonts w:ascii="Times New Roman" w:eastAsia="Times New Roman" w:hAnsi="Times New Roman" w:cs="Times New Roman"/>
                <w:sz w:val="20"/>
                <w:szCs w:val="20"/>
                <w:lang w:eastAsia="sk-SK"/>
              </w:rPr>
              <w:t xml:space="preserve"> uskutočnilo v zmysle bodu 9.1. </w:t>
            </w:r>
            <w:r w:rsidR="00A340BB" w:rsidRPr="00B84BD9">
              <w:rPr>
                <w:rFonts w:ascii="Times New Roman" w:eastAsia="Times New Roman" w:hAnsi="Times New Roman" w:cs="Times New Roman"/>
                <w:sz w:val="20"/>
                <w:szCs w:val="20"/>
                <w:lang w:eastAsia="sk-SK"/>
              </w:rPr>
              <w:t>j</w:t>
            </w:r>
            <w:r w:rsidRPr="00B84BD9">
              <w:rPr>
                <w:rFonts w:ascii="Times New Roman" w:eastAsia="Times New Roman" w:hAnsi="Times New Roman" w:cs="Times New Roman"/>
                <w:sz w:val="20"/>
                <w:szCs w:val="20"/>
                <w:lang w:eastAsia="sk-SK"/>
              </w:rPr>
              <w:t>ednotnej metodiky</w:t>
            </w:r>
            <w:r w:rsidR="00A340BB" w:rsidRPr="00B84BD9">
              <w:rPr>
                <w:rFonts w:ascii="Times New Roman" w:eastAsia="Times New Roman" w:hAnsi="Times New Roman" w:cs="Times New Roman"/>
                <w:sz w:val="20"/>
                <w:szCs w:val="20"/>
                <w:lang w:eastAsia="sk-SK"/>
              </w:rPr>
              <w:t>.</w:t>
            </w:r>
          </w:p>
          <w:p w:rsidR="00A7788F" w:rsidRPr="00B84BD9" w:rsidRDefault="00A7788F"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B84BD9" w:rsidRDefault="004C6831" w:rsidP="00A568F5">
            <w:pPr>
              <w:jc w:val="both"/>
              <w:rPr>
                <w:rFonts w:ascii="Times New Roman" w:eastAsia="Times New Roman" w:hAnsi="Times New Roman" w:cs="Times New Roman"/>
                <w:sz w:val="20"/>
                <w:szCs w:val="20"/>
                <w:lang w:eastAsia="sk-SK"/>
              </w:rPr>
            </w:pPr>
          </w:p>
          <w:p w:rsidR="001B23B7" w:rsidRPr="00B84BD9" w:rsidRDefault="001B23B7" w:rsidP="00A568F5">
            <w:pPr>
              <w:jc w:val="both"/>
              <w:rPr>
                <w:rFonts w:ascii="Times New Roman" w:eastAsia="Times New Roman" w:hAnsi="Times New Roman" w:cs="Times New Roman"/>
                <w:b/>
                <w:sz w:val="20"/>
                <w:szCs w:val="20"/>
                <w:lang w:eastAsia="sk-SK"/>
              </w:rPr>
            </w:pPr>
          </w:p>
        </w:tc>
      </w:tr>
      <w:tr w:rsidR="00612E08" w:rsidRPr="00B84BD9"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lastRenderedPageBreak/>
              <w:t>Vybrané vplyvy  materiálu</w:t>
            </w:r>
          </w:p>
        </w:tc>
      </w:tr>
      <w:tr w:rsidR="00612E08" w:rsidRPr="00B84BD9"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84BD9" w:rsidRDefault="003145AE"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84BD9" w:rsidRDefault="00203EE3" w:rsidP="00A568F5">
                <w:pPr>
                  <w:ind w:left="-107" w:right="-108"/>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84BD9" w:rsidRDefault="001B23B7" w:rsidP="00A568F5">
            <w:pPr>
              <w:ind w:left="3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4C6831">
        <w:tc>
          <w:tcPr>
            <w:tcW w:w="3812" w:type="dxa"/>
            <w:tcBorders>
              <w:top w:val="nil"/>
              <w:left w:val="single" w:sz="4" w:space="0" w:color="auto"/>
              <w:bottom w:val="nil"/>
              <w:right w:val="single" w:sz="4" w:space="0" w:color="auto"/>
            </w:tcBorders>
            <w:shd w:val="clear" w:color="auto" w:fill="E2E2E2"/>
          </w:tcPr>
          <w:p w:rsidR="00B84F87" w:rsidRPr="00B84BD9" w:rsidRDefault="00B84F8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w:t>
            </w:r>
            <w:r w:rsidR="001B23B7" w:rsidRPr="00B84BD9">
              <w:rPr>
                <w:rFonts w:ascii="Times New Roman" w:eastAsia="Times New Roman" w:hAnsi="Times New Roman" w:cs="Times New Roman"/>
                <w:sz w:val="20"/>
                <w:szCs w:val="20"/>
                <w:lang w:eastAsia="sk-SK"/>
              </w:rPr>
              <w:t xml:space="preserve">z toho rozpočtovo zabezpečené vplyvy, </w:t>
            </w:r>
            <w:r w:rsidR="00A340BB" w:rsidRPr="00B84BD9">
              <w:rPr>
                <w:rFonts w:ascii="Times New Roman" w:eastAsia="Times New Roman" w:hAnsi="Times New Roman" w:cs="Times New Roman"/>
                <w:sz w:val="20"/>
                <w:szCs w:val="20"/>
                <w:lang w:eastAsia="sk-SK"/>
              </w:rPr>
              <w:t xml:space="preserve">    </w:t>
            </w:r>
            <w:r w:rsidRPr="00B84BD9">
              <w:rPr>
                <w:rFonts w:ascii="Times New Roman" w:eastAsia="Times New Roman" w:hAnsi="Times New Roman" w:cs="Times New Roman"/>
                <w:sz w:val="20"/>
                <w:szCs w:val="20"/>
                <w:lang w:eastAsia="sk-SK"/>
              </w:rPr>
              <w:t xml:space="preserve">    </w:t>
            </w:r>
          </w:p>
          <w:p w:rsidR="00B84F87" w:rsidRPr="00B84BD9" w:rsidRDefault="00B84F8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w:t>
            </w:r>
            <w:r w:rsidR="001B23B7" w:rsidRPr="00B84BD9">
              <w:rPr>
                <w:rFonts w:ascii="Times New Roman" w:eastAsia="Times New Roman" w:hAnsi="Times New Roman" w:cs="Times New Roman"/>
                <w:sz w:val="20"/>
                <w:szCs w:val="20"/>
                <w:lang w:eastAsia="sk-SK"/>
              </w:rPr>
              <w:t xml:space="preserve">v prípade identifikovaného negatívneho </w:t>
            </w:r>
          </w:p>
          <w:p w:rsidR="003145AE" w:rsidRPr="00B84BD9" w:rsidRDefault="00B84F8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w:t>
            </w:r>
            <w:r w:rsidR="001B23B7" w:rsidRPr="00B84BD9">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84BD9" w:rsidRDefault="003145AE"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84BD9" w:rsidRDefault="001B23B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84BD9" w:rsidRDefault="00203EE3"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84BD9" w:rsidRDefault="001B23B7"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84BD9" w:rsidRDefault="00203EE3" w:rsidP="00A568F5">
                <w:pPr>
                  <w:ind w:left="-107" w:right="-108"/>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84BD9" w:rsidRDefault="001B23B7" w:rsidP="00A568F5">
            <w:pPr>
              <w:ind w:left="34"/>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Čiastočne</w:t>
            </w:r>
          </w:p>
        </w:tc>
      </w:tr>
      <w:tr w:rsidR="00612E08" w:rsidRPr="00B84BD9" w:rsidTr="004C6831">
        <w:tc>
          <w:tcPr>
            <w:tcW w:w="3812" w:type="dxa"/>
            <w:tcBorders>
              <w:top w:val="nil"/>
              <w:left w:val="single" w:sz="4" w:space="0" w:color="auto"/>
              <w:bottom w:val="nil"/>
              <w:right w:val="single" w:sz="4" w:space="0" w:color="auto"/>
            </w:tcBorders>
            <w:shd w:val="clear" w:color="auto" w:fill="E2E2E2"/>
          </w:tcPr>
          <w:p w:rsidR="003145AE" w:rsidRPr="00B84BD9" w:rsidRDefault="003145AE"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84BD9" w:rsidRDefault="003145AE"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84BD9" w:rsidRDefault="003145AE"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84BD9" w:rsidRDefault="003145AE"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84BD9" w:rsidRDefault="003145AE" w:rsidP="00A568F5">
                <w:pPr>
                  <w:ind w:left="-107" w:right="-108"/>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84BD9" w:rsidRDefault="003145AE" w:rsidP="00A568F5">
            <w:pPr>
              <w:ind w:left="3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B84BD9" w:rsidRDefault="003145AE" w:rsidP="00A568F5">
            <w:pPr>
              <w:ind w:left="171"/>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z toho rozpočtovo zabezpečené vplyvy,</w:t>
            </w:r>
          </w:p>
          <w:p w:rsidR="003145AE" w:rsidRPr="00B84BD9" w:rsidRDefault="003145AE" w:rsidP="00A568F5">
            <w:pPr>
              <w:ind w:left="171"/>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84BD9" w:rsidRDefault="003145AE"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B84BD9" w:rsidRDefault="003145AE"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B84BD9" w:rsidRDefault="003145AE"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B84BD9" w:rsidRDefault="003145AE"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84BD9" w:rsidRDefault="003145AE" w:rsidP="00A568F5">
                <w:pPr>
                  <w:ind w:left="-107" w:right="-108"/>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84BD9" w:rsidRDefault="003145AE" w:rsidP="00A568F5">
            <w:pPr>
              <w:ind w:left="34"/>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Čiastočne</w:t>
            </w:r>
          </w:p>
        </w:tc>
      </w:tr>
      <w:tr w:rsidR="00612E08" w:rsidRPr="00B84BD9"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B84BD9" w:rsidRDefault="00A7788F" w:rsidP="00A568F5">
            <w:pPr>
              <w:ind w:left="171"/>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B84BD9" w:rsidRDefault="00CD6E04"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B84BD9" w:rsidRDefault="00A7788F"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B84BD9" w:rsidRDefault="00A7788F" w:rsidP="00A568F5">
            <w:pPr>
              <w:jc w:val="both"/>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B84BD9" w:rsidRDefault="00A7788F" w:rsidP="00A568F5">
            <w:pPr>
              <w:jc w:val="both"/>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B84BD9" w:rsidRDefault="00187182" w:rsidP="00A568F5">
                <w:pPr>
                  <w:ind w:left="-107" w:right="-108"/>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B84BD9" w:rsidRDefault="00A7788F" w:rsidP="00A568F5">
            <w:pPr>
              <w:ind w:left="34"/>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Nie</w:t>
            </w:r>
          </w:p>
        </w:tc>
      </w:tr>
      <w:tr w:rsidR="00612E08" w:rsidRPr="00B84BD9"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B84BD9" w:rsidRDefault="00B02B14"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B84BD9" w:rsidRDefault="007F587A" w:rsidP="00A568F5">
                <w:pPr>
                  <w:ind w:left="-107" w:right="-108"/>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B84BD9" w:rsidRDefault="007F587A" w:rsidP="00A568F5">
            <w:pPr>
              <w:ind w:left="34"/>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203EE3">
        <w:tc>
          <w:tcPr>
            <w:tcW w:w="3812" w:type="dxa"/>
            <w:tcBorders>
              <w:top w:val="nil"/>
              <w:left w:val="single" w:sz="4" w:space="0" w:color="000000"/>
              <w:bottom w:val="nil"/>
              <w:right w:val="single" w:sz="4" w:space="0" w:color="000000"/>
            </w:tcBorders>
            <w:shd w:val="clear" w:color="auto" w:fill="E2E2E2"/>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z toho vplyvy na MSP</w:t>
            </w:r>
          </w:p>
          <w:p w:rsidR="007F587A" w:rsidRPr="00B84BD9" w:rsidRDefault="007F587A" w:rsidP="00A568F5">
            <w:pPr>
              <w:jc w:val="both"/>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B84BD9" w:rsidRDefault="007F587A" w:rsidP="00A568F5">
            <w:pPr>
              <w:ind w:right="-108"/>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B84BD9" w:rsidRDefault="007F587A" w:rsidP="00A568F5">
            <w:pPr>
              <w:ind w:left="54"/>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Negatívne</w:t>
            </w:r>
          </w:p>
        </w:tc>
      </w:tr>
      <w:tr w:rsidR="00612E08" w:rsidRPr="00B84BD9"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sz w:val="20"/>
                <w:szCs w:val="20"/>
                <w:lang w:eastAsia="sk-SK"/>
              </w:rPr>
            </w:pPr>
            <w:r w:rsidRPr="00B84BD9">
              <w:rPr>
                <w:rFonts w:ascii="Times New Roman" w:eastAsia="Times New Roman" w:hAnsi="Times New Roman" w:cs="Times New Roman"/>
                <w:sz w:val="20"/>
                <w:szCs w:val="20"/>
                <w:lang w:eastAsia="sk-SK"/>
              </w:rPr>
              <w:t xml:space="preserve">    Mechanizmus znižovania byrokracie    </w:t>
            </w:r>
          </w:p>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Nie</w:t>
            </w:r>
          </w:p>
        </w:tc>
      </w:tr>
      <w:tr w:rsidR="00612E08" w:rsidRPr="00B84BD9"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sz w:val="20"/>
                <w:szCs w:val="20"/>
                <w:lang w:eastAsia="sk-SK"/>
              </w:rPr>
            </w:pPr>
          </w:p>
          <w:p w:rsidR="007F587A" w:rsidRPr="00B84BD9" w:rsidRDefault="007F587A" w:rsidP="00A568F5">
            <w:pPr>
              <w:ind w:left="16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B84BD9">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sz w:val="20"/>
                <w:szCs w:val="20"/>
                <w:lang w:eastAsia="sk-SK"/>
              </w:rPr>
              <w:t>Nie</w:t>
            </w:r>
          </w:p>
        </w:tc>
      </w:tr>
      <w:tr w:rsidR="00612E08" w:rsidRPr="00B84BD9"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B84BD9" w:rsidRDefault="007F587A"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B84BD9" w:rsidRDefault="007F587A"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B84BD9" w:rsidRDefault="007F587A"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B84BD9"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84BD9" w:rsidRDefault="000F2BE9" w:rsidP="00A568F5">
            <w:pPr>
              <w:spacing w:after="0" w:line="240" w:lineRule="auto"/>
              <w:jc w:val="both"/>
              <w:rPr>
                <w:rFonts w:ascii="Times New Roman" w:eastAsia="Times New Roman" w:hAnsi="Times New Roman" w:cs="Times New Roman"/>
                <w:b/>
                <w:sz w:val="20"/>
                <w:szCs w:val="20"/>
                <w:lang w:eastAsia="sk-SK"/>
              </w:rPr>
            </w:pPr>
            <w:r w:rsidRPr="00B84BD9">
              <w:rPr>
                <w:rFonts w:ascii="Times New Roman" w:eastAsia="Calibri" w:hAnsi="Times New Roman" w:cs="Times New Roman"/>
                <w:b/>
                <w:sz w:val="20"/>
                <w:szCs w:val="20"/>
              </w:rPr>
              <w:t>Vplyvy na služby verejnej správy pre občana, z</w:t>
            </w:r>
            <w:r w:rsidR="00CE6AAE" w:rsidRPr="00B84BD9">
              <w:rPr>
                <w:rFonts w:ascii="Times New Roman" w:eastAsia="Calibri" w:hAnsi="Times New Roman" w:cs="Times New Roman"/>
                <w:b/>
                <w:sz w:val="20"/>
                <w:szCs w:val="20"/>
              </w:rPr>
              <w:t> </w:t>
            </w:r>
            <w:r w:rsidRPr="00B84BD9">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84BD9" w:rsidRDefault="000F2BE9" w:rsidP="00A568F5">
            <w:pPr>
              <w:spacing w:after="0" w:line="240" w:lineRule="auto"/>
              <w:jc w:val="both"/>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84BD9" w:rsidRDefault="000F2BE9" w:rsidP="00A568F5">
            <w:pPr>
              <w:spacing w:after="0" w:line="240" w:lineRule="auto"/>
              <w:ind w:right="-108"/>
              <w:jc w:val="both"/>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84BD9" w:rsidRDefault="000F2BE9" w:rsidP="00A568F5">
            <w:pPr>
              <w:spacing w:after="0" w:line="240" w:lineRule="auto"/>
              <w:jc w:val="both"/>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84BD9" w:rsidRDefault="000F2BE9" w:rsidP="00A568F5">
            <w:pPr>
              <w:spacing w:after="0" w:line="240" w:lineRule="auto"/>
              <w:jc w:val="both"/>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84BD9" w:rsidRDefault="000F2BE9" w:rsidP="00A568F5">
            <w:pPr>
              <w:spacing w:after="0" w:line="240" w:lineRule="auto"/>
              <w:jc w:val="both"/>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84BD9" w:rsidRDefault="000F2BE9" w:rsidP="00A568F5">
            <w:pPr>
              <w:spacing w:after="0" w:line="240" w:lineRule="auto"/>
              <w:ind w:left="54"/>
              <w:jc w:val="both"/>
              <w:rPr>
                <w:rFonts w:ascii="Times New Roman" w:eastAsia="Times New Roman" w:hAnsi="Times New Roman" w:cs="Times New Roman"/>
                <w:b/>
                <w:sz w:val="20"/>
                <w:szCs w:val="20"/>
                <w:lang w:eastAsia="sk-SK"/>
              </w:rPr>
            </w:pPr>
          </w:p>
        </w:tc>
      </w:tr>
      <w:tr w:rsidR="00612E08" w:rsidRPr="00B84BD9" w:rsidTr="00B547F5">
        <w:tc>
          <w:tcPr>
            <w:tcW w:w="3812" w:type="dxa"/>
            <w:tcBorders>
              <w:top w:val="nil"/>
              <w:left w:val="single" w:sz="4" w:space="0" w:color="auto"/>
              <w:bottom w:val="nil"/>
              <w:right w:val="single" w:sz="4" w:space="0" w:color="auto"/>
            </w:tcBorders>
            <w:shd w:val="clear" w:color="auto" w:fill="E2E2E2"/>
          </w:tcPr>
          <w:p w:rsidR="000F2BE9" w:rsidRPr="00B84BD9" w:rsidRDefault="000F2BE9" w:rsidP="00A568F5">
            <w:pPr>
              <w:spacing w:after="0" w:line="240" w:lineRule="auto"/>
              <w:ind w:left="196" w:hanging="196"/>
              <w:jc w:val="both"/>
              <w:rPr>
                <w:rFonts w:ascii="Times New Roman" w:eastAsia="Calibri" w:hAnsi="Times New Roman" w:cs="Times New Roman"/>
                <w:b/>
                <w:sz w:val="20"/>
                <w:szCs w:val="20"/>
              </w:rPr>
            </w:pPr>
            <w:r w:rsidRPr="00B84BD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84BD9" w:rsidRDefault="0023360B"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84BD9" w:rsidRDefault="000F2BE9" w:rsidP="00A568F5">
            <w:pPr>
              <w:spacing w:after="0" w:line="240" w:lineRule="auto"/>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84BD9" w:rsidRDefault="00B02B14"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84BD9" w:rsidRDefault="000F2BE9" w:rsidP="00A568F5">
            <w:pPr>
              <w:spacing w:after="0" w:line="240" w:lineRule="auto"/>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84BD9" w:rsidRDefault="0023360B"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84BD9" w:rsidRDefault="000F2BE9" w:rsidP="00A568F5">
            <w:pPr>
              <w:spacing w:after="0" w:line="240" w:lineRule="auto"/>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r w:rsidR="00612E08" w:rsidRPr="00B84BD9" w:rsidTr="00B547F5">
        <w:tc>
          <w:tcPr>
            <w:tcW w:w="3812" w:type="dxa"/>
            <w:tcBorders>
              <w:top w:val="nil"/>
              <w:left w:val="single" w:sz="4" w:space="0" w:color="auto"/>
              <w:bottom w:val="nil"/>
              <w:right w:val="single" w:sz="4" w:space="0" w:color="auto"/>
            </w:tcBorders>
            <w:shd w:val="clear" w:color="auto" w:fill="E2E2E2"/>
          </w:tcPr>
          <w:p w:rsidR="000F2BE9" w:rsidRPr="00B84BD9" w:rsidRDefault="000F2BE9" w:rsidP="00A568F5">
            <w:pPr>
              <w:spacing w:after="0" w:line="240" w:lineRule="auto"/>
              <w:ind w:left="168" w:hanging="168"/>
              <w:jc w:val="both"/>
              <w:rPr>
                <w:rFonts w:ascii="Times New Roman" w:eastAsia="Calibri" w:hAnsi="Times New Roman" w:cs="Times New Roman"/>
                <w:b/>
                <w:sz w:val="20"/>
                <w:szCs w:val="20"/>
              </w:rPr>
            </w:pPr>
            <w:r w:rsidRPr="00B84BD9">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84BD9" w:rsidRDefault="0023360B"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84BD9" w:rsidRDefault="000F2BE9" w:rsidP="00A568F5">
            <w:pPr>
              <w:spacing w:after="0" w:line="240" w:lineRule="auto"/>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84BD9" w:rsidRDefault="00B02B14"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84BD9" w:rsidRDefault="000F2BE9" w:rsidP="00A568F5">
            <w:pPr>
              <w:spacing w:after="0" w:line="240" w:lineRule="auto"/>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84BD9" w:rsidRDefault="0023360B" w:rsidP="00A568F5">
                <w:pPr>
                  <w:spacing w:after="0" w:line="240" w:lineRule="auto"/>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84BD9" w:rsidRDefault="000F2BE9" w:rsidP="00A568F5">
            <w:pPr>
              <w:spacing w:after="0" w:line="240" w:lineRule="auto"/>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B84BD9"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84BD9" w:rsidRDefault="00A340BB"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rPr>
              <w:t>Vplyvy na manželstvo</w:t>
            </w:r>
            <w:r w:rsidR="00DF357C" w:rsidRPr="00B84BD9">
              <w:rPr>
                <w:rFonts w:ascii="Times New Roman" w:eastAsia="Times New Roman" w:hAnsi="Times New Roman" w:cs="Times New Roman"/>
                <w:b/>
                <w:sz w:val="20"/>
                <w:szCs w:val="20"/>
              </w:rPr>
              <w:t>,</w:t>
            </w:r>
            <w:r w:rsidRPr="00B84BD9">
              <w:rPr>
                <w:rFonts w:ascii="Times New Roman" w:eastAsia="Times New Roman" w:hAnsi="Times New Roman" w:cs="Times New Roman"/>
                <w:b/>
                <w:sz w:val="20"/>
                <w:szCs w:val="20"/>
              </w:rPr>
              <w:t xml:space="preserve"> rodičovstvo a</w:t>
            </w:r>
            <w:r w:rsidR="00CE6AAE" w:rsidRPr="00B84BD9">
              <w:rPr>
                <w:rFonts w:ascii="Times New Roman" w:eastAsia="Times New Roman" w:hAnsi="Times New Roman" w:cs="Times New Roman"/>
                <w:b/>
                <w:sz w:val="20"/>
                <w:szCs w:val="20"/>
              </w:rPr>
              <w:t> </w:t>
            </w:r>
            <w:r w:rsidRPr="00B84BD9">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84BD9" w:rsidRDefault="0023360B"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84BD9" w:rsidRDefault="00A340BB" w:rsidP="00A568F5">
            <w:pPr>
              <w:ind w:right="-108"/>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84BD9" w:rsidRDefault="00B02B14"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84BD9" w:rsidRDefault="00A340BB"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84BD9" w:rsidRDefault="0023360B" w:rsidP="00A568F5">
                <w:pPr>
                  <w:jc w:val="both"/>
                  <w:rPr>
                    <w:rFonts w:ascii="Times New Roman" w:eastAsia="Times New Roman" w:hAnsi="Times New Roman" w:cs="Times New Roman"/>
                    <w:b/>
                    <w:sz w:val="20"/>
                    <w:szCs w:val="20"/>
                    <w:lang w:eastAsia="sk-SK"/>
                  </w:rPr>
                </w:pPr>
                <w:r w:rsidRPr="00B84BD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84BD9" w:rsidRDefault="00A340BB" w:rsidP="00A568F5">
            <w:pPr>
              <w:ind w:left="54"/>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Negatívne</w:t>
            </w:r>
          </w:p>
        </w:tc>
      </w:tr>
    </w:tbl>
    <w:p w:rsidR="001B23B7" w:rsidRPr="00B84BD9" w:rsidRDefault="001B23B7" w:rsidP="00A568F5">
      <w:pPr>
        <w:spacing w:after="0" w:line="240" w:lineRule="auto"/>
        <w:ind w:right="141"/>
        <w:jc w:val="both"/>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B84BD9"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Poznámky</w:t>
            </w:r>
          </w:p>
        </w:tc>
      </w:tr>
      <w:tr w:rsidR="00612E08" w:rsidRPr="00B84BD9"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B84BD9" w:rsidRDefault="004C6831"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hAnsi="Times New Roman" w:cs="Times New Roman"/>
                <w:color w:val="000000"/>
              </w:rPr>
            </w:pPr>
            <w:r w:rsidRPr="00B84BD9">
              <w:rPr>
                <w:rFonts w:ascii="Times New Roman" w:hAnsi="Times New Roman" w:cs="Times New Roman"/>
                <w:color w:val="000000"/>
              </w:rPr>
              <w:t>Návrh</w:t>
            </w:r>
            <w:r w:rsidRPr="00B84BD9">
              <w:rPr>
                <w:rFonts w:ascii="Times New Roman" w:hAnsi="Times New Roman" w:cs="Times New Roman"/>
                <w:color w:val="000000"/>
                <w:spacing w:val="-6"/>
              </w:rPr>
              <w:t xml:space="preserve"> </w:t>
            </w:r>
            <w:r w:rsidRPr="00B84BD9">
              <w:rPr>
                <w:rFonts w:ascii="Times New Roman" w:hAnsi="Times New Roman" w:cs="Times New Roman"/>
                <w:color w:val="000000"/>
              </w:rPr>
              <w:t>novely</w:t>
            </w:r>
            <w:r w:rsidRPr="00B84BD9">
              <w:rPr>
                <w:rFonts w:ascii="Times New Roman" w:hAnsi="Times New Roman" w:cs="Times New Roman"/>
                <w:color w:val="000000"/>
                <w:spacing w:val="-6"/>
              </w:rPr>
              <w:t xml:space="preserve"> </w:t>
            </w:r>
            <w:r w:rsidRPr="00B84BD9">
              <w:rPr>
                <w:rFonts w:ascii="Times New Roman" w:hAnsi="Times New Roman" w:cs="Times New Roman"/>
                <w:color w:val="000000"/>
              </w:rPr>
              <w:t>zákona,</w:t>
            </w:r>
            <w:r w:rsidRPr="00B84BD9">
              <w:rPr>
                <w:rFonts w:ascii="Times New Roman" w:hAnsi="Times New Roman" w:cs="Times New Roman"/>
                <w:color w:val="000000"/>
                <w:spacing w:val="-6"/>
              </w:rPr>
              <w:t xml:space="preserve"> </w:t>
            </w:r>
            <w:r w:rsidRPr="00B84BD9">
              <w:rPr>
                <w:rFonts w:ascii="Times New Roman" w:hAnsi="Times New Roman" w:cs="Times New Roman"/>
                <w:color w:val="000000"/>
              </w:rPr>
              <w:t>predstavuje</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úpravu</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rôznych</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právnych</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vzťahov</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na</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finančnom</w:t>
            </w:r>
            <w:r w:rsidRPr="00B84BD9">
              <w:rPr>
                <w:rFonts w:ascii="Times New Roman" w:hAnsi="Times New Roman" w:cs="Times New Roman"/>
                <w:color w:val="000000"/>
                <w:spacing w:val="75"/>
              </w:rPr>
              <w:t xml:space="preserve"> </w:t>
            </w:r>
            <w:r w:rsidRPr="00B84BD9">
              <w:rPr>
                <w:rFonts w:ascii="Times New Roman" w:hAnsi="Times New Roman" w:cs="Times New Roman"/>
                <w:color w:val="000000"/>
              </w:rPr>
              <w:t>trhu.</w:t>
            </w:r>
            <w:r w:rsidRPr="00B84BD9">
              <w:rPr>
                <w:rFonts w:ascii="Times New Roman" w:hAnsi="Times New Roman" w:cs="Times New Roman"/>
              </w:rPr>
              <w:t xml:space="preserve"> Vzhľadom na relatívne dobrý stav slovenského bankového sektora a už existujúcu požiadavku na vytváranie minimálnych požiadaviek na vlastné zdroje neočakávame žiadne dopady na banky vyplývajúce zo zmien v existujúcich pravidlách. </w:t>
            </w:r>
            <w:r w:rsidRPr="00B84BD9">
              <w:rPr>
                <w:rFonts w:ascii="Times New Roman" w:hAnsi="Times New Roman" w:cs="Times New Roman"/>
                <w:color w:val="000000"/>
              </w:rPr>
              <w:t>V tejto súvislosti je potrebné zdôrazniť, že navrhované zmeny vplývajú na</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obmedzenie</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rizika</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a</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predchádzanie</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vzniku</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krízových</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situácií</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na</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finančnom</w:t>
            </w:r>
            <w:r w:rsidRPr="00B84BD9">
              <w:rPr>
                <w:rFonts w:ascii="Times New Roman" w:hAnsi="Times New Roman" w:cs="Times New Roman"/>
                <w:color w:val="000000"/>
                <w:spacing w:val="-1"/>
              </w:rPr>
              <w:t xml:space="preserve"> </w:t>
            </w:r>
            <w:r w:rsidRPr="00B84BD9">
              <w:rPr>
                <w:rFonts w:ascii="Times New Roman" w:hAnsi="Times New Roman" w:cs="Times New Roman"/>
                <w:color w:val="000000"/>
              </w:rPr>
              <w:t>trhu. Súbor</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navrhovaných</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opatrení</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zvyšuje</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efektivitu</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finančných</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inštitúcií,</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čím</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prispieva</w:t>
            </w:r>
            <w:r w:rsidRPr="00B84BD9">
              <w:rPr>
                <w:rFonts w:ascii="Times New Roman" w:hAnsi="Times New Roman" w:cs="Times New Roman"/>
                <w:color w:val="000000"/>
                <w:spacing w:val="53"/>
              </w:rPr>
              <w:t xml:space="preserve"> </w:t>
            </w:r>
            <w:r w:rsidRPr="00B84BD9">
              <w:rPr>
                <w:rFonts w:ascii="Times New Roman" w:hAnsi="Times New Roman" w:cs="Times New Roman"/>
                <w:color w:val="000000"/>
              </w:rPr>
              <w:t>k ich odolnosti</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voči</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možným</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krízovým</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situáciám</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a prispieva</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k zvýšeniu</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stability</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finančného</w:t>
            </w:r>
            <w:r w:rsidRPr="00B84BD9">
              <w:rPr>
                <w:rFonts w:ascii="Times New Roman" w:hAnsi="Times New Roman" w:cs="Times New Roman"/>
                <w:color w:val="000000"/>
                <w:spacing w:val="27"/>
              </w:rPr>
              <w:t xml:space="preserve"> </w:t>
            </w:r>
            <w:r w:rsidRPr="00B84BD9">
              <w:rPr>
                <w:rFonts w:ascii="Times New Roman" w:hAnsi="Times New Roman" w:cs="Times New Roman"/>
                <w:color w:val="000000"/>
              </w:rPr>
              <w:t>trhu Slovenskej republiky.</w:t>
            </w:r>
          </w:p>
          <w:p w:rsidR="001B23B7" w:rsidRPr="00B84BD9" w:rsidRDefault="001B23B7" w:rsidP="00A568F5">
            <w:pPr>
              <w:ind w:left="426"/>
              <w:contextualSpacing/>
              <w:jc w:val="both"/>
              <w:rPr>
                <w:rFonts w:ascii="Times New Roman" w:eastAsia="Calibri" w:hAnsi="Times New Roman" w:cs="Times New Roman"/>
                <w:b/>
              </w:rPr>
            </w:pPr>
          </w:p>
        </w:tc>
      </w:tr>
      <w:tr w:rsidR="00612E08" w:rsidRPr="00B84BD9"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t>Kontakt na spracovateľa</w:t>
            </w:r>
          </w:p>
        </w:tc>
      </w:tr>
      <w:tr w:rsidR="00612E08" w:rsidRPr="00B84BD9"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02B14" w:rsidRPr="00B84BD9" w:rsidRDefault="00B02B14"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Ing. Roman Chandoga, PhD.</w:t>
            </w: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 xml:space="preserve">02/5958 2517, </w:t>
            </w:r>
            <w:hyperlink r:id="rId9" w:history="1">
              <w:r w:rsidRPr="00B84BD9">
                <w:rPr>
                  <w:rStyle w:val="Hypertextovprepojenie"/>
                  <w:rFonts w:ascii="Times New Roman" w:hAnsi="Times New Roman"/>
                </w:rPr>
                <w:t>roman.chandoga@mfsr.sk</w:t>
              </w:r>
            </w:hyperlink>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Ministerstvo financií Slovenskej republiky</w:t>
            </w:r>
          </w:p>
          <w:p w:rsidR="00B02B14" w:rsidRPr="00B84BD9" w:rsidRDefault="00B02B14" w:rsidP="00A568F5">
            <w:pPr>
              <w:jc w:val="both"/>
              <w:rPr>
                <w:rFonts w:ascii="Times New Roman" w:hAnsi="Times New Roman" w:cs="Times New Roman"/>
              </w:rPr>
            </w:pP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 xml:space="preserve">Ing. Lucia </w:t>
            </w:r>
            <w:proofErr w:type="spellStart"/>
            <w:r w:rsidRPr="00B84BD9">
              <w:rPr>
                <w:rFonts w:ascii="Times New Roman" w:hAnsi="Times New Roman" w:cs="Times New Roman"/>
              </w:rPr>
              <w:t>Ciráková</w:t>
            </w:r>
            <w:proofErr w:type="spellEnd"/>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lastRenderedPageBreak/>
              <w:t xml:space="preserve">02/5958 2539, </w:t>
            </w:r>
            <w:hyperlink r:id="rId10" w:history="1">
              <w:r w:rsidRPr="00B84BD9">
                <w:rPr>
                  <w:rStyle w:val="Hypertextovprepojenie"/>
                  <w:rFonts w:ascii="Times New Roman" w:hAnsi="Times New Roman"/>
                </w:rPr>
                <w:t>lucia.cirakova@mfsr.sk</w:t>
              </w:r>
            </w:hyperlink>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Ministerstvo financií Slovenskej republiky</w:t>
            </w:r>
          </w:p>
          <w:p w:rsidR="00B02B14" w:rsidRPr="00B84BD9" w:rsidRDefault="00B02B14"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eastAsia="Times New Roman" w:hAnsi="Times New Roman" w:cs="Times New Roman"/>
                <w:i/>
                <w:sz w:val="20"/>
                <w:szCs w:val="20"/>
                <w:lang w:eastAsia="sk-SK"/>
              </w:rPr>
            </w:pPr>
          </w:p>
        </w:tc>
      </w:tr>
      <w:tr w:rsidR="00612E08" w:rsidRPr="00B84BD9"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26"/>
              <w:contextualSpacing/>
              <w:jc w:val="both"/>
              <w:rPr>
                <w:rFonts w:ascii="Times New Roman" w:eastAsia="Calibri" w:hAnsi="Times New Roman" w:cs="Times New Roman"/>
                <w:b/>
              </w:rPr>
            </w:pPr>
            <w:r w:rsidRPr="00B84BD9">
              <w:rPr>
                <w:rFonts w:ascii="Times New Roman" w:eastAsia="Calibri" w:hAnsi="Times New Roman" w:cs="Times New Roman"/>
                <w:b/>
              </w:rPr>
              <w:lastRenderedPageBreak/>
              <w:t>Zdroje</w:t>
            </w:r>
          </w:p>
        </w:tc>
      </w:tr>
      <w:tr w:rsidR="00612E08" w:rsidRPr="00B84BD9"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i/>
                <w:sz w:val="20"/>
                <w:szCs w:val="20"/>
                <w:lang w:eastAsia="sk-SK"/>
              </w:rPr>
            </w:pPr>
            <w:r w:rsidRPr="00B84BD9">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84BD9">
              <w:rPr>
                <w:rFonts w:ascii="Times New Roman" w:eastAsia="Calibri" w:hAnsi="Times New Roman" w:cs="Times New Roman"/>
                <w:sz w:val="24"/>
                <w:szCs w:val="24"/>
              </w:rPr>
              <w:t xml:space="preserve"> </w:t>
            </w:r>
          </w:p>
          <w:p w:rsidR="001B23B7" w:rsidRPr="00B84BD9" w:rsidRDefault="001B23B7" w:rsidP="00A568F5">
            <w:pPr>
              <w:jc w:val="both"/>
              <w:rPr>
                <w:rFonts w:ascii="Times New Roman" w:eastAsia="Times New Roman" w:hAnsi="Times New Roman" w:cs="Times New Roman"/>
                <w:i/>
                <w:sz w:val="20"/>
                <w:szCs w:val="20"/>
                <w:lang w:eastAsia="sk-SK"/>
              </w:rPr>
            </w:pPr>
          </w:p>
          <w:p w:rsidR="00B02B14" w:rsidRPr="00B84BD9" w:rsidRDefault="00B02B14" w:rsidP="00A568F5">
            <w:pPr>
              <w:jc w:val="both"/>
              <w:rPr>
                <w:rFonts w:ascii="Times New Roman" w:hAnsi="Times New Roman" w:cs="Times New Roman"/>
              </w:rPr>
            </w:pPr>
            <w:r w:rsidRPr="00B84BD9">
              <w:rPr>
                <w:rFonts w:ascii="Times New Roman" w:hAnsi="Times New Roman" w:cs="Times New Roman"/>
              </w:rPr>
              <w:t xml:space="preserve">Nariadenie Európskeho Parlamentu a Rady (EÚ) 2022/2036 z 19. októbra 2022, ktorým sa mení nariadenie (EÚ) č. 575/2013 a smernica 2014/59/EÚ, pokiaľ ide o </w:t>
            </w:r>
            <w:proofErr w:type="spellStart"/>
            <w:r w:rsidRPr="00B84BD9">
              <w:rPr>
                <w:rFonts w:ascii="Times New Roman" w:hAnsi="Times New Roman" w:cs="Times New Roman"/>
              </w:rPr>
              <w:t>prudenciálne</w:t>
            </w:r>
            <w:proofErr w:type="spellEnd"/>
            <w:r w:rsidRPr="00B84BD9">
              <w:rPr>
                <w:rFonts w:ascii="Times New Roman" w:hAnsi="Times New Roman" w:cs="Times New Roman"/>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p>
          <w:p w:rsidR="00130CA0" w:rsidRPr="00B84BD9" w:rsidRDefault="00130CA0" w:rsidP="00A568F5">
            <w:pPr>
              <w:jc w:val="both"/>
              <w:rPr>
                <w:rFonts w:ascii="Times New Roman" w:hAnsi="Times New Roman" w:cs="Times New Roman"/>
              </w:rPr>
            </w:pPr>
          </w:p>
          <w:p w:rsidR="00130CA0" w:rsidRPr="00B84BD9" w:rsidRDefault="00130CA0" w:rsidP="00A568F5">
            <w:pPr>
              <w:jc w:val="both"/>
              <w:rPr>
                <w:rFonts w:ascii="Times New Roman" w:eastAsia="Times New Roman" w:hAnsi="Times New Roman" w:cs="Times New Roman"/>
                <w:i/>
                <w:sz w:val="20"/>
                <w:szCs w:val="20"/>
                <w:lang w:eastAsia="sk-SK"/>
              </w:rPr>
            </w:pPr>
            <w:r w:rsidRPr="00B84BD9">
              <w:rPr>
                <w:rFonts w:ascii="Times New Roman" w:hAnsi="Times New Roman" w:cs="Times New Roman"/>
              </w:rPr>
              <w:t>smernica Európskeho Parlamentu a Rady (EÚ) 2024/1174 z 11. apríla 2024, ktorou sa mení smernica 2014/59/EÚ a nariadenie (EÚ) č. 806/2014, pokiaľ ide o určité aspekty minimálnej požiadavky na vlastné zdroje a oprávnené záväzky</w:t>
            </w:r>
          </w:p>
          <w:p w:rsidR="001B23B7" w:rsidRPr="00B84BD9" w:rsidRDefault="001B23B7" w:rsidP="00A568F5">
            <w:pPr>
              <w:jc w:val="both"/>
              <w:rPr>
                <w:rFonts w:ascii="Times New Roman" w:eastAsia="Times New Roman" w:hAnsi="Times New Roman" w:cs="Times New Roman"/>
                <w:b/>
                <w:sz w:val="20"/>
                <w:szCs w:val="20"/>
                <w:lang w:eastAsia="sk-SK"/>
              </w:rPr>
            </w:pPr>
          </w:p>
          <w:p w:rsidR="00B02B14" w:rsidRPr="00B84BD9" w:rsidRDefault="00B02B14" w:rsidP="00A568F5">
            <w:pPr>
              <w:jc w:val="both"/>
              <w:rPr>
                <w:rFonts w:ascii="Times New Roman" w:eastAsia="Times New Roman" w:hAnsi="Times New Roman" w:cs="Times New Roman"/>
                <w:b/>
                <w:sz w:val="20"/>
                <w:szCs w:val="20"/>
                <w:lang w:eastAsia="sk-SK"/>
              </w:rPr>
            </w:pPr>
          </w:p>
        </w:tc>
      </w:tr>
      <w:tr w:rsidR="00612E08" w:rsidRPr="00B84BD9"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84BD9" w:rsidRDefault="001B23B7" w:rsidP="00A568F5">
            <w:pPr>
              <w:numPr>
                <w:ilvl w:val="0"/>
                <w:numId w:val="1"/>
              </w:numPr>
              <w:ind w:left="447" w:hanging="425"/>
              <w:contextualSpacing/>
              <w:jc w:val="both"/>
              <w:rPr>
                <w:rFonts w:ascii="Times New Roman" w:eastAsia="Calibri" w:hAnsi="Times New Roman" w:cs="Times New Roman"/>
                <w:b/>
              </w:rPr>
            </w:pPr>
            <w:r w:rsidRPr="00B84BD9">
              <w:rPr>
                <w:rFonts w:ascii="Times New Roman" w:eastAsia="Calibri" w:hAnsi="Times New Roman" w:cs="Times New Roman"/>
                <w:b/>
              </w:rPr>
              <w:t>Stanovisko Komisie na posudzovanie vybraných vplyvov z PPK č. ..........</w:t>
            </w:r>
            <w:r w:rsidRPr="00B84BD9">
              <w:rPr>
                <w:rFonts w:ascii="Times New Roman" w:eastAsia="Calibri" w:hAnsi="Times New Roman" w:cs="Times New Roman"/>
              </w:rPr>
              <w:t xml:space="preserve"> </w:t>
            </w:r>
          </w:p>
          <w:p w:rsidR="001B23B7" w:rsidRPr="00B84BD9" w:rsidRDefault="001B23B7" w:rsidP="00A568F5">
            <w:pPr>
              <w:ind w:left="502"/>
              <w:jc w:val="both"/>
              <w:rPr>
                <w:rFonts w:ascii="Times New Roman" w:eastAsia="Times New Roman" w:hAnsi="Times New Roman" w:cs="Times New Roman"/>
                <w:b/>
                <w:sz w:val="20"/>
                <w:szCs w:val="20"/>
                <w:lang w:eastAsia="sk-SK"/>
              </w:rPr>
            </w:pPr>
            <w:r w:rsidRPr="00B84BD9">
              <w:rPr>
                <w:rFonts w:ascii="Times New Roman" w:eastAsia="Calibri" w:hAnsi="Times New Roman" w:cs="Times New Roman"/>
              </w:rPr>
              <w:t>(v prípade, ak sa uskutočnilo v zmysle bodu 8.1 Jednotnej metodiky)</w:t>
            </w:r>
          </w:p>
        </w:tc>
      </w:tr>
      <w:tr w:rsidR="00612E08" w:rsidRPr="00B84BD9"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84BD9" w:rsidRDefault="001B23B7" w:rsidP="00A568F5">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B84BD9" w:rsidTr="000800FC">
              <w:trPr>
                <w:trHeight w:val="396"/>
              </w:trPr>
              <w:tc>
                <w:tcPr>
                  <w:tcW w:w="2552" w:type="dxa"/>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3E6265">
                        <w:rPr>
                          <w:rFonts w:ascii="MS Gothic" w:eastAsia="MS Gothic" w:hAnsi="MS Gothic" w:cs="Times New Roman" w:hint="eastAsia"/>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 xml:space="preserve">Súhlasné </w:t>
                  </w:r>
                </w:p>
              </w:tc>
              <w:tc>
                <w:tcPr>
                  <w:tcW w:w="3827" w:type="dxa"/>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B84BD9">
                        <w:rPr>
                          <w:rFonts w:ascii="Segoe UI Symbol" w:eastAsia="MS Gothic" w:hAnsi="Segoe UI Symbol" w:cs="Segoe UI Symbol"/>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Súhlasné s návrhom na dopracovanie</w:t>
                  </w:r>
                </w:p>
              </w:tc>
              <w:tc>
                <w:tcPr>
                  <w:tcW w:w="2534" w:type="dxa"/>
                </w:tcPr>
                <w:p w:rsidR="001B23B7" w:rsidRPr="00B84BD9" w:rsidRDefault="008B72B4" w:rsidP="00A568F5">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B84BD9">
                        <w:rPr>
                          <w:rFonts w:ascii="Segoe UI Symbol" w:eastAsia="MS Gothic" w:hAnsi="Segoe UI Symbol" w:cs="Segoe UI Symbol"/>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Nesúhlasné</w:t>
                  </w:r>
                </w:p>
              </w:tc>
            </w:tr>
          </w:tbl>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Uveďte pripomienky zo stanoviska Komisie z časti II. spolu s Vaším vyhodnotením:</w:t>
            </w:r>
          </w:p>
          <w:p w:rsidR="001B23B7" w:rsidRPr="00B84BD9" w:rsidRDefault="001B23B7" w:rsidP="00A568F5">
            <w:pPr>
              <w:jc w:val="both"/>
              <w:rPr>
                <w:rFonts w:ascii="Times New Roman" w:eastAsia="Times New Roman" w:hAnsi="Times New Roman" w:cs="Times New Roman"/>
                <w:b/>
                <w:sz w:val="20"/>
                <w:szCs w:val="20"/>
                <w:lang w:eastAsia="sk-SK"/>
              </w:rPr>
            </w:pPr>
          </w:p>
          <w:p w:rsidR="001B23B7" w:rsidRPr="00B84BD9" w:rsidRDefault="001B23B7" w:rsidP="00A568F5">
            <w:pPr>
              <w:jc w:val="both"/>
              <w:rPr>
                <w:rFonts w:ascii="Times New Roman" w:eastAsia="Times New Roman" w:hAnsi="Times New Roman" w:cs="Times New Roman"/>
                <w:b/>
                <w:sz w:val="20"/>
                <w:szCs w:val="20"/>
                <w:lang w:eastAsia="sk-SK"/>
              </w:rPr>
            </w:pPr>
          </w:p>
          <w:p w:rsidR="00B02B14" w:rsidRPr="00B84BD9" w:rsidRDefault="00B02B14" w:rsidP="00A568F5">
            <w:pPr>
              <w:jc w:val="both"/>
              <w:rPr>
                <w:rFonts w:ascii="Times New Roman" w:eastAsia="Times New Roman" w:hAnsi="Times New Roman" w:cs="Times New Roman"/>
                <w:b/>
                <w:sz w:val="20"/>
                <w:szCs w:val="20"/>
                <w:lang w:eastAsia="sk-SK"/>
              </w:rPr>
            </w:pPr>
          </w:p>
        </w:tc>
      </w:tr>
      <w:tr w:rsidR="00612E08" w:rsidRPr="00B84BD9"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84BD9" w:rsidRDefault="001B23B7" w:rsidP="00A568F5">
            <w:pPr>
              <w:numPr>
                <w:ilvl w:val="0"/>
                <w:numId w:val="1"/>
              </w:numPr>
              <w:ind w:left="450" w:hanging="425"/>
              <w:contextualSpacing/>
              <w:jc w:val="both"/>
              <w:rPr>
                <w:rFonts w:ascii="Times New Roman" w:eastAsia="Calibri" w:hAnsi="Times New Roman" w:cs="Times New Roman"/>
                <w:b/>
              </w:rPr>
            </w:pPr>
            <w:r w:rsidRPr="00B84BD9">
              <w:rPr>
                <w:rFonts w:ascii="Times New Roman" w:eastAsia="Calibri" w:hAnsi="Times New Roman" w:cs="Times New Roman"/>
                <w:b/>
              </w:rPr>
              <w:t>Stanovisko Komisie na posudzovanie vybraných vplyvov zo záverečného posúdenia č. ..........</w:t>
            </w:r>
            <w:r w:rsidRPr="00B84BD9">
              <w:rPr>
                <w:rFonts w:ascii="Times New Roman" w:eastAsia="Calibri" w:hAnsi="Times New Roman" w:cs="Times New Roman"/>
              </w:rPr>
              <w:t xml:space="preserve"> (v prípade, ak sa uskutočnilo v zmysle bodu 9.1. Jednotnej metodiky) </w:t>
            </w:r>
          </w:p>
        </w:tc>
      </w:tr>
      <w:tr w:rsidR="00612E08" w:rsidRPr="00B84BD9" w:rsidTr="000800FC">
        <w:tblPrEx>
          <w:tblBorders>
            <w:insideH w:val="single" w:sz="4" w:space="0" w:color="FFFFFF"/>
            <w:insideV w:val="single" w:sz="4" w:space="0" w:color="FFFFFF"/>
          </w:tblBorders>
        </w:tblPrEx>
        <w:tc>
          <w:tcPr>
            <w:tcW w:w="9176" w:type="dxa"/>
            <w:shd w:val="clear" w:color="auto" w:fill="FFFFFF"/>
          </w:tcPr>
          <w:p w:rsidR="001B23B7" w:rsidRPr="00B84BD9" w:rsidRDefault="001B23B7" w:rsidP="00A568F5">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B84BD9" w:rsidTr="000800FC">
              <w:trPr>
                <w:trHeight w:val="396"/>
              </w:trPr>
              <w:tc>
                <w:tcPr>
                  <w:tcW w:w="2552" w:type="dxa"/>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B84BD9">
                        <w:rPr>
                          <w:rFonts w:ascii="Segoe UI Symbol" w:eastAsia="MS Gothic" w:hAnsi="Segoe UI Symbol" w:cs="Segoe UI Symbol"/>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 xml:space="preserve">Súhlasné </w:t>
                  </w:r>
                </w:p>
              </w:tc>
              <w:tc>
                <w:tcPr>
                  <w:tcW w:w="3827" w:type="dxa"/>
                </w:tcPr>
                <w:p w:rsidR="001B23B7" w:rsidRPr="00B84BD9" w:rsidRDefault="008B72B4" w:rsidP="00A568F5">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B84BD9">
                        <w:rPr>
                          <w:rFonts w:ascii="Segoe UI Symbol" w:eastAsia="MS Gothic" w:hAnsi="Segoe UI Symbol" w:cs="Segoe UI Symbol"/>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Súhlasné s  návrhom na dopracovanie</w:t>
                  </w:r>
                </w:p>
              </w:tc>
              <w:tc>
                <w:tcPr>
                  <w:tcW w:w="2534" w:type="dxa"/>
                </w:tcPr>
                <w:p w:rsidR="001B23B7" w:rsidRPr="00B84BD9" w:rsidRDefault="008B72B4" w:rsidP="00A568F5">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B84BD9">
                        <w:rPr>
                          <w:rFonts w:ascii="Segoe UI Symbol" w:eastAsia="MS Gothic" w:hAnsi="Segoe UI Symbol" w:cs="Segoe UI Symbol"/>
                          <w:b/>
                          <w:sz w:val="20"/>
                          <w:szCs w:val="20"/>
                          <w:lang w:eastAsia="sk-SK"/>
                        </w:rPr>
                        <w:t>☐</w:t>
                      </w:r>
                    </w:sdtContent>
                  </w:sdt>
                  <w:r w:rsidR="0023360B" w:rsidRPr="00B84BD9">
                    <w:rPr>
                      <w:rFonts w:ascii="Times New Roman" w:eastAsia="Times New Roman" w:hAnsi="Times New Roman" w:cs="Times New Roman"/>
                      <w:b/>
                      <w:sz w:val="20"/>
                      <w:szCs w:val="20"/>
                      <w:lang w:eastAsia="sk-SK"/>
                    </w:rPr>
                    <w:t xml:space="preserve">  </w:t>
                  </w:r>
                  <w:r w:rsidR="001B23B7" w:rsidRPr="00B84BD9">
                    <w:rPr>
                      <w:rFonts w:ascii="Times New Roman" w:eastAsia="Times New Roman" w:hAnsi="Times New Roman" w:cs="Times New Roman"/>
                      <w:b/>
                      <w:sz w:val="20"/>
                      <w:szCs w:val="20"/>
                      <w:lang w:eastAsia="sk-SK"/>
                    </w:rPr>
                    <w:t>Nesúhlasné</w:t>
                  </w:r>
                </w:p>
              </w:tc>
            </w:tr>
          </w:tbl>
          <w:p w:rsidR="001B23B7" w:rsidRPr="00B84BD9" w:rsidRDefault="001B23B7" w:rsidP="00A568F5">
            <w:pPr>
              <w:jc w:val="both"/>
              <w:rPr>
                <w:rFonts w:ascii="Times New Roman" w:eastAsia="Times New Roman" w:hAnsi="Times New Roman" w:cs="Times New Roman"/>
                <w:b/>
                <w:sz w:val="20"/>
                <w:szCs w:val="20"/>
                <w:lang w:eastAsia="sk-SK"/>
              </w:rPr>
            </w:pPr>
            <w:r w:rsidRPr="00B84BD9">
              <w:rPr>
                <w:rFonts w:ascii="Times New Roman" w:eastAsia="Times New Roman" w:hAnsi="Times New Roman" w:cs="Times New Roman"/>
                <w:b/>
                <w:sz w:val="20"/>
                <w:szCs w:val="20"/>
                <w:lang w:eastAsia="sk-SK"/>
              </w:rPr>
              <w:t>Uveďte pripomienky zo stanoviska Komisie z časti II. spolu s Vaším vyhodnotením:</w:t>
            </w:r>
          </w:p>
          <w:p w:rsidR="001B23B7" w:rsidRPr="00B84BD9" w:rsidRDefault="001B23B7" w:rsidP="00A568F5">
            <w:pPr>
              <w:jc w:val="both"/>
              <w:rPr>
                <w:rFonts w:ascii="Times New Roman" w:eastAsia="Times New Roman" w:hAnsi="Times New Roman" w:cs="Times New Roman"/>
                <w:b/>
                <w:sz w:val="20"/>
                <w:szCs w:val="20"/>
                <w:lang w:eastAsia="sk-SK"/>
              </w:rPr>
            </w:pPr>
          </w:p>
          <w:p w:rsidR="00B02B14" w:rsidRPr="00B84BD9" w:rsidRDefault="00B02B14" w:rsidP="00A568F5">
            <w:pPr>
              <w:jc w:val="both"/>
              <w:rPr>
                <w:rFonts w:ascii="Times New Roman" w:hAnsi="Times New Roman" w:cs="Times New Roman"/>
                <w:i/>
              </w:rPr>
            </w:pPr>
            <w:r w:rsidRPr="00B84BD9">
              <w:rPr>
                <w:rFonts w:ascii="Times New Roman" w:hAnsi="Times New Roman" w:cs="Times New Roman"/>
                <w:i/>
              </w:rPr>
              <w:t xml:space="preserve">. </w:t>
            </w:r>
          </w:p>
          <w:p w:rsidR="001B23B7" w:rsidRPr="00B84BD9" w:rsidRDefault="001B23B7" w:rsidP="00A568F5">
            <w:pPr>
              <w:jc w:val="both"/>
              <w:rPr>
                <w:rFonts w:ascii="Times New Roman" w:eastAsia="Times New Roman" w:hAnsi="Times New Roman" w:cs="Times New Roman"/>
                <w:b/>
                <w:sz w:val="20"/>
                <w:szCs w:val="20"/>
                <w:lang w:eastAsia="sk-SK"/>
              </w:rPr>
            </w:pPr>
          </w:p>
        </w:tc>
      </w:tr>
    </w:tbl>
    <w:p w:rsidR="00274130" w:rsidRPr="00B84BD9" w:rsidRDefault="008B72B4" w:rsidP="00A568F5">
      <w:pPr>
        <w:jc w:val="both"/>
        <w:rPr>
          <w:rFonts w:ascii="Times New Roman" w:hAnsi="Times New Roman" w:cs="Times New Roman"/>
        </w:rPr>
      </w:pPr>
    </w:p>
    <w:sectPr w:rsidR="00274130" w:rsidRPr="00B84BD9"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B4" w:rsidRDefault="008B72B4" w:rsidP="001B23B7">
      <w:pPr>
        <w:spacing w:after="0" w:line="240" w:lineRule="auto"/>
      </w:pPr>
      <w:r>
        <w:separator/>
      </w:r>
    </w:p>
  </w:endnote>
  <w:endnote w:type="continuationSeparator" w:id="0">
    <w:p w:rsidR="008B72B4" w:rsidRDefault="008B72B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073B0">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B4" w:rsidRDefault="008B72B4" w:rsidP="001B23B7">
      <w:pPr>
        <w:spacing w:after="0" w:line="240" w:lineRule="auto"/>
      </w:pPr>
      <w:r>
        <w:separator/>
      </w:r>
    </w:p>
  </w:footnote>
  <w:footnote w:type="continuationSeparator" w:id="0">
    <w:p w:rsidR="008B72B4" w:rsidRDefault="008B72B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30CA0"/>
    <w:rsid w:val="00156064"/>
    <w:rsid w:val="00187182"/>
    <w:rsid w:val="001B23B7"/>
    <w:rsid w:val="001E3562"/>
    <w:rsid w:val="00203EE3"/>
    <w:rsid w:val="002243BB"/>
    <w:rsid w:val="0023360B"/>
    <w:rsid w:val="00243652"/>
    <w:rsid w:val="002F6ADB"/>
    <w:rsid w:val="003145AE"/>
    <w:rsid w:val="003553ED"/>
    <w:rsid w:val="003A057B"/>
    <w:rsid w:val="003A381E"/>
    <w:rsid w:val="003E6265"/>
    <w:rsid w:val="00411898"/>
    <w:rsid w:val="0049476D"/>
    <w:rsid w:val="004A4383"/>
    <w:rsid w:val="004C6831"/>
    <w:rsid w:val="005073B0"/>
    <w:rsid w:val="0056290E"/>
    <w:rsid w:val="00591EC6"/>
    <w:rsid w:val="00591ED3"/>
    <w:rsid w:val="00612E08"/>
    <w:rsid w:val="006F678E"/>
    <w:rsid w:val="006F6B62"/>
    <w:rsid w:val="00720322"/>
    <w:rsid w:val="0075197E"/>
    <w:rsid w:val="00761208"/>
    <w:rsid w:val="007756BE"/>
    <w:rsid w:val="007B40C1"/>
    <w:rsid w:val="007C5312"/>
    <w:rsid w:val="007D6F2C"/>
    <w:rsid w:val="007F587A"/>
    <w:rsid w:val="0080042A"/>
    <w:rsid w:val="00834DD2"/>
    <w:rsid w:val="00865E81"/>
    <w:rsid w:val="008801B5"/>
    <w:rsid w:val="00881E07"/>
    <w:rsid w:val="008B222D"/>
    <w:rsid w:val="008B72B4"/>
    <w:rsid w:val="008C79B7"/>
    <w:rsid w:val="009431E3"/>
    <w:rsid w:val="009475F5"/>
    <w:rsid w:val="009717F5"/>
    <w:rsid w:val="0098472E"/>
    <w:rsid w:val="009C424C"/>
    <w:rsid w:val="009E09F7"/>
    <w:rsid w:val="009F4832"/>
    <w:rsid w:val="00A340BB"/>
    <w:rsid w:val="00A568F5"/>
    <w:rsid w:val="00A60413"/>
    <w:rsid w:val="00A7788F"/>
    <w:rsid w:val="00AC30D6"/>
    <w:rsid w:val="00B00B6E"/>
    <w:rsid w:val="00B02B14"/>
    <w:rsid w:val="00B547F5"/>
    <w:rsid w:val="00B84BD9"/>
    <w:rsid w:val="00B84F87"/>
    <w:rsid w:val="00BA2BF4"/>
    <w:rsid w:val="00C43FEC"/>
    <w:rsid w:val="00C86714"/>
    <w:rsid w:val="00C94A83"/>
    <w:rsid w:val="00C94E4E"/>
    <w:rsid w:val="00CB08AE"/>
    <w:rsid w:val="00CD6E04"/>
    <w:rsid w:val="00CE6AAE"/>
    <w:rsid w:val="00CF1A25"/>
    <w:rsid w:val="00D2313B"/>
    <w:rsid w:val="00D50F1E"/>
    <w:rsid w:val="00DA66DA"/>
    <w:rsid w:val="00DF357C"/>
    <w:rsid w:val="00E440B4"/>
    <w:rsid w:val="00ED165A"/>
    <w:rsid w:val="00ED1AC0"/>
    <w:rsid w:val="00EE7FAA"/>
    <w:rsid w:val="00F50A84"/>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F10C"/>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Odstavec cíl se seznamem,Odstavec se seznamem1"/>
    <w:basedOn w:val="Normlny"/>
    <w:link w:val="OdsekzoznamuChar"/>
    <w:uiPriority w:val="34"/>
    <w:qFormat/>
    <w:rsid w:val="00B02B14"/>
    <w:pPr>
      <w:spacing w:after="200" w:line="276" w:lineRule="auto"/>
      <w:ind w:left="720"/>
      <w:contextualSpacing/>
    </w:pPr>
  </w:style>
  <w:style w:type="character" w:customStyle="1" w:styleId="OdsekzoznamuChar">
    <w:name w:val="Odsek zoznamu Char"/>
    <w:aliases w:val="Odstavec cíl se seznamem Char,Odstavec se seznamem1 Char"/>
    <w:basedOn w:val="Predvolenpsmoodseku"/>
    <w:link w:val="Odsekzoznamu"/>
    <w:uiPriority w:val="34"/>
    <w:locked/>
    <w:rsid w:val="00B02B14"/>
  </w:style>
  <w:style w:type="character" w:styleId="Hypertextovprepojenie">
    <w:name w:val="Hyperlink"/>
    <w:basedOn w:val="Predvolenpsmoodseku"/>
    <w:uiPriority w:val="99"/>
    <w:unhideWhenUsed/>
    <w:rsid w:val="00B02B1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ucia.cirakova@mfsr.sk" TargetMode="External"/><Relationship Id="rId4" Type="http://schemas.openxmlformats.org/officeDocument/2006/relationships/styles" Target="styles.xml"/><Relationship Id="rId9" Type="http://schemas.openxmlformats.org/officeDocument/2006/relationships/hyperlink" Target="mailto:roman.chandoga@mfsr.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CC1C521-06CA-43ED-9D00-2DF6B648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2086</Words>
  <Characters>11895</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Fokova Barbora</cp:lastModifiedBy>
  <cp:revision>4</cp:revision>
  <cp:lastPrinted>2024-10-29T12:07:00Z</cp:lastPrinted>
  <dcterms:created xsi:type="dcterms:W3CDTF">2024-10-04T11:31:00Z</dcterms:created>
  <dcterms:modified xsi:type="dcterms:W3CDTF">2024-12-11T13:20:00Z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