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EE4" w:rsidRPr="00D713C1" w:rsidRDefault="00575EE4" w:rsidP="00D6013D">
      <w:pPr>
        <w:spacing w:after="120"/>
        <w:ind w:left="2832"/>
        <w:rPr>
          <w:b/>
          <w:caps/>
        </w:rPr>
      </w:pPr>
      <w:bookmarkStart w:id="0" w:name="_GoBack"/>
      <w:bookmarkEnd w:id="0"/>
      <w:r w:rsidRPr="00D713C1">
        <w:rPr>
          <w:b/>
          <w:caps/>
        </w:rPr>
        <w:t xml:space="preserve">Predkladacia správa </w:t>
      </w:r>
    </w:p>
    <w:p w:rsidR="00E51502" w:rsidRDefault="00E51502" w:rsidP="00E51502">
      <w:pPr>
        <w:spacing w:after="120"/>
        <w:jc w:val="both"/>
      </w:pPr>
    </w:p>
    <w:p w:rsidR="00575EE4" w:rsidRDefault="003A0FF1" w:rsidP="001B1ADE">
      <w:pPr>
        <w:spacing w:after="120"/>
        <w:ind w:firstLine="708"/>
        <w:jc w:val="both"/>
      </w:pPr>
      <w:r>
        <w:t>Cieľom</w:t>
      </w:r>
      <w:r w:rsidR="003F0185">
        <w:t xml:space="preserve"> </w:t>
      </w:r>
      <w:r w:rsidR="00575EE4">
        <w:t xml:space="preserve">návrhu </w:t>
      </w:r>
      <w:r w:rsidR="00497F26" w:rsidRPr="00497F26">
        <w:t xml:space="preserve">zákona, </w:t>
      </w:r>
      <w:r w:rsidR="00C57E01" w:rsidRPr="00C57E01">
        <w:t xml:space="preserve">ktorým sa mení a dopĺňa zákon č. 371/2014 Z. z. o riešení krízových situácií na finančnom trhu a o zmene a doplnení niektorých zákonov v znení neskorších predpisov </w:t>
      </w:r>
      <w:r w:rsidR="00575EE4">
        <w:t>(ďalej len „návrh zákona“) je</w:t>
      </w:r>
      <w:r w:rsidR="00B81523">
        <w:t xml:space="preserve"> v prvom rade</w:t>
      </w:r>
      <w:r w:rsidR="00575EE4">
        <w:t xml:space="preserve"> implementácia </w:t>
      </w:r>
      <w:r w:rsidR="005A3F74">
        <w:t>Nariadenia Európskeho Parlamentu a Rady (EÚ) 2022/2036 z 19. októbra 2022, ktorým sa mení nariadenie (EÚ) č. 575/2013</w:t>
      </w:r>
      <w:r w:rsidR="001B1ADE">
        <w:t xml:space="preserve"> </w:t>
      </w:r>
      <w:r w:rsidR="00D34E95">
        <w:t>a</w:t>
      </w:r>
      <w:r w:rsidR="005A3F74">
        <w:t xml:space="preserve"> smernic</w:t>
      </w:r>
      <w:r w:rsidR="00D34E95">
        <w:t>a</w:t>
      </w:r>
      <w:r w:rsidR="005A3F74">
        <w:t xml:space="preserve"> 2014/59/EÚ, pokiaľ ide o prudenciálne zaobchádzanie s globálnymi systémovo významnými inštitúciami so stratégiou riešenia krízových situácií vo viacerých okamihoch a metódy nepriameho upisovania nástrojov oprávnených na splnenie minimálnej požiadavky na vlastné zdroje a oprávnené záväzky</w:t>
      </w:r>
      <w:r w:rsidR="001B1ADE">
        <w:t xml:space="preserve"> a smernice </w:t>
      </w:r>
      <w:r w:rsidR="001B1ADE" w:rsidRPr="001B1ADE">
        <w:t>Európskeho Parlamentu a Rady</w:t>
      </w:r>
      <w:r w:rsidR="001B1ADE">
        <w:t xml:space="preserve"> (EÚ) 2024/1174 z 11. apríla 2024, ktorou sa mení smernica 2014/59/EÚ a nariadenie (EÚ) č. 806/2014, pokiaľ ide o určité aspekty minimálnej požiadavky na vlastné zdroje a oprávnené záväzky</w:t>
      </w:r>
      <w:r w:rsidR="005A3F74">
        <w:t xml:space="preserve"> s cieľom </w:t>
      </w:r>
      <w:r w:rsidR="005A3F74" w:rsidRPr="005A3F74">
        <w:t>riešiť pretrvávajúce nedostatky regulačného rámca a vykonať niektoré zostávajúce prvky reformy globálnych finančných služieb, ktoré sú nevyhnutné na zabezpečenie odolnosti inštitúcií pôsobiacich na finančnom trhu.</w:t>
      </w:r>
    </w:p>
    <w:p w:rsidR="00064395" w:rsidRDefault="00FB7CCE" w:rsidP="00E51502">
      <w:pPr>
        <w:jc w:val="both"/>
      </w:pPr>
      <w:r>
        <w:tab/>
        <w:t>Medzi najdôležitejšie zmeny, ktoré zavádza návrh zákona, patria:</w:t>
      </w:r>
    </w:p>
    <w:p w:rsidR="005A3F74" w:rsidRPr="005A3F74" w:rsidRDefault="00575C9D" w:rsidP="007A54BA">
      <w:pPr>
        <w:pStyle w:val="Odsekzoznamu"/>
        <w:numPr>
          <w:ilvl w:val="0"/>
          <w:numId w:val="5"/>
        </w:numPr>
        <w:jc w:val="both"/>
        <w:rPr>
          <w:color w:val="000000"/>
          <w:lang w:eastAsia="sk-SK"/>
        </w:rPr>
      </w:pPr>
      <w:r>
        <w:rPr>
          <w:color w:val="000000"/>
          <w:lang w:eastAsia="sk-SK"/>
        </w:rPr>
        <w:t xml:space="preserve">Stanovenie, </w:t>
      </w:r>
      <w:r w:rsidR="005A3F74" w:rsidRPr="005A3F74">
        <w:rPr>
          <w:color w:val="000000"/>
          <w:lang w:eastAsia="sk-SK"/>
        </w:rPr>
        <w:t>že G-SII</w:t>
      </w:r>
      <w:r>
        <w:rPr>
          <w:color w:val="000000"/>
          <w:lang w:eastAsia="sk-SK"/>
        </w:rPr>
        <w:t xml:space="preserve"> (globálne systémovo významné inštitúcie)</w:t>
      </w:r>
      <w:r w:rsidR="005A3F74" w:rsidRPr="005A3F74">
        <w:rPr>
          <w:color w:val="000000"/>
          <w:lang w:eastAsia="sk-SK"/>
        </w:rPr>
        <w:t xml:space="preserve"> so stratégiou riešenia krízových situácií, v rámci ktorej by sa mohla riešiť krízová situácia viac ako jedného subjektu skupiny (ďalej len „stratégia riešenia krízových situácií vo viacerých okamihoch“), vypočítajú svoju požiadavku na vlastné zdroje a oprávnené záväzky založenú na riziku na základe teoretického predpokladu, že sa bude riešiť krízová situácia len jedného subjektu skupiny, pričom straty a potreby rekapitalizácie akýchkoľvek dcérskych spoločností tejto skupiny sa prevedú na subjekt, ktorého krízová situácia sa rieši (ďalej len „stratégia riešenia krízových situácií v jednom okamihu“). </w:t>
      </w:r>
      <w:r w:rsidR="000C29E7" w:rsidRPr="000C29E7">
        <w:rPr>
          <w:color w:val="000000"/>
          <w:lang w:eastAsia="sk-SK"/>
        </w:rPr>
        <w:t xml:space="preserve">Podobná požiadavka je stanovená v súvislosti s dodatočnou požiadavkou na vlastné zdroje a oprávnené záväzky, ktorú môžu uložiť orgány pre riešenie krízových situácií. V súlade </w:t>
      </w:r>
      <w:r w:rsidR="007A54BA">
        <w:rPr>
          <w:color w:val="000000"/>
          <w:lang w:eastAsia="sk-SK"/>
        </w:rPr>
        <w:t xml:space="preserve">s normou </w:t>
      </w:r>
      <w:r w:rsidR="007A54BA" w:rsidRPr="007A54BA">
        <w:rPr>
          <w:color w:val="000000"/>
          <w:lang w:eastAsia="sk-SK"/>
        </w:rPr>
        <w:t>týkajúc</w:t>
      </w:r>
      <w:r w:rsidR="007A54BA">
        <w:rPr>
          <w:color w:val="000000"/>
          <w:lang w:eastAsia="sk-SK"/>
        </w:rPr>
        <w:t>ou</w:t>
      </w:r>
      <w:r w:rsidR="007A54BA" w:rsidRPr="007A54BA">
        <w:rPr>
          <w:color w:val="000000"/>
          <w:lang w:eastAsia="sk-SK"/>
        </w:rPr>
        <w:t xml:space="preserve"> sa celkovej kapacity na absorpciu strát pre </w:t>
      </w:r>
      <w:r w:rsidR="007A54BA">
        <w:rPr>
          <w:color w:val="000000"/>
          <w:lang w:eastAsia="sk-SK"/>
        </w:rPr>
        <w:t>G-SII</w:t>
      </w:r>
      <w:r w:rsidR="007A54BA" w:rsidRPr="007A54BA">
        <w:rPr>
          <w:color w:val="000000"/>
          <w:lang w:eastAsia="sk-SK"/>
        </w:rPr>
        <w:t xml:space="preserve"> (norma TLAC) </w:t>
      </w:r>
      <w:r w:rsidR="000C29E7" w:rsidRPr="000C29E7">
        <w:rPr>
          <w:color w:val="000000"/>
          <w:lang w:eastAsia="sk-SK"/>
        </w:rPr>
        <w:t xml:space="preserve">sa v uvedených výpočtoch zohľadňujú všetky subjekty z tretích krajín, ktoré sú súčasťou G-SII a ktoré by boli subjektmi, ktorých krízová situácia sa rieši, keby </w:t>
      </w:r>
      <w:r w:rsidR="007A54BA">
        <w:rPr>
          <w:color w:val="000000"/>
          <w:lang w:eastAsia="sk-SK"/>
        </w:rPr>
        <w:t>mali sídlo</w:t>
      </w:r>
      <w:r w:rsidR="000C29E7" w:rsidRPr="000C29E7">
        <w:rPr>
          <w:color w:val="000000"/>
          <w:lang w:eastAsia="sk-SK"/>
        </w:rPr>
        <w:t xml:space="preserve"> v </w:t>
      </w:r>
      <w:r w:rsidR="00C23C54">
        <w:t>Európskej ú</w:t>
      </w:r>
      <w:r w:rsidR="00C23C54" w:rsidRPr="00A5493E">
        <w:t>nii</w:t>
      </w:r>
      <w:r w:rsidR="000C29E7" w:rsidRPr="000C29E7">
        <w:rPr>
          <w:color w:val="000000"/>
          <w:lang w:eastAsia="sk-SK"/>
        </w:rPr>
        <w:t>.</w:t>
      </w:r>
    </w:p>
    <w:p w:rsidR="005A3F74" w:rsidRPr="005A3F74" w:rsidRDefault="005A3F74" w:rsidP="00575C9D">
      <w:pPr>
        <w:pStyle w:val="Odsekzoznamu"/>
        <w:jc w:val="both"/>
        <w:rPr>
          <w:color w:val="000000"/>
          <w:lang w:eastAsia="sk-SK"/>
        </w:rPr>
      </w:pPr>
    </w:p>
    <w:p w:rsidR="005A3F74" w:rsidRDefault="00575C9D" w:rsidP="001B1ADE">
      <w:pPr>
        <w:pStyle w:val="Odsekzoznamu"/>
        <w:numPr>
          <w:ilvl w:val="0"/>
          <w:numId w:val="5"/>
        </w:numPr>
        <w:jc w:val="both"/>
        <w:rPr>
          <w:color w:val="000000"/>
          <w:lang w:eastAsia="sk-SK"/>
        </w:rPr>
      </w:pPr>
      <w:r w:rsidRPr="00575C9D">
        <w:rPr>
          <w:color w:val="000000"/>
          <w:lang w:eastAsia="sk-SK"/>
        </w:rPr>
        <w:t xml:space="preserve">Nastavenie pravidiel, podľa ktorých </w:t>
      </w:r>
      <w:r w:rsidR="005A3F74" w:rsidRPr="00575C9D">
        <w:rPr>
          <w:color w:val="000000"/>
          <w:lang w:eastAsia="sk-SK"/>
        </w:rPr>
        <w:t xml:space="preserve">nesmie byť súčet skutočných požiadaviek na vlastné zdroje a oprávnené záväzky G-SII so stratégiou riešenia krízových situácií vo viacerých okamihoch nižší ako teoretická požiadavka tejto skupiny v rámci stratégie riešenia krízových situácií v jednom okamihu. S cieľom zosúladiť ustanovenia nariadenia (EÚ) č. 575/2013 s ustanoveniami smernice 2014/59/EÚ sa vo výpočte zohľadňujú aj všetky subjekty z tretích krajín, ktoré sú súčasťou G-SII a ktoré by boli subjektmi, ktorých krízová situácia sa rieši, keby </w:t>
      </w:r>
      <w:r w:rsidR="007A54BA">
        <w:rPr>
          <w:color w:val="000000"/>
          <w:lang w:eastAsia="sk-SK"/>
        </w:rPr>
        <w:t>mali sídlo</w:t>
      </w:r>
      <w:r w:rsidR="005A3F74" w:rsidRPr="00575C9D">
        <w:rPr>
          <w:color w:val="000000"/>
          <w:lang w:eastAsia="sk-SK"/>
        </w:rPr>
        <w:t xml:space="preserve"> v </w:t>
      </w:r>
      <w:r w:rsidR="00C23C54">
        <w:t>Európskej ú</w:t>
      </w:r>
      <w:r w:rsidR="00C23C54" w:rsidRPr="00A5493E">
        <w:t>nii</w:t>
      </w:r>
      <w:r w:rsidR="005A3F74" w:rsidRPr="00575C9D">
        <w:rPr>
          <w:color w:val="000000"/>
          <w:lang w:eastAsia="sk-SK"/>
        </w:rPr>
        <w:t xml:space="preserve">. </w:t>
      </w:r>
    </w:p>
    <w:p w:rsidR="001B1ADE" w:rsidRPr="00E13C4A" w:rsidRDefault="001B1ADE" w:rsidP="00E13C4A">
      <w:pPr>
        <w:pStyle w:val="Odsekzoznamu"/>
        <w:rPr>
          <w:color w:val="000000"/>
          <w:lang w:eastAsia="sk-SK"/>
        </w:rPr>
      </w:pPr>
    </w:p>
    <w:p w:rsidR="001B1ADE" w:rsidRDefault="0041351D" w:rsidP="001B1ADE">
      <w:pPr>
        <w:pStyle w:val="Odsekzoznamu"/>
        <w:numPr>
          <w:ilvl w:val="0"/>
          <w:numId w:val="5"/>
        </w:numPr>
        <w:jc w:val="both"/>
        <w:rPr>
          <w:color w:val="000000"/>
          <w:lang w:eastAsia="sk-SK"/>
        </w:rPr>
      </w:pPr>
      <w:r>
        <w:rPr>
          <w:color w:val="000000"/>
          <w:shd w:val="clear" w:color="auto" w:fill="FFFFFF"/>
        </w:rPr>
        <w:t>P</w:t>
      </w:r>
      <w:r w:rsidR="001B1ADE">
        <w:rPr>
          <w:color w:val="000000"/>
          <w:shd w:val="clear" w:color="auto" w:fill="FFFFFF"/>
        </w:rPr>
        <w:t xml:space="preserve">odľa súčasného rámca sa pre subjekty vyčlenené na likvidáciu, </w:t>
      </w:r>
      <w:r w:rsidR="004E0F33">
        <w:rPr>
          <w:color w:val="000000"/>
          <w:shd w:val="clear" w:color="auto" w:fill="FFFFFF"/>
        </w:rPr>
        <w:t xml:space="preserve">minimálna požiadavka na </w:t>
      </w:r>
      <w:r w:rsidR="009059C5">
        <w:rPr>
          <w:color w:val="000000"/>
          <w:shd w:val="clear" w:color="auto" w:fill="FFFFFF"/>
        </w:rPr>
        <w:t xml:space="preserve">vlastné zdroje a </w:t>
      </w:r>
      <w:r w:rsidR="004E0F33">
        <w:rPr>
          <w:color w:val="000000"/>
          <w:shd w:val="clear" w:color="auto" w:fill="FFFFFF"/>
        </w:rPr>
        <w:t>oprávnené záväzky (ďalej len „</w:t>
      </w:r>
      <w:r w:rsidR="001B1ADE">
        <w:rPr>
          <w:color w:val="000000"/>
          <w:shd w:val="clear" w:color="auto" w:fill="FFFFFF"/>
        </w:rPr>
        <w:t>MREL</w:t>
      </w:r>
      <w:r w:rsidR="004E0F33">
        <w:rPr>
          <w:color w:val="000000"/>
          <w:shd w:val="clear" w:color="auto" w:fill="FFFFFF"/>
        </w:rPr>
        <w:t>“)</w:t>
      </w:r>
      <w:r w:rsidR="001B1ADE">
        <w:rPr>
          <w:color w:val="000000"/>
          <w:shd w:val="clear" w:color="auto" w:fill="FFFFFF"/>
        </w:rPr>
        <w:t xml:space="preserve"> vo väčšine prípadov stanovuje na sumu potrebnú na absorpciu strát, ktorá zodpovedá požiadavkám na vlastné zdroje. V takýchto prípadoch MREL nezahŕňa žiadnu dodatočnú požiadavku priamo súvisiacu s rámcom riešenia krízových situácií pre likvidačný subjekt. To znamená, že likvidačný subjekt môže v plnej miere splniť MREL tak, že splní požiadavky na vlastné zdroje, a že osobitné rozhodnutie Rady pre riešenie krízových situácií určujúcu MREL neprispieva zmysluplným spôsobom k riešiteľnosti krízovej situácie uvedeného subjektu. Z takéhoto rozhodnutia vyplýva pre orgán pre riešenie krízových situácií, ako aj pre likvidačný subjekt mnoho procedurálnych povinností, no </w:t>
      </w:r>
      <w:r w:rsidR="001B1ADE">
        <w:rPr>
          <w:color w:val="000000"/>
          <w:shd w:val="clear" w:color="auto" w:fill="FFFFFF"/>
        </w:rPr>
        <w:lastRenderedPageBreak/>
        <w:t xml:space="preserve">neprispieva to v zodpovedajúcej miere k lepšej riešiteľnosti krízovej situácie. Rada pre riešenie krízových situácií by preto nemala určiť MREL pre likvidačné subjekty. Rámec pre MREL by sa mal uplatňovať na základe kritérií, ktorými sa zabezpečí, aby sa subjekt kvalifikoval ako likvidačný subjekt konzistentne v celej Únii. </w:t>
      </w:r>
    </w:p>
    <w:p w:rsidR="00575C9D" w:rsidRPr="00575C9D" w:rsidRDefault="00575C9D" w:rsidP="00575C9D">
      <w:pPr>
        <w:jc w:val="both"/>
        <w:rPr>
          <w:color w:val="000000"/>
          <w:lang w:eastAsia="sk-SK"/>
        </w:rPr>
      </w:pPr>
    </w:p>
    <w:p w:rsidR="005A3F74" w:rsidRPr="005A3F74" w:rsidRDefault="005A3F74" w:rsidP="005A3F74">
      <w:pPr>
        <w:pStyle w:val="Odsekzoznamu"/>
        <w:numPr>
          <w:ilvl w:val="0"/>
          <w:numId w:val="5"/>
        </w:numPr>
        <w:jc w:val="both"/>
        <w:rPr>
          <w:color w:val="000000"/>
          <w:lang w:eastAsia="sk-SK"/>
        </w:rPr>
      </w:pPr>
      <w:r w:rsidRPr="005A3F74">
        <w:rPr>
          <w:color w:val="000000"/>
          <w:lang w:eastAsia="sk-SK"/>
        </w:rPr>
        <w:t xml:space="preserve">ďalšie legislatívne úpravy vyplývajúce z aplikačnej praxe vybraných ustanovení aktuálneho znenia zákona – príkladmo technické úpravy v chybných odkazoch na súvisiacu legislatívu, úpravy ohľadom vymenovania a činností osobitného správcu a pod. </w:t>
      </w:r>
    </w:p>
    <w:p w:rsidR="00577192" w:rsidRPr="00577192" w:rsidRDefault="00577192" w:rsidP="00575C9D">
      <w:pPr>
        <w:pStyle w:val="Odsekzoznamu"/>
        <w:jc w:val="both"/>
        <w:rPr>
          <w:color w:val="000000"/>
          <w:lang w:eastAsia="sk-SK"/>
        </w:rPr>
      </w:pPr>
    </w:p>
    <w:p w:rsidR="00494441" w:rsidRDefault="00494441" w:rsidP="00E51502">
      <w:pPr>
        <w:spacing w:after="120"/>
        <w:jc w:val="both"/>
      </w:pPr>
      <w:r w:rsidRPr="00494441">
        <w:tab/>
        <w:t xml:space="preserve">V súlade so zmenami </w:t>
      </w:r>
      <w:r w:rsidR="00E94D0E" w:rsidRPr="00575C9D">
        <w:rPr>
          <w:color w:val="000000"/>
          <w:lang w:eastAsia="sk-SK"/>
        </w:rPr>
        <w:t>nariadenia (EÚ) č. 575/2013</w:t>
      </w:r>
      <w:r w:rsidR="001B1ADE">
        <w:rPr>
          <w:color w:val="000000"/>
          <w:lang w:eastAsia="sk-SK"/>
        </w:rPr>
        <w:t>,</w:t>
      </w:r>
      <w:r w:rsidR="00E94D0E" w:rsidRPr="00575C9D">
        <w:rPr>
          <w:color w:val="000000"/>
          <w:lang w:eastAsia="sk-SK"/>
        </w:rPr>
        <w:t>ustanoveniami smernice 2014/59/EÚ</w:t>
      </w:r>
      <w:r w:rsidR="001B1ADE">
        <w:rPr>
          <w:color w:val="000000"/>
          <w:lang w:eastAsia="sk-SK"/>
        </w:rPr>
        <w:t xml:space="preserve">, </w:t>
      </w:r>
      <w:r w:rsidR="00C74613">
        <w:t xml:space="preserve"> smernice </w:t>
      </w:r>
      <w:r w:rsidR="001B1ADE" w:rsidRPr="001B1ADE">
        <w:t xml:space="preserve">(EÚ) 2024/1174 </w:t>
      </w:r>
      <w:r w:rsidR="001B1ADE">
        <w:rPr>
          <w:color w:val="000000"/>
          <w:lang w:eastAsia="sk-SK"/>
        </w:rPr>
        <w:t xml:space="preserve"> </w:t>
      </w:r>
      <w:r w:rsidR="00E94D0E" w:rsidRPr="00575C9D">
        <w:rPr>
          <w:color w:val="000000"/>
          <w:lang w:eastAsia="sk-SK"/>
        </w:rPr>
        <w:t>sa</w:t>
      </w:r>
      <w:r w:rsidR="00E94D0E" w:rsidRPr="00494441">
        <w:t xml:space="preserve"> </w:t>
      </w:r>
      <w:r w:rsidRPr="00494441">
        <w:t xml:space="preserve">návrhom zákona novelizuje zákon č. </w:t>
      </w:r>
      <w:r w:rsidR="00A81EEE">
        <w:t>371</w:t>
      </w:r>
      <w:r w:rsidRPr="00494441">
        <w:t>/201</w:t>
      </w:r>
      <w:r w:rsidR="00E034E3">
        <w:t>4</w:t>
      </w:r>
      <w:r w:rsidRPr="00494441">
        <w:t xml:space="preserve"> Z. z. </w:t>
      </w:r>
      <w:r w:rsidR="00A81EEE" w:rsidRPr="00A81EEE">
        <w:t>o riešení krízových situácií na finančnom trhu a o zmene a doplnení niektorých zákonov v znení neskorších predpisov</w:t>
      </w:r>
      <w:r>
        <w:t xml:space="preserve">. </w:t>
      </w:r>
    </w:p>
    <w:p w:rsidR="00F5407B" w:rsidRDefault="00F5407B" w:rsidP="00443751">
      <w:pPr>
        <w:ind w:firstLine="708"/>
        <w:jc w:val="both"/>
      </w:pPr>
    </w:p>
    <w:p w:rsidR="00917BA2" w:rsidRPr="00826922" w:rsidRDefault="00917BA2" w:rsidP="00443751">
      <w:pPr>
        <w:ind w:firstLine="708"/>
        <w:jc w:val="both"/>
        <w:rPr>
          <w:lang w:eastAsia="sk-SK"/>
        </w:rPr>
      </w:pPr>
      <w:r w:rsidRPr="00B14156">
        <w:t>Prijatie navrhovaného zákona nebude mať vplyv na rozpočet verejnej správy,</w:t>
      </w:r>
      <w:r>
        <w:t xml:space="preserve"> ani negatívne vplyvy na podnikateľské prostredie</w:t>
      </w:r>
      <w:r w:rsidRPr="00B14156">
        <w:t>. Návrh zákona nemá sociálne vplyvy, vplyvy na životné prostredie, na služby verejnej správy pre občana, na informatizáciu a tiež nemá vplyvy na manželstvo, rodičovstvo a rodinu.</w:t>
      </w:r>
    </w:p>
    <w:p w:rsidR="00443751" w:rsidRPr="00826922" w:rsidRDefault="00443751" w:rsidP="00443751">
      <w:pPr>
        <w:ind w:firstLine="708"/>
        <w:jc w:val="both"/>
        <w:rPr>
          <w:lang w:eastAsia="sk-SK"/>
        </w:rPr>
      </w:pPr>
    </w:p>
    <w:p w:rsidR="00443751" w:rsidRPr="00F06927" w:rsidRDefault="00443751" w:rsidP="00443751">
      <w:pPr>
        <w:jc w:val="both"/>
        <w:rPr>
          <w:sz w:val="20"/>
          <w:szCs w:val="20"/>
        </w:rPr>
      </w:pPr>
      <w:r w:rsidRPr="00826922">
        <w:rPr>
          <w:lang w:eastAsia="sk-SK"/>
        </w:rPr>
        <w:tab/>
        <w:t>Predložený návrh zákona je v súlade s Ústavou Slovenskej republiky, s ústavnými zákonmi, nálezmi ústavného súdu, inými zákonmi a ostatnými všeobecne záväznými právnymi predpismi Slovenskej republiky, s právom Európskej únie a s medzinárodnými zmluvami, ktorými je Slovenská republika viazan</w:t>
      </w:r>
      <w:r w:rsidRPr="00F06927">
        <w:rPr>
          <w:sz w:val="20"/>
          <w:szCs w:val="20"/>
        </w:rPr>
        <w:t>á.</w:t>
      </w:r>
    </w:p>
    <w:p w:rsidR="00443751" w:rsidRDefault="00443751" w:rsidP="00E51502">
      <w:pPr>
        <w:spacing w:after="120"/>
        <w:jc w:val="both"/>
        <w:rPr>
          <w:color w:val="000000"/>
          <w:lang w:eastAsia="sk-SK"/>
        </w:rPr>
      </w:pPr>
    </w:p>
    <w:p w:rsidR="00917BA2" w:rsidRDefault="00917BA2" w:rsidP="00917BA2">
      <w:pPr>
        <w:pStyle w:val="Normlnywebov"/>
        <w:spacing w:before="0" w:beforeAutospacing="0" w:after="0" w:afterAutospacing="0"/>
        <w:jc w:val="both"/>
      </w:pPr>
      <w:r>
        <w:t xml:space="preserve">Návrh zákona je v súlade s Európskou chartou miestnej samosprávy.  </w:t>
      </w:r>
    </w:p>
    <w:p w:rsidR="009F2E3B" w:rsidRDefault="009F2E3B" w:rsidP="00917BA2">
      <w:pPr>
        <w:pStyle w:val="Normlnywebov"/>
        <w:spacing w:before="0" w:beforeAutospacing="0" w:after="0" w:afterAutospacing="0"/>
        <w:jc w:val="both"/>
      </w:pPr>
    </w:p>
    <w:p w:rsidR="009F2E3B" w:rsidRDefault="009F2E3B" w:rsidP="00917BA2">
      <w:pPr>
        <w:pStyle w:val="Normlnywebov"/>
        <w:spacing w:before="0" w:beforeAutospacing="0" w:after="0" w:afterAutospacing="0"/>
        <w:jc w:val="both"/>
      </w:pPr>
      <w:r>
        <w:t>Návrh zákona sa predkladá bez rozporov.</w:t>
      </w:r>
    </w:p>
    <w:p w:rsidR="00917BA2" w:rsidRDefault="00917BA2" w:rsidP="00E51502">
      <w:pPr>
        <w:spacing w:after="120"/>
        <w:jc w:val="both"/>
        <w:rPr>
          <w:color w:val="000000"/>
          <w:lang w:eastAsia="sk-SK"/>
        </w:rPr>
      </w:pPr>
    </w:p>
    <w:p w:rsidR="00F01722" w:rsidRDefault="005D1D48" w:rsidP="00E51502">
      <w:pPr>
        <w:spacing w:after="120"/>
        <w:jc w:val="both"/>
      </w:pPr>
      <w:r>
        <w:tab/>
      </w:r>
    </w:p>
    <w:p w:rsidR="007D4A94" w:rsidRDefault="007D4A94" w:rsidP="00E51502">
      <w:pPr>
        <w:spacing w:after="120"/>
        <w:jc w:val="both"/>
      </w:pPr>
    </w:p>
    <w:p w:rsidR="00BF3BEE" w:rsidRDefault="00BF3BEE" w:rsidP="00E51502">
      <w:pPr>
        <w:spacing w:after="120"/>
        <w:jc w:val="both"/>
      </w:pPr>
    </w:p>
    <w:sectPr w:rsidR="00BF3BE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ED0" w:rsidRDefault="00015ED0" w:rsidP="00B81523">
      <w:r>
        <w:separator/>
      </w:r>
    </w:p>
  </w:endnote>
  <w:endnote w:type="continuationSeparator" w:id="0">
    <w:p w:rsidR="00015ED0" w:rsidRDefault="00015ED0" w:rsidP="00B8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roid Sans Fallback">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896484"/>
      <w:docPartObj>
        <w:docPartGallery w:val="Page Numbers (Bottom of Page)"/>
        <w:docPartUnique/>
      </w:docPartObj>
    </w:sdtPr>
    <w:sdtEndPr>
      <w:rPr>
        <w:sz w:val="22"/>
        <w:szCs w:val="22"/>
      </w:rPr>
    </w:sdtEndPr>
    <w:sdtContent>
      <w:p w:rsidR="001B1ADE" w:rsidRPr="00B81523" w:rsidRDefault="001B1ADE">
        <w:pPr>
          <w:pStyle w:val="Pta"/>
          <w:jc w:val="right"/>
          <w:rPr>
            <w:sz w:val="22"/>
            <w:szCs w:val="22"/>
          </w:rPr>
        </w:pPr>
        <w:r w:rsidRPr="00B81523">
          <w:rPr>
            <w:sz w:val="22"/>
            <w:szCs w:val="22"/>
          </w:rPr>
          <w:fldChar w:fldCharType="begin"/>
        </w:r>
        <w:r w:rsidRPr="00B81523">
          <w:rPr>
            <w:sz w:val="22"/>
            <w:szCs w:val="22"/>
          </w:rPr>
          <w:instrText>PAGE   \* MERGEFORMAT</w:instrText>
        </w:r>
        <w:r w:rsidRPr="00B81523">
          <w:rPr>
            <w:sz w:val="22"/>
            <w:szCs w:val="22"/>
          </w:rPr>
          <w:fldChar w:fldCharType="separate"/>
        </w:r>
        <w:r w:rsidR="00D6013D">
          <w:rPr>
            <w:noProof/>
            <w:sz w:val="22"/>
            <w:szCs w:val="22"/>
          </w:rPr>
          <w:t>1</w:t>
        </w:r>
        <w:r w:rsidRPr="00B81523">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ED0" w:rsidRDefault="00015ED0" w:rsidP="00B81523">
      <w:r>
        <w:separator/>
      </w:r>
    </w:p>
  </w:footnote>
  <w:footnote w:type="continuationSeparator" w:id="0">
    <w:p w:rsidR="00015ED0" w:rsidRDefault="00015ED0" w:rsidP="00B81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7640"/>
    <w:multiLevelType w:val="hybridMultilevel"/>
    <w:tmpl w:val="84BA5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7443BA"/>
    <w:multiLevelType w:val="hybridMultilevel"/>
    <w:tmpl w:val="052A6E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992AC8"/>
    <w:multiLevelType w:val="hybridMultilevel"/>
    <w:tmpl w:val="0944BB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9932EC"/>
    <w:multiLevelType w:val="hybridMultilevel"/>
    <w:tmpl w:val="81B452CC"/>
    <w:lvl w:ilvl="0" w:tplc="DBE8CE16">
      <w:start w:val="8"/>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70A7D40"/>
    <w:multiLevelType w:val="hybridMultilevel"/>
    <w:tmpl w:val="A808CD78"/>
    <w:lvl w:ilvl="0" w:tplc="C0DC552A">
      <w:start w:val="1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E4"/>
    <w:rsid w:val="00015ED0"/>
    <w:rsid w:val="00017160"/>
    <w:rsid w:val="000322F9"/>
    <w:rsid w:val="000520C1"/>
    <w:rsid w:val="00064395"/>
    <w:rsid w:val="00067F37"/>
    <w:rsid w:val="000C29E7"/>
    <w:rsid w:val="000D15FE"/>
    <w:rsid w:val="000D2D43"/>
    <w:rsid w:val="000E06EC"/>
    <w:rsid w:val="00175C32"/>
    <w:rsid w:val="001913F2"/>
    <w:rsid w:val="001B1ADE"/>
    <w:rsid w:val="001D7558"/>
    <w:rsid w:val="00206816"/>
    <w:rsid w:val="00231B51"/>
    <w:rsid w:val="0024522C"/>
    <w:rsid w:val="00245859"/>
    <w:rsid w:val="002C5300"/>
    <w:rsid w:val="002D22B9"/>
    <w:rsid w:val="002E4E75"/>
    <w:rsid w:val="002E59A1"/>
    <w:rsid w:val="002F39DF"/>
    <w:rsid w:val="002F5D28"/>
    <w:rsid w:val="003558AF"/>
    <w:rsid w:val="00370149"/>
    <w:rsid w:val="00387435"/>
    <w:rsid w:val="003A0FF1"/>
    <w:rsid w:val="003B181D"/>
    <w:rsid w:val="003F0185"/>
    <w:rsid w:val="0041351D"/>
    <w:rsid w:val="00443751"/>
    <w:rsid w:val="00460D0D"/>
    <w:rsid w:val="00475F43"/>
    <w:rsid w:val="00487ECC"/>
    <w:rsid w:val="00494441"/>
    <w:rsid w:val="00497F26"/>
    <w:rsid w:val="004E0F33"/>
    <w:rsid w:val="004F3E68"/>
    <w:rsid w:val="0053596B"/>
    <w:rsid w:val="00574912"/>
    <w:rsid w:val="00575C9D"/>
    <w:rsid w:val="00575EE4"/>
    <w:rsid w:val="00577192"/>
    <w:rsid w:val="00595BCF"/>
    <w:rsid w:val="005A0321"/>
    <w:rsid w:val="005A3F74"/>
    <w:rsid w:val="005D1D48"/>
    <w:rsid w:val="005E09BD"/>
    <w:rsid w:val="006422D7"/>
    <w:rsid w:val="0064248E"/>
    <w:rsid w:val="006F3606"/>
    <w:rsid w:val="00783BB2"/>
    <w:rsid w:val="007A3AC1"/>
    <w:rsid w:val="007A54BA"/>
    <w:rsid w:val="007D4A94"/>
    <w:rsid w:val="0081385A"/>
    <w:rsid w:val="00856231"/>
    <w:rsid w:val="009059C5"/>
    <w:rsid w:val="00917BA2"/>
    <w:rsid w:val="0095537C"/>
    <w:rsid w:val="00963340"/>
    <w:rsid w:val="009C6E43"/>
    <w:rsid w:val="009F2E3B"/>
    <w:rsid w:val="00A73789"/>
    <w:rsid w:val="00A81EEE"/>
    <w:rsid w:val="00A91ABE"/>
    <w:rsid w:val="00AC0652"/>
    <w:rsid w:val="00AC350C"/>
    <w:rsid w:val="00AE4709"/>
    <w:rsid w:val="00AF77BA"/>
    <w:rsid w:val="00B347C8"/>
    <w:rsid w:val="00B40AB2"/>
    <w:rsid w:val="00B53DDF"/>
    <w:rsid w:val="00B77FAC"/>
    <w:rsid w:val="00B81523"/>
    <w:rsid w:val="00BB5EF5"/>
    <w:rsid w:val="00BE415C"/>
    <w:rsid w:val="00BF3BEE"/>
    <w:rsid w:val="00C23C54"/>
    <w:rsid w:val="00C57E01"/>
    <w:rsid w:val="00C74613"/>
    <w:rsid w:val="00CD6C34"/>
    <w:rsid w:val="00D038D5"/>
    <w:rsid w:val="00D34E95"/>
    <w:rsid w:val="00D40293"/>
    <w:rsid w:val="00D6013D"/>
    <w:rsid w:val="00D60CAF"/>
    <w:rsid w:val="00D713C1"/>
    <w:rsid w:val="00D805AE"/>
    <w:rsid w:val="00D954AE"/>
    <w:rsid w:val="00DF5004"/>
    <w:rsid w:val="00E034E3"/>
    <w:rsid w:val="00E071E3"/>
    <w:rsid w:val="00E13C4A"/>
    <w:rsid w:val="00E51502"/>
    <w:rsid w:val="00E62698"/>
    <w:rsid w:val="00E66F3A"/>
    <w:rsid w:val="00E85D53"/>
    <w:rsid w:val="00E90CD8"/>
    <w:rsid w:val="00E94D0E"/>
    <w:rsid w:val="00E95E5A"/>
    <w:rsid w:val="00F01722"/>
    <w:rsid w:val="00F21D77"/>
    <w:rsid w:val="00F5407B"/>
    <w:rsid w:val="00F55BFE"/>
    <w:rsid w:val="00FB7C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BBD5"/>
  <w15:docId w15:val="{122CDE9A-7E20-4C1B-AEFE-7FFCD4EC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5EE4"/>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575EE4"/>
    <w:pPr>
      <w:tabs>
        <w:tab w:val="center" w:pos="4536"/>
        <w:tab w:val="right" w:pos="9072"/>
      </w:tabs>
    </w:pPr>
  </w:style>
  <w:style w:type="character" w:customStyle="1" w:styleId="PtaChar">
    <w:name w:val="Päta Char"/>
    <w:basedOn w:val="Predvolenpsmoodseku"/>
    <w:link w:val="Pta"/>
    <w:uiPriority w:val="99"/>
    <w:rsid w:val="00575EE4"/>
    <w:rPr>
      <w:rFonts w:ascii="Times New Roman" w:eastAsia="Times New Roman" w:hAnsi="Times New Roman" w:cs="Times New Roman"/>
      <w:sz w:val="24"/>
      <w:szCs w:val="24"/>
      <w:lang w:val="cs-CZ" w:eastAsia="cs-CZ"/>
    </w:rPr>
  </w:style>
  <w:style w:type="paragraph" w:styleId="Odsekzoznamu">
    <w:name w:val="List Paragraph"/>
    <w:aliases w:val="Odstavec cíl se seznamem,Odstavec se seznamem1"/>
    <w:basedOn w:val="Normlny"/>
    <w:link w:val="OdsekzoznamuChar"/>
    <w:uiPriority w:val="34"/>
    <w:qFormat/>
    <w:rsid w:val="00575EE4"/>
    <w:pPr>
      <w:ind w:left="720"/>
      <w:contextualSpacing/>
    </w:pPr>
  </w:style>
  <w:style w:type="character" w:customStyle="1" w:styleId="OdsekzoznamuChar">
    <w:name w:val="Odsek zoznamu Char"/>
    <w:aliases w:val="Odstavec cíl se seznamem Char,Odstavec se seznamem1 Char"/>
    <w:basedOn w:val="Predvolenpsmoodseku"/>
    <w:link w:val="Odsekzoznamu"/>
    <w:uiPriority w:val="34"/>
    <w:locked/>
    <w:rsid w:val="00575EE4"/>
    <w:rPr>
      <w:rFonts w:ascii="Times New Roman" w:eastAsia="Times New Roman" w:hAnsi="Times New Roman" w:cs="Times New Roman"/>
      <w:sz w:val="24"/>
      <w:szCs w:val="24"/>
      <w:lang w:val="cs-CZ" w:eastAsia="cs-CZ"/>
    </w:rPr>
  </w:style>
  <w:style w:type="paragraph" w:styleId="Hlavika">
    <w:name w:val="header"/>
    <w:basedOn w:val="Normlny"/>
    <w:link w:val="HlavikaChar"/>
    <w:uiPriority w:val="99"/>
    <w:unhideWhenUsed/>
    <w:rsid w:val="00B81523"/>
    <w:pPr>
      <w:tabs>
        <w:tab w:val="center" w:pos="4513"/>
        <w:tab w:val="right" w:pos="9026"/>
      </w:tabs>
    </w:pPr>
  </w:style>
  <w:style w:type="character" w:customStyle="1" w:styleId="HlavikaChar">
    <w:name w:val="Hlavička Char"/>
    <w:basedOn w:val="Predvolenpsmoodseku"/>
    <w:link w:val="Hlavika"/>
    <w:uiPriority w:val="99"/>
    <w:rsid w:val="00B81523"/>
    <w:rPr>
      <w:rFonts w:ascii="Times New Roman" w:eastAsia="Times New Roman" w:hAnsi="Times New Roman" w:cs="Times New Roman"/>
      <w:sz w:val="24"/>
      <w:szCs w:val="24"/>
      <w:lang w:eastAsia="cs-CZ"/>
    </w:rPr>
  </w:style>
  <w:style w:type="paragraph" w:styleId="Bezriadkovania">
    <w:name w:val="No Spacing"/>
    <w:aliases w:val="Hlavní písmo"/>
    <w:basedOn w:val="Normlny"/>
    <w:link w:val="BezriadkovaniaChar"/>
    <w:uiPriority w:val="1"/>
    <w:qFormat/>
    <w:rsid w:val="00D805AE"/>
    <w:pPr>
      <w:suppressAutoHyphens/>
      <w:spacing w:before="80" w:after="200" w:line="276" w:lineRule="auto"/>
      <w:jc w:val="both"/>
    </w:pPr>
    <w:rPr>
      <w:rFonts w:ascii="Calibri" w:eastAsia="Droid Sans Fallback" w:hAnsi="Calibri"/>
      <w:sz w:val="22"/>
      <w:szCs w:val="22"/>
      <w:lang w:val="cs-CZ" w:eastAsia="en-US"/>
    </w:rPr>
  </w:style>
  <w:style w:type="character" w:customStyle="1" w:styleId="BezriadkovaniaChar">
    <w:name w:val="Bez riadkovania Char"/>
    <w:aliases w:val="Hlavní písmo Char"/>
    <w:link w:val="Bezriadkovania"/>
    <w:uiPriority w:val="1"/>
    <w:rsid w:val="00D805AE"/>
    <w:rPr>
      <w:rFonts w:ascii="Calibri" w:eastAsia="Droid Sans Fallback" w:hAnsi="Calibri" w:cs="Times New Roman"/>
      <w:lang w:val="cs-CZ"/>
    </w:rPr>
  </w:style>
  <w:style w:type="paragraph" w:styleId="Textbubliny">
    <w:name w:val="Balloon Text"/>
    <w:basedOn w:val="Normlny"/>
    <w:link w:val="TextbublinyChar"/>
    <w:uiPriority w:val="99"/>
    <w:semiHidden/>
    <w:unhideWhenUsed/>
    <w:rsid w:val="00F55BFE"/>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5BFE"/>
    <w:rPr>
      <w:rFonts w:ascii="Segoe UI" w:eastAsia="Times New Roman" w:hAnsi="Segoe UI" w:cs="Segoe UI"/>
      <w:sz w:val="18"/>
      <w:szCs w:val="18"/>
      <w:lang w:eastAsia="cs-CZ"/>
    </w:rPr>
  </w:style>
  <w:style w:type="paragraph" w:styleId="Normlnywebov">
    <w:name w:val="Normal (Web)"/>
    <w:basedOn w:val="Normlny"/>
    <w:uiPriority w:val="99"/>
    <w:semiHidden/>
    <w:unhideWhenUsed/>
    <w:rsid w:val="00917BA2"/>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6784">
      <w:bodyDiv w:val="1"/>
      <w:marLeft w:val="0"/>
      <w:marRight w:val="0"/>
      <w:marTop w:val="0"/>
      <w:marBottom w:val="0"/>
      <w:divBdr>
        <w:top w:val="none" w:sz="0" w:space="0" w:color="auto"/>
        <w:left w:val="none" w:sz="0" w:space="0" w:color="auto"/>
        <w:bottom w:val="none" w:sz="0" w:space="0" w:color="auto"/>
        <w:right w:val="none" w:sz="0" w:space="0" w:color="auto"/>
      </w:divBdr>
    </w:div>
    <w:div w:id="25667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786</Words>
  <Characters>4481</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worknbde</dc:creator>
  <cp:lastModifiedBy>Fokova Barbora</cp:lastModifiedBy>
  <cp:revision>6</cp:revision>
  <cp:lastPrinted>2024-12-11T08:32:00Z</cp:lastPrinted>
  <dcterms:created xsi:type="dcterms:W3CDTF">2024-12-11T12:56:00Z</dcterms:created>
  <dcterms:modified xsi:type="dcterms:W3CDTF">2025-02-18T08:48:00Z</dcterms:modified>
</cp:coreProperties>
</file>