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43C4E" w14:textId="77777777" w:rsidR="007D6CC1" w:rsidRDefault="00C96B35">
      <w:pPr>
        <w:pStyle w:val="Nadpis1"/>
      </w:pPr>
      <w:r>
        <w:t xml:space="preserve">Analýza vplyvov na podnikateľské prostredie </w:t>
      </w:r>
    </w:p>
    <w:p w14:paraId="017A3908" w14:textId="77777777" w:rsidR="007D6CC1" w:rsidRDefault="00C96B35">
      <w:pPr>
        <w:spacing w:after="201" w:line="259" w:lineRule="auto"/>
        <w:ind w:left="0" w:right="0" w:firstLine="0"/>
        <w:jc w:val="left"/>
      </w:pPr>
      <w:r>
        <w:rPr>
          <w:b/>
        </w:rPr>
        <w:t xml:space="preserve"> </w:t>
      </w:r>
    </w:p>
    <w:p w14:paraId="48EAA054" w14:textId="77777777" w:rsidR="0073258C" w:rsidRDefault="00AB6720" w:rsidP="00AB6720">
      <w:pPr>
        <w:spacing w:after="126" w:line="297" w:lineRule="auto"/>
        <w:ind w:left="1985" w:right="0" w:hanging="1985"/>
      </w:pPr>
      <w:r>
        <w:rPr>
          <w:b/>
        </w:rPr>
        <w:t xml:space="preserve">Názov materiálu:  </w:t>
      </w:r>
      <w:r w:rsidR="0073258C">
        <w:t>Návrh nariadenia vlády Slovenskej republiky, ktorý sa mení a dopĺňa nariadenie vlády Slovenskej republiky č. 120/2023 Z. z., ktorým sa ustanovujú pravidlá predkladania žiadostí a znižovania priamych podpôr Strategického plánu spoločnej poľnohospodárskej politiky v znení neskorších predpisov</w:t>
      </w:r>
    </w:p>
    <w:p w14:paraId="6C1587BD" w14:textId="7FF33EBE" w:rsidR="007D6CC1" w:rsidRDefault="00C96B35" w:rsidP="0073258C">
      <w:pPr>
        <w:spacing w:after="126" w:line="297" w:lineRule="auto"/>
        <w:ind w:left="1985" w:right="0" w:hanging="1985"/>
        <w:jc w:val="left"/>
      </w:pPr>
      <w:r>
        <w:rPr>
          <w:b/>
        </w:rPr>
        <w:t xml:space="preserve">Predkladateľ: </w:t>
      </w:r>
      <w:r>
        <w:rPr>
          <w:b/>
        </w:rPr>
        <w:tab/>
      </w:r>
      <w:r>
        <w:t xml:space="preserve">Ministerstvo </w:t>
      </w:r>
      <w:r w:rsidR="0073258C">
        <w:t>pôdohospodárstva a rozvoja vidieka Slovenskej republiky</w:t>
      </w:r>
    </w:p>
    <w:p w14:paraId="11053F12" w14:textId="77777777" w:rsidR="007D6CC1" w:rsidRDefault="00C96B35">
      <w:pPr>
        <w:spacing w:after="208" w:line="259" w:lineRule="auto"/>
        <w:ind w:left="0" w:right="0" w:firstLine="0"/>
        <w:jc w:val="left"/>
      </w:pPr>
      <w:r>
        <w:rPr>
          <w:b/>
        </w:rPr>
        <w:t xml:space="preserve"> </w:t>
      </w:r>
    </w:p>
    <w:p w14:paraId="11514E1D" w14:textId="77777777" w:rsidR="007D6CC1" w:rsidRDefault="00C96B35">
      <w:pPr>
        <w:pStyle w:val="Nadpis2"/>
        <w:spacing w:after="206"/>
        <w:ind w:left="15" w:hanging="10"/>
      </w:pPr>
      <w:r>
        <w:rPr>
          <w:i w:val="0"/>
          <w:u w:val="none"/>
        </w:rPr>
        <w:t xml:space="preserve">3.1 Náklady regulácie </w:t>
      </w:r>
    </w:p>
    <w:p w14:paraId="772E6754" w14:textId="77777777" w:rsidR="007D6CC1" w:rsidRDefault="00C96B35">
      <w:pPr>
        <w:tabs>
          <w:tab w:val="center" w:pos="8027"/>
        </w:tabs>
        <w:spacing w:after="164" w:line="259" w:lineRule="auto"/>
        <w:ind w:left="0" w:right="0" w:firstLine="0"/>
        <w:jc w:val="left"/>
      </w:pPr>
      <w:r>
        <w:rPr>
          <w:b/>
          <w:i/>
        </w:rPr>
        <w:t xml:space="preserve">3.1.1 Súhrnná tabuľka nákladov regulácie  </w:t>
      </w:r>
      <w:r>
        <w:rPr>
          <w:b/>
          <w:i/>
        </w:rPr>
        <w:tab/>
      </w:r>
      <w:r>
        <w:rPr>
          <w:i/>
        </w:rPr>
        <w:t xml:space="preserve"> </w:t>
      </w:r>
    </w:p>
    <w:p w14:paraId="4A3EF594" w14:textId="77777777" w:rsidR="007D6CC1" w:rsidRDefault="00C96B35">
      <w:pPr>
        <w:spacing w:after="0" w:line="259" w:lineRule="auto"/>
        <w:ind w:left="0" w:right="0" w:firstLine="0"/>
        <w:jc w:val="left"/>
      </w:pPr>
      <w:r>
        <w:rPr>
          <w:b/>
        </w:rPr>
        <w:t xml:space="preserve"> </w:t>
      </w:r>
    </w:p>
    <w:p w14:paraId="6C60168A" w14:textId="77777777" w:rsidR="007D6CC1" w:rsidRDefault="00C96B35">
      <w:pPr>
        <w:spacing w:after="144" w:line="267" w:lineRule="auto"/>
        <w:ind w:left="15" w:right="0"/>
      </w:pPr>
      <w:r>
        <w:rPr>
          <w:i/>
        </w:rPr>
        <w:t xml:space="preserve">Tabuľka č. 1: Zmeny nákladov (ročne) v prepočte na podnikateľské prostredie (PP), vyhodnotenie mechanizmu znižovania byrokracie a nákladov.  </w:t>
      </w:r>
    </w:p>
    <w:p w14:paraId="3D4D9BED" w14:textId="12FD5741" w:rsidR="007D6CC1" w:rsidRDefault="007D6CC1">
      <w:pPr>
        <w:spacing w:after="128" w:line="267" w:lineRule="auto"/>
        <w:ind w:left="15" w:right="0"/>
      </w:pPr>
    </w:p>
    <w:tbl>
      <w:tblPr>
        <w:tblW w:w="8300" w:type="dxa"/>
        <w:tblCellMar>
          <w:left w:w="70" w:type="dxa"/>
          <w:right w:w="70" w:type="dxa"/>
        </w:tblCellMar>
        <w:tblLook w:val="04A0" w:firstRow="1" w:lastRow="0" w:firstColumn="1" w:lastColumn="0" w:noHBand="0" w:noVBand="1"/>
      </w:tblPr>
      <w:tblGrid>
        <w:gridCol w:w="4540"/>
        <w:gridCol w:w="1880"/>
        <w:gridCol w:w="1880"/>
      </w:tblGrid>
      <w:tr w:rsidR="00752D29" w:rsidRPr="00752D29" w14:paraId="073C5D1A" w14:textId="77777777" w:rsidTr="00752D29">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563AD3C" w14:textId="77777777" w:rsidR="00752D29" w:rsidRPr="00752D29" w:rsidRDefault="00752D29" w:rsidP="00752D29">
            <w:pPr>
              <w:spacing w:after="0" w:line="240" w:lineRule="auto"/>
              <w:ind w:left="0" w:right="0" w:firstLine="0"/>
              <w:jc w:val="center"/>
              <w:rPr>
                <w:b/>
                <w:bCs/>
                <w:i/>
                <w:iCs/>
                <w:sz w:val="20"/>
                <w:szCs w:val="20"/>
              </w:rPr>
            </w:pPr>
            <w:r w:rsidRPr="00752D29">
              <w:rPr>
                <w:b/>
                <w:bCs/>
                <w:i/>
                <w:iCs/>
                <w:sz w:val="20"/>
                <w:szCs w:val="20"/>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BF9C458"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7EE2CDF"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Zníženie nákladov v € na PP</w:t>
            </w:r>
          </w:p>
        </w:tc>
      </w:tr>
      <w:tr w:rsidR="00752D29" w:rsidRPr="00752D29" w14:paraId="01BA20CA" w14:textId="77777777" w:rsidTr="00752D29">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1CC6C1D" w14:textId="77777777" w:rsidR="00752D29" w:rsidRPr="00752D29" w:rsidRDefault="00752D29" w:rsidP="00752D29">
            <w:pPr>
              <w:spacing w:after="0" w:line="240" w:lineRule="auto"/>
              <w:ind w:left="0" w:right="0" w:firstLine="0"/>
              <w:jc w:val="left"/>
              <w:rPr>
                <w:b/>
                <w:bCs/>
                <w:i/>
                <w:iCs/>
                <w:sz w:val="20"/>
                <w:szCs w:val="20"/>
              </w:rPr>
            </w:pPr>
            <w:proofErr w:type="spellStart"/>
            <w:r w:rsidRPr="00752D29">
              <w:rPr>
                <w:b/>
                <w:bCs/>
                <w:i/>
                <w:iCs/>
                <w:sz w:val="20"/>
                <w:szCs w:val="20"/>
              </w:rPr>
              <w:t>A.Dane</w:t>
            </w:r>
            <w:proofErr w:type="spellEnd"/>
            <w:r w:rsidRPr="00752D29">
              <w:rPr>
                <w:b/>
                <w:bCs/>
                <w:i/>
                <w:iCs/>
                <w:sz w:val="20"/>
                <w:szCs w:val="20"/>
              </w:rPr>
              <w:t xml:space="preserve">, odvody, clá a poplatky, ktorých cieľom je znižovať negatívne </w:t>
            </w:r>
            <w:proofErr w:type="spellStart"/>
            <w:r w:rsidRPr="00752D29">
              <w:rPr>
                <w:b/>
                <w:bCs/>
                <w:i/>
                <w:iCs/>
                <w:sz w:val="20"/>
                <w:szCs w:val="20"/>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0A5C5AD2"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nil"/>
              <w:left w:val="nil"/>
              <w:bottom w:val="single" w:sz="4" w:space="0" w:color="auto"/>
              <w:right w:val="single" w:sz="8" w:space="0" w:color="auto"/>
            </w:tcBorders>
            <w:shd w:val="clear" w:color="000000" w:fill="92D050"/>
            <w:vAlign w:val="center"/>
            <w:hideMark/>
          </w:tcPr>
          <w:p w14:paraId="1414EC4E"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27B25F9C" w14:textId="77777777" w:rsidTr="00752D2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C889E8D"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003777C6"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nil"/>
              <w:left w:val="nil"/>
              <w:bottom w:val="single" w:sz="4" w:space="0" w:color="auto"/>
              <w:right w:val="single" w:sz="8" w:space="0" w:color="auto"/>
            </w:tcBorders>
            <w:shd w:val="clear" w:color="000000" w:fill="92D050"/>
            <w:vAlign w:val="center"/>
            <w:hideMark/>
          </w:tcPr>
          <w:p w14:paraId="6AFA844D"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5A22B085" w14:textId="77777777" w:rsidTr="00752D2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10A9940"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0EA5DADC"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4 070</w:t>
            </w:r>
          </w:p>
        </w:tc>
        <w:tc>
          <w:tcPr>
            <w:tcW w:w="1880" w:type="dxa"/>
            <w:tcBorders>
              <w:top w:val="nil"/>
              <w:left w:val="nil"/>
              <w:bottom w:val="single" w:sz="4" w:space="0" w:color="auto"/>
              <w:right w:val="single" w:sz="8" w:space="0" w:color="auto"/>
            </w:tcBorders>
            <w:shd w:val="clear" w:color="000000" w:fill="92D050"/>
            <w:vAlign w:val="center"/>
            <w:hideMark/>
          </w:tcPr>
          <w:p w14:paraId="0BC9DCA7"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43BE8F75" w14:textId="77777777" w:rsidTr="00752D2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FDAC933"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07659AD3"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nil"/>
              <w:left w:val="nil"/>
              <w:bottom w:val="single" w:sz="4" w:space="0" w:color="auto"/>
              <w:right w:val="single" w:sz="8" w:space="0" w:color="auto"/>
            </w:tcBorders>
            <w:shd w:val="clear" w:color="000000" w:fill="92D050"/>
            <w:vAlign w:val="center"/>
            <w:hideMark/>
          </w:tcPr>
          <w:p w14:paraId="5FF13657"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03AE3847" w14:textId="77777777" w:rsidTr="00752D29">
        <w:trPr>
          <w:trHeight w:val="300"/>
        </w:trPr>
        <w:tc>
          <w:tcPr>
            <w:tcW w:w="4540" w:type="dxa"/>
            <w:tcBorders>
              <w:top w:val="nil"/>
              <w:left w:val="single" w:sz="8" w:space="0" w:color="auto"/>
              <w:bottom w:val="nil"/>
              <w:right w:val="single" w:sz="4" w:space="0" w:color="auto"/>
            </w:tcBorders>
            <w:shd w:val="clear" w:color="auto" w:fill="auto"/>
            <w:vAlign w:val="center"/>
            <w:hideMark/>
          </w:tcPr>
          <w:p w14:paraId="00924BE8"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E. Administratívne náklady</w:t>
            </w:r>
          </w:p>
        </w:tc>
        <w:tc>
          <w:tcPr>
            <w:tcW w:w="1880" w:type="dxa"/>
            <w:tcBorders>
              <w:top w:val="nil"/>
              <w:left w:val="nil"/>
              <w:bottom w:val="nil"/>
              <w:right w:val="single" w:sz="4" w:space="0" w:color="auto"/>
            </w:tcBorders>
            <w:shd w:val="clear" w:color="000000" w:fill="FFC000"/>
            <w:vAlign w:val="center"/>
            <w:hideMark/>
          </w:tcPr>
          <w:p w14:paraId="0776B2F0"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nil"/>
              <w:left w:val="nil"/>
              <w:bottom w:val="nil"/>
              <w:right w:val="single" w:sz="8" w:space="0" w:color="auto"/>
            </w:tcBorders>
            <w:shd w:val="clear" w:color="000000" w:fill="92D050"/>
            <w:vAlign w:val="center"/>
            <w:hideMark/>
          </w:tcPr>
          <w:p w14:paraId="6FBB68BE"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1BA7848F" w14:textId="77777777" w:rsidTr="00752D29">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DB19F3C"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236976A"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4 070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35B9672"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0597EBEE" w14:textId="77777777" w:rsidTr="00752D29">
        <w:trPr>
          <w:trHeight w:val="300"/>
        </w:trPr>
        <w:tc>
          <w:tcPr>
            <w:tcW w:w="4540" w:type="dxa"/>
            <w:tcBorders>
              <w:top w:val="nil"/>
              <w:left w:val="nil"/>
              <w:bottom w:val="nil"/>
              <w:right w:val="nil"/>
            </w:tcBorders>
            <w:shd w:val="clear" w:color="auto" w:fill="auto"/>
            <w:vAlign w:val="center"/>
            <w:hideMark/>
          </w:tcPr>
          <w:p w14:paraId="04952038" w14:textId="77777777" w:rsidR="00752D29" w:rsidRPr="00752D29" w:rsidRDefault="00752D29" w:rsidP="00752D29">
            <w:pPr>
              <w:spacing w:after="0" w:line="240" w:lineRule="auto"/>
              <w:ind w:left="0" w:right="0" w:firstLine="0"/>
              <w:jc w:val="center"/>
              <w:rPr>
                <w:b/>
                <w:bCs/>
                <w:sz w:val="20"/>
                <w:szCs w:val="20"/>
              </w:rPr>
            </w:pPr>
          </w:p>
        </w:tc>
        <w:tc>
          <w:tcPr>
            <w:tcW w:w="1880" w:type="dxa"/>
            <w:tcBorders>
              <w:top w:val="nil"/>
              <w:left w:val="nil"/>
              <w:bottom w:val="nil"/>
              <w:right w:val="nil"/>
            </w:tcBorders>
            <w:shd w:val="clear" w:color="auto" w:fill="auto"/>
            <w:vAlign w:val="center"/>
            <w:hideMark/>
          </w:tcPr>
          <w:p w14:paraId="6801B5A5" w14:textId="77777777" w:rsidR="00752D29" w:rsidRPr="00752D29" w:rsidRDefault="00752D29" w:rsidP="00752D29">
            <w:pPr>
              <w:spacing w:after="0" w:line="240" w:lineRule="auto"/>
              <w:ind w:left="0" w:right="0" w:firstLine="0"/>
              <w:jc w:val="left"/>
              <w:rPr>
                <w:color w:val="auto"/>
                <w:sz w:val="20"/>
                <w:szCs w:val="20"/>
              </w:rPr>
            </w:pPr>
          </w:p>
        </w:tc>
        <w:tc>
          <w:tcPr>
            <w:tcW w:w="1880" w:type="dxa"/>
            <w:tcBorders>
              <w:top w:val="nil"/>
              <w:left w:val="nil"/>
              <w:bottom w:val="nil"/>
              <w:right w:val="nil"/>
            </w:tcBorders>
            <w:shd w:val="clear" w:color="auto" w:fill="auto"/>
            <w:vAlign w:val="center"/>
            <w:hideMark/>
          </w:tcPr>
          <w:p w14:paraId="24A268B7" w14:textId="77777777" w:rsidR="00752D29" w:rsidRPr="00752D29" w:rsidRDefault="00752D29" w:rsidP="00752D29">
            <w:pPr>
              <w:spacing w:after="0" w:line="240" w:lineRule="auto"/>
              <w:ind w:left="0" w:right="0" w:firstLine="0"/>
              <w:jc w:val="left"/>
              <w:rPr>
                <w:color w:val="auto"/>
                <w:sz w:val="20"/>
                <w:szCs w:val="20"/>
              </w:rPr>
            </w:pPr>
          </w:p>
        </w:tc>
      </w:tr>
      <w:tr w:rsidR="00752D29" w:rsidRPr="00752D29" w14:paraId="2018D747" w14:textId="77777777" w:rsidTr="00752D29">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42CCD3"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DB87972"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917C621"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Zníženie nákladov v € na PP</w:t>
            </w:r>
          </w:p>
        </w:tc>
      </w:tr>
      <w:tr w:rsidR="00752D29" w:rsidRPr="00752D29" w14:paraId="78B8B088" w14:textId="77777777" w:rsidTr="00752D29">
        <w:trPr>
          <w:trHeight w:val="990"/>
        </w:trPr>
        <w:tc>
          <w:tcPr>
            <w:tcW w:w="4540" w:type="dxa"/>
            <w:tcBorders>
              <w:top w:val="nil"/>
              <w:left w:val="single" w:sz="8" w:space="0" w:color="auto"/>
              <w:bottom w:val="nil"/>
              <w:right w:val="single" w:sz="4" w:space="0" w:color="auto"/>
            </w:tcBorders>
            <w:shd w:val="clear" w:color="auto" w:fill="auto"/>
            <w:vAlign w:val="center"/>
            <w:hideMark/>
          </w:tcPr>
          <w:p w14:paraId="740778DC"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F. Úplná harmonizácia práva EÚ</w:t>
            </w:r>
            <w:r w:rsidRPr="00752D29">
              <w:rPr>
                <w:b/>
                <w:bCs/>
                <w:i/>
                <w:iCs/>
                <w:sz w:val="20"/>
                <w:szCs w:val="20"/>
              </w:rPr>
              <w:br/>
            </w:r>
            <w:r w:rsidRPr="00752D29">
              <w:rPr>
                <w:i/>
                <w:iCs/>
                <w:sz w:val="16"/>
                <w:szCs w:val="16"/>
              </w:rPr>
              <w:t xml:space="preserve">(okrem daní, odvodov, ciel a poplatkov, ktorých cieľom je znižovať negatívne </w:t>
            </w:r>
            <w:proofErr w:type="spellStart"/>
            <w:r w:rsidRPr="00752D29">
              <w:rPr>
                <w:i/>
                <w:iCs/>
                <w:sz w:val="16"/>
                <w:szCs w:val="16"/>
              </w:rPr>
              <w:t>externality</w:t>
            </w:r>
            <w:proofErr w:type="spellEnd"/>
            <w:r w:rsidRPr="00752D29">
              <w:rPr>
                <w:i/>
                <w:iCs/>
                <w:sz w:val="16"/>
                <w:szCs w:val="16"/>
              </w:rPr>
              <w:t>)</w:t>
            </w:r>
          </w:p>
        </w:tc>
        <w:tc>
          <w:tcPr>
            <w:tcW w:w="1880" w:type="dxa"/>
            <w:tcBorders>
              <w:top w:val="nil"/>
              <w:left w:val="nil"/>
              <w:bottom w:val="nil"/>
              <w:right w:val="single" w:sz="4" w:space="0" w:color="auto"/>
            </w:tcBorders>
            <w:shd w:val="clear" w:color="000000" w:fill="FFC000"/>
            <w:vAlign w:val="center"/>
            <w:hideMark/>
          </w:tcPr>
          <w:p w14:paraId="5DB4875B"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nil"/>
              <w:left w:val="nil"/>
              <w:bottom w:val="nil"/>
              <w:right w:val="single" w:sz="8" w:space="0" w:color="auto"/>
            </w:tcBorders>
            <w:shd w:val="clear" w:color="000000" w:fill="92D050"/>
            <w:vAlign w:val="center"/>
            <w:hideMark/>
          </w:tcPr>
          <w:p w14:paraId="71B99C93"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2D5ED969" w14:textId="77777777" w:rsidTr="00752D29">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59386E" w14:textId="77777777" w:rsidR="00752D29" w:rsidRPr="00752D29" w:rsidRDefault="00752D29" w:rsidP="00752D29">
            <w:pPr>
              <w:spacing w:after="0" w:line="240" w:lineRule="auto"/>
              <w:ind w:left="0" w:right="0" w:firstLine="0"/>
              <w:jc w:val="left"/>
              <w:rPr>
                <w:b/>
                <w:bCs/>
                <w:i/>
                <w:iCs/>
                <w:sz w:val="20"/>
                <w:szCs w:val="20"/>
              </w:rPr>
            </w:pPr>
            <w:r w:rsidRPr="00752D29">
              <w:rPr>
                <w:b/>
                <w:bCs/>
                <w:i/>
                <w:iCs/>
                <w:sz w:val="20"/>
                <w:szCs w:val="20"/>
              </w:rPr>
              <w:t xml:space="preserve">G. </w:t>
            </w:r>
            <w:proofErr w:type="spellStart"/>
            <w:r w:rsidRPr="00752D29">
              <w:rPr>
                <w:b/>
                <w:bCs/>
                <w:i/>
                <w:iCs/>
                <w:sz w:val="20"/>
                <w:szCs w:val="20"/>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9D6CADF"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031B0F8"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r w:rsidR="00752D29" w:rsidRPr="00752D29" w14:paraId="11F4CD33" w14:textId="77777777" w:rsidTr="00752D29">
        <w:trPr>
          <w:trHeight w:val="270"/>
        </w:trPr>
        <w:tc>
          <w:tcPr>
            <w:tcW w:w="4540" w:type="dxa"/>
            <w:tcBorders>
              <w:top w:val="nil"/>
              <w:left w:val="nil"/>
              <w:bottom w:val="nil"/>
              <w:right w:val="nil"/>
            </w:tcBorders>
            <w:shd w:val="clear" w:color="auto" w:fill="auto"/>
            <w:noWrap/>
            <w:vAlign w:val="bottom"/>
            <w:hideMark/>
          </w:tcPr>
          <w:p w14:paraId="2AC75747" w14:textId="77777777" w:rsidR="00752D29" w:rsidRPr="00752D29" w:rsidRDefault="00752D29" w:rsidP="00752D29">
            <w:pPr>
              <w:spacing w:after="0" w:line="240" w:lineRule="auto"/>
              <w:ind w:left="0" w:right="0" w:firstLine="0"/>
              <w:jc w:val="center"/>
              <w:rPr>
                <w:b/>
                <w:bCs/>
                <w:sz w:val="20"/>
                <w:szCs w:val="20"/>
              </w:rPr>
            </w:pPr>
          </w:p>
        </w:tc>
        <w:tc>
          <w:tcPr>
            <w:tcW w:w="1880" w:type="dxa"/>
            <w:tcBorders>
              <w:top w:val="nil"/>
              <w:left w:val="nil"/>
              <w:bottom w:val="nil"/>
              <w:right w:val="nil"/>
            </w:tcBorders>
            <w:shd w:val="clear" w:color="auto" w:fill="auto"/>
            <w:vAlign w:val="center"/>
            <w:hideMark/>
          </w:tcPr>
          <w:p w14:paraId="3C6C193B" w14:textId="77777777" w:rsidR="00752D29" w:rsidRPr="00752D29" w:rsidRDefault="00752D29" w:rsidP="00752D29">
            <w:pPr>
              <w:spacing w:after="0" w:line="240" w:lineRule="auto"/>
              <w:ind w:left="0" w:right="0" w:firstLine="0"/>
              <w:jc w:val="left"/>
              <w:rPr>
                <w:color w:val="auto"/>
                <w:sz w:val="20"/>
                <w:szCs w:val="20"/>
              </w:rPr>
            </w:pPr>
          </w:p>
        </w:tc>
        <w:tc>
          <w:tcPr>
            <w:tcW w:w="1880" w:type="dxa"/>
            <w:tcBorders>
              <w:top w:val="nil"/>
              <w:left w:val="nil"/>
              <w:bottom w:val="nil"/>
              <w:right w:val="nil"/>
            </w:tcBorders>
            <w:shd w:val="clear" w:color="auto" w:fill="auto"/>
            <w:vAlign w:val="center"/>
            <w:hideMark/>
          </w:tcPr>
          <w:p w14:paraId="1A10CF7E" w14:textId="77777777" w:rsidR="00752D29" w:rsidRPr="00752D29" w:rsidRDefault="00752D29" w:rsidP="00752D29">
            <w:pPr>
              <w:spacing w:after="0" w:line="240" w:lineRule="auto"/>
              <w:ind w:left="0" w:right="0" w:firstLine="0"/>
              <w:jc w:val="left"/>
              <w:rPr>
                <w:color w:val="auto"/>
                <w:sz w:val="20"/>
                <w:szCs w:val="20"/>
              </w:rPr>
            </w:pPr>
          </w:p>
        </w:tc>
      </w:tr>
      <w:tr w:rsidR="00752D29" w:rsidRPr="00752D29" w14:paraId="2337F12D" w14:textId="77777777" w:rsidTr="00752D29">
        <w:trPr>
          <w:trHeight w:val="270"/>
        </w:trPr>
        <w:tc>
          <w:tcPr>
            <w:tcW w:w="4540" w:type="dxa"/>
            <w:tcBorders>
              <w:top w:val="nil"/>
              <w:left w:val="nil"/>
              <w:bottom w:val="nil"/>
              <w:right w:val="nil"/>
            </w:tcBorders>
            <w:shd w:val="clear" w:color="auto" w:fill="auto"/>
            <w:noWrap/>
            <w:vAlign w:val="bottom"/>
            <w:hideMark/>
          </w:tcPr>
          <w:p w14:paraId="7770C862" w14:textId="77777777" w:rsidR="00752D29" w:rsidRPr="00752D29" w:rsidRDefault="00752D29" w:rsidP="00752D29">
            <w:pPr>
              <w:spacing w:after="0" w:line="240" w:lineRule="auto"/>
              <w:ind w:left="0" w:right="0" w:firstLine="0"/>
              <w:jc w:val="left"/>
              <w:rPr>
                <w:color w:val="auto"/>
                <w:sz w:val="20"/>
                <w:szCs w:val="20"/>
              </w:rPr>
            </w:pPr>
          </w:p>
        </w:tc>
        <w:tc>
          <w:tcPr>
            <w:tcW w:w="1880" w:type="dxa"/>
            <w:tcBorders>
              <w:top w:val="nil"/>
              <w:left w:val="nil"/>
              <w:bottom w:val="nil"/>
              <w:right w:val="nil"/>
            </w:tcBorders>
            <w:shd w:val="clear" w:color="auto" w:fill="auto"/>
            <w:vAlign w:val="center"/>
            <w:hideMark/>
          </w:tcPr>
          <w:p w14:paraId="3CC453E8" w14:textId="77777777" w:rsidR="00752D29" w:rsidRPr="00752D29" w:rsidRDefault="00752D29" w:rsidP="00752D29">
            <w:pPr>
              <w:spacing w:after="0" w:line="240" w:lineRule="auto"/>
              <w:ind w:left="0" w:right="0" w:firstLine="0"/>
              <w:jc w:val="left"/>
              <w:rPr>
                <w:color w:val="auto"/>
                <w:sz w:val="20"/>
                <w:szCs w:val="20"/>
              </w:rPr>
            </w:pPr>
          </w:p>
        </w:tc>
        <w:tc>
          <w:tcPr>
            <w:tcW w:w="1880" w:type="dxa"/>
            <w:tcBorders>
              <w:top w:val="nil"/>
              <w:left w:val="nil"/>
              <w:bottom w:val="nil"/>
              <w:right w:val="nil"/>
            </w:tcBorders>
            <w:shd w:val="clear" w:color="auto" w:fill="auto"/>
            <w:vAlign w:val="center"/>
            <w:hideMark/>
          </w:tcPr>
          <w:p w14:paraId="52D3D24F" w14:textId="77777777" w:rsidR="00752D29" w:rsidRPr="00752D29" w:rsidRDefault="00752D29" w:rsidP="00752D29">
            <w:pPr>
              <w:spacing w:after="0" w:line="240" w:lineRule="auto"/>
              <w:ind w:left="0" w:right="0" w:firstLine="0"/>
              <w:jc w:val="left"/>
              <w:rPr>
                <w:color w:val="auto"/>
                <w:sz w:val="20"/>
                <w:szCs w:val="20"/>
              </w:rPr>
            </w:pPr>
          </w:p>
        </w:tc>
      </w:tr>
      <w:tr w:rsidR="00752D29" w:rsidRPr="00752D29" w14:paraId="308C363D" w14:textId="77777777" w:rsidTr="00752D29">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2C01F9" w14:textId="77777777" w:rsidR="00752D29" w:rsidRPr="00752D29" w:rsidRDefault="00752D29" w:rsidP="00752D29">
            <w:pPr>
              <w:spacing w:after="0" w:line="240" w:lineRule="auto"/>
              <w:ind w:left="0" w:right="0" w:firstLine="0"/>
              <w:jc w:val="left"/>
              <w:rPr>
                <w:i/>
                <w:iCs/>
                <w:sz w:val="20"/>
                <w:szCs w:val="20"/>
              </w:rPr>
            </w:pPr>
            <w:r w:rsidRPr="00752D29">
              <w:rPr>
                <w:i/>
                <w:iCs/>
                <w:sz w:val="20"/>
                <w:szCs w:val="20"/>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175470E5"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1D7BC6F4"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OUT</w:t>
            </w:r>
          </w:p>
        </w:tc>
      </w:tr>
      <w:tr w:rsidR="00752D29" w:rsidRPr="00752D29" w14:paraId="3A41907C" w14:textId="77777777" w:rsidTr="00752D29">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0E099376" w14:textId="77777777" w:rsidR="00752D29" w:rsidRPr="00752D29" w:rsidRDefault="00752D29" w:rsidP="00752D29">
            <w:pPr>
              <w:spacing w:after="0" w:line="240" w:lineRule="auto"/>
              <w:ind w:left="0" w:right="0" w:firstLine="0"/>
              <w:jc w:val="left"/>
              <w:rPr>
                <w:i/>
                <w:iCs/>
                <w:sz w:val="20"/>
                <w:szCs w:val="20"/>
              </w:rPr>
            </w:pPr>
            <w:r w:rsidRPr="00752D29">
              <w:rPr>
                <w:i/>
                <w:iCs/>
                <w:sz w:val="20"/>
                <w:szCs w:val="20"/>
              </w:rPr>
              <w:t>H</w:t>
            </w:r>
            <w:r w:rsidRPr="00752D29">
              <w:rPr>
                <w:b/>
                <w:bCs/>
                <w:i/>
                <w:iCs/>
                <w:sz w:val="20"/>
                <w:szCs w:val="20"/>
              </w:rPr>
              <w:t>.</w:t>
            </w:r>
            <w:r w:rsidRPr="00752D29">
              <w:rPr>
                <w:i/>
                <w:iCs/>
                <w:sz w:val="20"/>
                <w:szCs w:val="20"/>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206ACC6B"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c>
          <w:tcPr>
            <w:tcW w:w="1880" w:type="dxa"/>
            <w:tcBorders>
              <w:top w:val="nil"/>
              <w:left w:val="nil"/>
              <w:bottom w:val="single" w:sz="8" w:space="0" w:color="auto"/>
              <w:right w:val="single" w:sz="8" w:space="0" w:color="auto"/>
            </w:tcBorders>
            <w:shd w:val="clear" w:color="000000" w:fill="92D050"/>
            <w:vAlign w:val="center"/>
            <w:hideMark/>
          </w:tcPr>
          <w:p w14:paraId="3C30E157" w14:textId="77777777" w:rsidR="00752D29" w:rsidRPr="00752D29" w:rsidRDefault="00752D29" w:rsidP="00752D29">
            <w:pPr>
              <w:spacing w:after="0" w:line="240" w:lineRule="auto"/>
              <w:ind w:left="0" w:right="0" w:firstLine="0"/>
              <w:jc w:val="center"/>
              <w:rPr>
                <w:b/>
                <w:bCs/>
                <w:sz w:val="20"/>
                <w:szCs w:val="20"/>
              </w:rPr>
            </w:pPr>
            <w:r w:rsidRPr="00752D29">
              <w:rPr>
                <w:b/>
                <w:bCs/>
                <w:sz w:val="20"/>
                <w:szCs w:val="20"/>
              </w:rPr>
              <w:t>0</w:t>
            </w:r>
          </w:p>
        </w:tc>
      </w:tr>
    </w:tbl>
    <w:p w14:paraId="0050C2A3" w14:textId="77777777" w:rsidR="00752D29" w:rsidRDefault="00752D29">
      <w:pPr>
        <w:sectPr w:rsidR="00752D29" w:rsidSect="00E76D00">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416" w:header="708" w:footer="708" w:gutter="0"/>
          <w:pgNumType w:start="9"/>
          <w:cols w:space="708"/>
        </w:sectPr>
      </w:pPr>
    </w:p>
    <w:p w14:paraId="1645B2A4" w14:textId="77777777" w:rsidR="007D6CC1" w:rsidRDefault="00C96B35">
      <w:pPr>
        <w:tabs>
          <w:tab w:val="center" w:pos="8497"/>
          <w:tab w:val="center" w:pos="9205"/>
          <w:tab w:val="center" w:pos="9913"/>
          <w:tab w:val="center" w:pos="10622"/>
          <w:tab w:val="center" w:pos="11330"/>
          <w:tab w:val="center" w:pos="12038"/>
          <w:tab w:val="center" w:pos="12746"/>
          <w:tab w:val="center" w:pos="13454"/>
        </w:tabs>
        <w:spacing w:after="207" w:line="259" w:lineRule="auto"/>
        <w:ind w:left="0" w:right="0" w:firstLine="0"/>
        <w:jc w:val="left"/>
      </w:pPr>
      <w:r>
        <w:rPr>
          <w:b/>
          <w:i/>
        </w:rPr>
        <w:lastRenderedPageBreak/>
        <w:t>3.1.2 Výpočty vplyvov jednotlivých regulácií na zmeny v nákladoch podnikateľov</w:t>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b/>
          <w:i/>
        </w:rPr>
        <w:t xml:space="preserve"> </w:t>
      </w:r>
    </w:p>
    <w:p w14:paraId="0AE30690" w14:textId="77777777" w:rsidR="007D6CC1" w:rsidRDefault="00C96B35">
      <w:pPr>
        <w:spacing w:after="0" w:line="267" w:lineRule="auto"/>
        <w:ind w:left="15" w:right="0"/>
      </w:pPr>
      <w:r>
        <w:rPr>
          <w:i/>
        </w:rPr>
        <w:t xml:space="preserve">Tabuľka č. 2: Výpočet vplyvov jednotlivých regulácií (nahraďte rovnakou tabuľkou po vyplnení Kalkulačky nákladov): </w:t>
      </w:r>
    </w:p>
    <w:p w14:paraId="427F72A4" w14:textId="77777777" w:rsidR="007D6CC1" w:rsidRDefault="007D6CC1">
      <w:pPr>
        <w:spacing w:after="0" w:line="265" w:lineRule="auto"/>
        <w:ind w:right="-14"/>
        <w:jc w:val="right"/>
      </w:pPr>
    </w:p>
    <w:p w14:paraId="2E5DDD7D" w14:textId="77777777" w:rsidR="007D6CC1" w:rsidRDefault="00C96B35">
      <w:pPr>
        <w:spacing w:after="0" w:line="259" w:lineRule="auto"/>
        <w:ind w:left="0" w:right="0" w:firstLine="0"/>
        <w:jc w:val="left"/>
      </w:pPr>
      <w:r>
        <w:rPr>
          <w:rFonts w:ascii="Calibri" w:eastAsia="Calibri" w:hAnsi="Calibri" w:cs="Calibri"/>
        </w:rPr>
        <w:t xml:space="preserve"> </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35756B" w:rsidRPr="000A6B7F" w14:paraId="44C0AB5E" w14:textId="77777777" w:rsidTr="00B3510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06CB11" w14:textId="77777777" w:rsidR="0035756B" w:rsidRPr="000A6B7F" w:rsidRDefault="0035756B" w:rsidP="00B3510C">
            <w:pPr>
              <w:spacing w:after="0" w:line="240" w:lineRule="auto"/>
              <w:jc w:val="center"/>
              <w:rPr>
                <w:b/>
                <w:bCs/>
                <w:sz w:val="20"/>
                <w:szCs w:val="20"/>
              </w:rPr>
            </w:pPr>
            <w:proofErr w:type="spellStart"/>
            <w:r w:rsidRPr="000A6B7F">
              <w:rPr>
                <w:b/>
                <w:bCs/>
                <w:sz w:val="20"/>
                <w:szCs w:val="20"/>
              </w:rPr>
              <w:t>P.č</w:t>
            </w:r>
            <w:proofErr w:type="spellEnd"/>
            <w:r w:rsidRPr="000A6B7F">
              <w:rPr>
                <w:b/>
                <w:bCs/>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A93008" w14:textId="77777777" w:rsidR="0035756B" w:rsidRPr="000A6B7F" w:rsidRDefault="0035756B" w:rsidP="00B3510C">
            <w:pPr>
              <w:spacing w:after="0" w:line="240" w:lineRule="auto"/>
              <w:jc w:val="center"/>
              <w:rPr>
                <w:b/>
                <w:bCs/>
                <w:sz w:val="20"/>
                <w:szCs w:val="20"/>
              </w:rPr>
            </w:pPr>
            <w:r w:rsidRPr="000A6B7F">
              <w:rPr>
                <w:b/>
                <w:bCs/>
                <w:sz w:val="20"/>
                <w:szCs w:val="20"/>
              </w:rPr>
              <w:t xml:space="preserve">Zrozumiteľný a stručný opis regulácie </w:t>
            </w:r>
            <w:r w:rsidRPr="000A6B7F">
              <w:rPr>
                <w:b/>
                <w:bCs/>
                <w:sz w:val="20"/>
                <w:szCs w:val="20"/>
              </w:rPr>
              <w:br/>
              <w:t>(dôvod zvýšenia/zníženia nákladov na PP</w:t>
            </w:r>
            <w:r>
              <w:rPr>
                <w:b/>
                <w:bCs/>
                <w:sz w:val="20"/>
                <w:szCs w:val="20"/>
              </w:rPr>
              <w:t xml:space="preserve"> a dôvod ponechania nákladov na PP, ktoré sú </w:t>
            </w:r>
            <w:proofErr w:type="spellStart"/>
            <w:r>
              <w:rPr>
                <w:b/>
                <w:bCs/>
                <w:sz w:val="20"/>
                <w:szCs w:val="20"/>
              </w:rPr>
              <w:t>goldplatngom</w:t>
            </w:r>
            <w:proofErr w:type="spellEnd"/>
            <w:r w:rsidRPr="000A6B7F">
              <w:rPr>
                <w:b/>
                <w:bCs/>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AA4691E" w14:textId="77777777" w:rsidR="0035756B" w:rsidRPr="000A6B7F" w:rsidRDefault="0035756B" w:rsidP="00B3510C">
            <w:pPr>
              <w:spacing w:after="0" w:line="240" w:lineRule="auto"/>
              <w:jc w:val="center"/>
              <w:rPr>
                <w:b/>
                <w:bCs/>
                <w:sz w:val="20"/>
                <w:szCs w:val="20"/>
              </w:rPr>
            </w:pPr>
            <w:r w:rsidRPr="000A6B7F">
              <w:rPr>
                <w:b/>
                <w:bCs/>
                <w:sz w:val="20"/>
                <w:szCs w:val="20"/>
              </w:rPr>
              <w:t>Číslo normy</w:t>
            </w:r>
            <w:r w:rsidRPr="000A6B7F">
              <w:rPr>
                <w:b/>
                <w:bCs/>
                <w:sz w:val="20"/>
                <w:szCs w:val="20"/>
              </w:rPr>
              <w:br/>
            </w:r>
            <w:r w:rsidRPr="000A6B7F">
              <w:rPr>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0615EF2" w14:textId="77777777" w:rsidR="0035756B" w:rsidRPr="000A6B7F" w:rsidRDefault="0035756B" w:rsidP="00B3510C">
            <w:pPr>
              <w:spacing w:after="0" w:line="240" w:lineRule="auto"/>
              <w:jc w:val="center"/>
              <w:rPr>
                <w:b/>
                <w:bCs/>
                <w:sz w:val="20"/>
                <w:szCs w:val="20"/>
              </w:rPr>
            </w:pPr>
            <w:r w:rsidRPr="000A6B7F">
              <w:rPr>
                <w:b/>
                <w:bCs/>
                <w:sz w:val="20"/>
                <w:szCs w:val="20"/>
              </w:rPr>
              <w:t>Lokalizácia</w:t>
            </w:r>
            <w:r w:rsidRPr="000A6B7F">
              <w:rPr>
                <w:b/>
                <w:bCs/>
                <w:sz w:val="20"/>
                <w:szCs w:val="20"/>
              </w:rPr>
              <w:br/>
              <w:t>(§, ods.</w:t>
            </w:r>
            <w:r>
              <w:rPr>
                <w:b/>
                <w:bCs/>
                <w:sz w:val="20"/>
                <w:szCs w:val="20"/>
              </w:rPr>
              <w:t>, čl.,...</w:t>
            </w:r>
            <w:r w:rsidRPr="000A6B7F">
              <w:rPr>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84227C" w14:textId="77777777" w:rsidR="0035756B" w:rsidRDefault="0035756B" w:rsidP="00B3510C">
            <w:pPr>
              <w:spacing w:after="0" w:line="240" w:lineRule="auto"/>
              <w:jc w:val="center"/>
              <w:rPr>
                <w:sz w:val="20"/>
                <w:szCs w:val="20"/>
              </w:rPr>
            </w:pPr>
            <w:r w:rsidRPr="000A6B7F">
              <w:rPr>
                <w:b/>
                <w:bCs/>
                <w:sz w:val="20"/>
                <w:szCs w:val="20"/>
              </w:rPr>
              <w:t xml:space="preserve">Pôvod regulácie: </w:t>
            </w:r>
            <w:r w:rsidRPr="000A6B7F">
              <w:rPr>
                <w:b/>
                <w:bCs/>
                <w:sz w:val="20"/>
                <w:szCs w:val="20"/>
              </w:rPr>
              <w:br/>
            </w:r>
            <w:r>
              <w:rPr>
                <w:sz w:val="20"/>
                <w:szCs w:val="20"/>
              </w:rPr>
              <w:t>SK</w:t>
            </w:r>
            <w:r w:rsidRPr="000A6B7F">
              <w:rPr>
                <w:sz w:val="20"/>
                <w:szCs w:val="20"/>
              </w:rPr>
              <w:t xml:space="preserve">/EÚ úplná </w:t>
            </w:r>
            <w:proofErr w:type="spellStart"/>
            <w:r w:rsidRPr="000A6B7F">
              <w:rPr>
                <w:sz w:val="20"/>
                <w:szCs w:val="20"/>
              </w:rPr>
              <w:t>harm</w:t>
            </w:r>
            <w:proofErr w:type="spellEnd"/>
            <w:r w:rsidRPr="000A6B7F">
              <w:rPr>
                <w:sz w:val="20"/>
                <w:szCs w:val="20"/>
              </w:rPr>
              <w:t>./</w:t>
            </w:r>
          </w:p>
          <w:p w14:paraId="122BCE36" w14:textId="77777777" w:rsidR="0035756B" w:rsidRPr="000A6B7F" w:rsidRDefault="0035756B" w:rsidP="00B3510C">
            <w:pPr>
              <w:spacing w:after="0" w:line="240" w:lineRule="auto"/>
              <w:jc w:val="center"/>
              <w:rPr>
                <w:b/>
                <w:bCs/>
                <w:sz w:val="20"/>
                <w:szCs w:val="20"/>
              </w:rPr>
            </w:pPr>
            <w:proofErr w:type="spellStart"/>
            <w:r>
              <w:rPr>
                <w:sz w:val="20"/>
                <w:szCs w:val="20"/>
              </w:rPr>
              <w:t>G</w:t>
            </w:r>
            <w:r w:rsidRPr="000A6B7F">
              <w:rPr>
                <w:sz w:val="20"/>
                <w:szCs w:val="20"/>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92A357" w14:textId="77777777" w:rsidR="0035756B" w:rsidRPr="000A6B7F" w:rsidRDefault="0035756B" w:rsidP="00B3510C">
            <w:pPr>
              <w:spacing w:after="0" w:line="240" w:lineRule="auto"/>
              <w:jc w:val="center"/>
              <w:rPr>
                <w:b/>
                <w:bCs/>
                <w:sz w:val="20"/>
                <w:szCs w:val="20"/>
              </w:rPr>
            </w:pPr>
            <w:r w:rsidRPr="000A6B7F">
              <w:rPr>
                <w:b/>
                <w:bCs/>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912383" w14:textId="77777777" w:rsidR="0035756B" w:rsidRPr="000A6B7F" w:rsidRDefault="0035756B" w:rsidP="00B3510C">
            <w:pPr>
              <w:spacing w:after="0" w:line="240" w:lineRule="auto"/>
              <w:jc w:val="center"/>
              <w:rPr>
                <w:b/>
                <w:bCs/>
                <w:sz w:val="20"/>
                <w:szCs w:val="20"/>
              </w:rPr>
            </w:pPr>
            <w:r w:rsidRPr="000A6B7F">
              <w:rPr>
                <w:b/>
                <w:bCs/>
                <w:sz w:val="20"/>
                <w:szCs w:val="20"/>
              </w:rPr>
              <w:t xml:space="preserve">Kategória </w:t>
            </w:r>
            <w:proofErr w:type="spellStart"/>
            <w:r w:rsidRPr="000A6B7F">
              <w:rPr>
                <w:b/>
                <w:bCs/>
                <w:sz w:val="20"/>
                <w:szCs w:val="20"/>
              </w:rPr>
              <w:t>dotk</w:t>
            </w:r>
            <w:proofErr w:type="spellEnd"/>
            <w:r w:rsidRPr="000A6B7F">
              <w:rPr>
                <w:b/>
                <w:bCs/>
                <w:sz w:val="20"/>
                <w:szCs w:val="2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0C2970" w14:textId="77777777" w:rsidR="0035756B" w:rsidRDefault="0035756B" w:rsidP="00B3510C">
            <w:pPr>
              <w:spacing w:after="0" w:line="240" w:lineRule="auto"/>
              <w:jc w:val="center"/>
              <w:rPr>
                <w:b/>
                <w:bCs/>
                <w:sz w:val="20"/>
                <w:szCs w:val="20"/>
              </w:rPr>
            </w:pPr>
            <w:r w:rsidRPr="00895898">
              <w:rPr>
                <w:b/>
                <w:bCs/>
                <w:sz w:val="20"/>
                <w:szCs w:val="20"/>
              </w:rPr>
              <w:t xml:space="preserve">Počet </w:t>
            </w:r>
          </w:p>
          <w:p w14:paraId="399E8727" w14:textId="77777777" w:rsidR="0035756B" w:rsidRPr="00895898" w:rsidRDefault="0035756B" w:rsidP="00B3510C">
            <w:pPr>
              <w:spacing w:after="0" w:line="240" w:lineRule="auto"/>
              <w:jc w:val="center"/>
              <w:rPr>
                <w:b/>
                <w:bCs/>
                <w:sz w:val="20"/>
                <w:szCs w:val="20"/>
              </w:rPr>
            </w:pPr>
            <w:proofErr w:type="spellStart"/>
            <w:r>
              <w:rPr>
                <w:b/>
                <w:bCs/>
                <w:sz w:val="20"/>
                <w:szCs w:val="20"/>
              </w:rPr>
              <w:t>dotk</w:t>
            </w:r>
            <w:proofErr w:type="spellEnd"/>
            <w:r>
              <w:rPr>
                <w:b/>
                <w:bCs/>
                <w:sz w:val="20"/>
                <w:szCs w:val="20"/>
              </w:rPr>
              <w:t>.</w:t>
            </w:r>
            <w:r w:rsidRPr="00895898">
              <w:rPr>
                <w:b/>
                <w:bCs/>
                <w:sz w:val="20"/>
                <w:szCs w:val="20"/>
              </w:rPr>
              <w:t xml:space="preserve"> subjektov </w:t>
            </w:r>
            <w:r>
              <w:rPr>
                <w:b/>
                <w:bCs/>
                <w:sz w:val="20"/>
                <w:szCs w:val="20"/>
              </w:rPr>
              <w:t>spolu</w:t>
            </w:r>
            <w:r w:rsidRPr="00895898">
              <w:rPr>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B3B85D" w14:textId="77777777" w:rsidR="0035756B" w:rsidRPr="000A6B7F" w:rsidRDefault="0035756B" w:rsidP="00B3510C">
            <w:pPr>
              <w:spacing w:after="0" w:line="240" w:lineRule="auto"/>
              <w:jc w:val="center"/>
              <w:rPr>
                <w:b/>
                <w:bCs/>
                <w:sz w:val="20"/>
                <w:szCs w:val="20"/>
              </w:rPr>
            </w:pPr>
            <w:r w:rsidRPr="000A6B7F">
              <w:rPr>
                <w:b/>
                <w:bCs/>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B48F6B" w14:textId="77777777" w:rsidR="0035756B" w:rsidRPr="000A6B7F" w:rsidRDefault="0035756B" w:rsidP="00B3510C">
            <w:pPr>
              <w:spacing w:after="0" w:line="240" w:lineRule="auto"/>
              <w:jc w:val="center"/>
              <w:rPr>
                <w:b/>
                <w:bCs/>
                <w:sz w:val="20"/>
                <w:szCs w:val="20"/>
              </w:rPr>
            </w:pPr>
            <w:r>
              <w:rPr>
                <w:b/>
                <w:bCs/>
                <w:sz w:val="20"/>
                <w:szCs w:val="20"/>
              </w:rPr>
              <w:t xml:space="preserve">Vplyv na </w:t>
            </w:r>
            <w:proofErr w:type="spellStart"/>
            <w:r>
              <w:rPr>
                <w:b/>
                <w:bCs/>
                <w:sz w:val="20"/>
                <w:szCs w:val="20"/>
              </w:rPr>
              <w:t>kateg</w:t>
            </w:r>
            <w:proofErr w:type="spellEnd"/>
            <w:r>
              <w:rPr>
                <w:b/>
                <w:bCs/>
                <w:sz w:val="20"/>
                <w:szCs w:val="20"/>
              </w:rPr>
              <w:t xml:space="preserve">. </w:t>
            </w:r>
            <w:proofErr w:type="spellStart"/>
            <w:r>
              <w:rPr>
                <w:b/>
                <w:bCs/>
                <w:sz w:val="20"/>
                <w:szCs w:val="20"/>
              </w:rPr>
              <w:t>dotk</w:t>
            </w:r>
            <w:proofErr w:type="spellEnd"/>
            <w:r>
              <w:rPr>
                <w:b/>
                <w:bCs/>
                <w:sz w:val="20"/>
                <w:szCs w:val="20"/>
              </w:rPr>
              <w:t>. subjekt.</w:t>
            </w:r>
            <w:r w:rsidRPr="000A6B7F">
              <w:rPr>
                <w:b/>
                <w:bCs/>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EEC839" w14:textId="77777777" w:rsidR="0035756B" w:rsidRPr="00895898" w:rsidRDefault="0035756B" w:rsidP="00B3510C">
            <w:pPr>
              <w:spacing w:after="0" w:line="240" w:lineRule="auto"/>
              <w:jc w:val="center"/>
              <w:rPr>
                <w:bCs/>
                <w:sz w:val="20"/>
                <w:szCs w:val="20"/>
              </w:rPr>
            </w:pPr>
            <w:r w:rsidRPr="000A6B7F">
              <w:rPr>
                <w:b/>
                <w:bCs/>
                <w:sz w:val="20"/>
                <w:szCs w:val="20"/>
              </w:rPr>
              <w:t>Druh vplyvu</w:t>
            </w:r>
            <w:r w:rsidRPr="000A6B7F">
              <w:rPr>
                <w:b/>
                <w:bCs/>
                <w:sz w:val="20"/>
                <w:szCs w:val="20"/>
              </w:rPr>
              <w:br/>
            </w:r>
            <w:r w:rsidRPr="00895898">
              <w:rPr>
                <w:bCs/>
                <w:sz w:val="20"/>
                <w:szCs w:val="20"/>
              </w:rPr>
              <w:t xml:space="preserve">In (zvyšuje náklady) / </w:t>
            </w:r>
          </w:p>
          <w:p w14:paraId="2E841012" w14:textId="77777777" w:rsidR="0035756B" w:rsidRPr="00895898" w:rsidRDefault="0035756B" w:rsidP="00B3510C">
            <w:pPr>
              <w:spacing w:after="0" w:line="240" w:lineRule="auto"/>
              <w:jc w:val="center"/>
              <w:rPr>
                <w:b/>
                <w:bCs/>
                <w:sz w:val="20"/>
                <w:szCs w:val="20"/>
              </w:rPr>
            </w:pPr>
            <w:proofErr w:type="spellStart"/>
            <w:r w:rsidRPr="00895898">
              <w:rPr>
                <w:bCs/>
                <w:sz w:val="20"/>
                <w:szCs w:val="20"/>
              </w:rPr>
              <w:t>Out</w:t>
            </w:r>
            <w:proofErr w:type="spellEnd"/>
            <w:r w:rsidRPr="00895898">
              <w:rPr>
                <w:bCs/>
                <w:sz w:val="20"/>
                <w:szCs w:val="20"/>
              </w:rPr>
              <w:t xml:space="preserve"> (znižuje náklady</w:t>
            </w:r>
            <w:r w:rsidRPr="00895898">
              <w:rPr>
                <w:b/>
                <w:bCs/>
                <w:sz w:val="20"/>
                <w:szCs w:val="20"/>
              </w:rPr>
              <w:t>)</w:t>
            </w:r>
          </w:p>
          <w:p w14:paraId="1B694275" w14:textId="77777777" w:rsidR="0035756B" w:rsidRPr="000A6B7F" w:rsidRDefault="0035756B" w:rsidP="00B3510C">
            <w:pPr>
              <w:spacing w:after="0" w:line="240" w:lineRule="auto"/>
              <w:jc w:val="center"/>
              <w:rPr>
                <w:b/>
                <w:bCs/>
                <w:sz w:val="20"/>
                <w:szCs w:val="20"/>
              </w:rPr>
            </w:pPr>
            <w:r w:rsidRPr="000A6B7F">
              <w:rPr>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2733A8" w14:textId="77777777" w:rsidR="0035756B" w:rsidRPr="006B5D74" w:rsidRDefault="0035756B" w:rsidP="00B3510C">
            <w:pPr>
              <w:spacing w:after="0" w:line="240" w:lineRule="auto"/>
              <w:jc w:val="center"/>
              <w:rPr>
                <w:b/>
                <w:bCs/>
                <w:sz w:val="18"/>
                <w:szCs w:val="18"/>
              </w:rPr>
            </w:pPr>
            <w:r w:rsidRPr="006B5D74">
              <w:rPr>
                <w:b/>
                <w:bCs/>
                <w:sz w:val="18"/>
                <w:szCs w:val="18"/>
              </w:rPr>
              <w:t>1in</w:t>
            </w:r>
          </w:p>
          <w:p w14:paraId="6AF593DD" w14:textId="77777777" w:rsidR="0035756B" w:rsidRPr="006B5D74" w:rsidRDefault="0035756B" w:rsidP="00B3510C">
            <w:pPr>
              <w:spacing w:after="0" w:line="240" w:lineRule="auto"/>
              <w:jc w:val="center"/>
              <w:rPr>
                <w:b/>
                <w:bCs/>
                <w:sz w:val="18"/>
                <w:szCs w:val="18"/>
              </w:rPr>
            </w:pPr>
            <w:r w:rsidRPr="006B5D74">
              <w:rPr>
                <w:b/>
                <w:bCs/>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366B56" w14:textId="77777777" w:rsidR="0035756B" w:rsidRPr="006B5D74" w:rsidRDefault="0035756B" w:rsidP="00B3510C">
            <w:pPr>
              <w:spacing w:after="0" w:line="240" w:lineRule="auto"/>
              <w:jc w:val="center"/>
              <w:rPr>
                <w:b/>
                <w:bCs/>
                <w:sz w:val="18"/>
                <w:szCs w:val="18"/>
              </w:rPr>
            </w:pPr>
            <w:proofErr w:type="spellStart"/>
            <w:r w:rsidRPr="006B5D74">
              <w:rPr>
                <w:b/>
                <w:bCs/>
                <w:sz w:val="18"/>
                <w:szCs w:val="18"/>
              </w:rPr>
              <w:t>Goldplating</w:t>
            </w:r>
            <w:proofErr w:type="spellEnd"/>
            <w:r w:rsidRPr="006B5D74">
              <w:rPr>
                <w:b/>
                <w:bCs/>
                <w:sz w:val="18"/>
                <w:szCs w:val="18"/>
              </w:rPr>
              <w:t xml:space="preserve"> celkom</w:t>
            </w:r>
          </w:p>
        </w:tc>
      </w:tr>
      <w:tr w:rsidR="0035756B" w:rsidRPr="00895898" w14:paraId="0C34539B" w14:textId="77777777" w:rsidTr="006C7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2E7B08EB" w14:textId="77777777" w:rsidR="0035756B" w:rsidRDefault="0035756B" w:rsidP="0035756B">
            <w:pPr>
              <w:spacing w:after="0" w:line="240" w:lineRule="auto"/>
              <w:ind w:left="0" w:right="0" w:firstLine="0"/>
              <w:jc w:val="center"/>
              <w:rPr>
                <w:sz w:val="20"/>
                <w:szCs w:val="20"/>
              </w:rPr>
            </w:pPr>
            <w:r>
              <w:rPr>
                <w:sz w:val="20"/>
                <w:szCs w:val="20"/>
              </w:rPr>
              <w:t>1</w:t>
            </w:r>
          </w:p>
        </w:tc>
        <w:tc>
          <w:tcPr>
            <w:tcW w:w="1740" w:type="dxa"/>
            <w:tcBorders>
              <w:top w:val="single" w:sz="4" w:space="0" w:color="auto"/>
              <w:left w:val="nil"/>
              <w:bottom w:val="single" w:sz="4" w:space="0" w:color="auto"/>
              <w:right w:val="single" w:sz="4" w:space="0" w:color="auto"/>
            </w:tcBorders>
            <w:shd w:val="clear" w:color="auto" w:fill="auto"/>
            <w:vAlign w:val="center"/>
          </w:tcPr>
          <w:p w14:paraId="4111FC0F" w14:textId="77777777" w:rsidR="0035756B" w:rsidRDefault="0035756B" w:rsidP="0035756B">
            <w:pPr>
              <w:jc w:val="center"/>
              <w:rPr>
                <w:sz w:val="20"/>
                <w:szCs w:val="20"/>
              </w:rPr>
            </w:pPr>
            <w:r>
              <w:rPr>
                <w:sz w:val="20"/>
                <w:szCs w:val="20"/>
              </w:rPr>
              <w:t>Plocha vysiata zmesami pre opeľovače</w:t>
            </w:r>
          </w:p>
        </w:tc>
        <w:tc>
          <w:tcPr>
            <w:tcW w:w="992" w:type="dxa"/>
            <w:tcBorders>
              <w:top w:val="single" w:sz="4" w:space="0" w:color="auto"/>
              <w:left w:val="nil"/>
              <w:bottom w:val="single" w:sz="4" w:space="0" w:color="auto"/>
              <w:right w:val="single" w:sz="4" w:space="0" w:color="auto"/>
            </w:tcBorders>
            <w:shd w:val="clear" w:color="auto" w:fill="auto"/>
            <w:vAlign w:val="center"/>
          </w:tcPr>
          <w:p w14:paraId="69FF995F" w14:textId="77777777" w:rsidR="0035756B" w:rsidRDefault="0035756B" w:rsidP="0035756B">
            <w:pPr>
              <w:jc w:val="center"/>
              <w:rPr>
                <w:sz w:val="20"/>
                <w:szCs w:val="20"/>
              </w:rPr>
            </w:pPr>
            <w:r>
              <w:rPr>
                <w:sz w:val="20"/>
                <w:szCs w:val="20"/>
              </w:rPr>
              <w:t>NV SR č. 436/2022 Z. z.</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ABCE1F" w14:textId="77777777" w:rsidR="0035756B" w:rsidRDefault="0035756B" w:rsidP="0035756B">
            <w:pPr>
              <w:jc w:val="center"/>
              <w:rPr>
                <w:sz w:val="20"/>
                <w:szCs w:val="20"/>
              </w:rPr>
            </w:pPr>
            <w:r>
              <w:rPr>
                <w:sz w:val="20"/>
                <w:szCs w:val="20"/>
              </w:rPr>
              <w:t>§ 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0F315D" w14:textId="77777777" w:rsidR="0035756B" w:rsidRDefault="0035756B" w:rsidP="0035756B">
            <w:pPr>
              <w:jc w:val="center"/>
              <w:rPr>
                <w:sz w:val="20"/>
                <w:szCs w:val="20"/>
              </w:rPr>
            </w:pPr>
            <w:r>
              <w:rPr>
                <w:sz w:val="20"/>
                <w:szCs w:val="20"/>
              </w:rPr>
              <w:t>1.SK</w:t>
            </w:r>
          </w:p>
        </w:tc>
        <w:tc>
          <w:tcPr>
            <w:tcW w:w="992" w:type="dxa"/>
            <w:tcBorders>
              <w:top w:val="single" w:sz="4" w:space="0" w:color="auto"/>
              <w:left w:val="nil"/>
              <w:bottom w:val="single" w:sz="4" w:space="0" w:color="auto"/>
              <w:right w:val="single" w:sz="4" w:space="0" w:color="auto"/>
            </w:tcBorders>
            <w:shd w:val="clear" w:color="auto" w:fill="auto"/>
            <w:vAlign w:val="center"/>
          </w:tcPr>
          <w:p w14:paraId="48E575CE" w14:textId="77777777" w:rsidR="0035756B" w:rsidRDefault="0035756B" w:rsidP="0035756B">
            <w:pPr>
              <w:jc w:val="center"/>
              <w:rPr>
                <w:sz w:val="20"/>
                <w:szCs w:val="20"/>
              </w:rPr>
            </w:pPr>
            <w:r>
              <w:rPr>
                <w:sz w:val="20"/>
                <w:szCs w:val="20"/>
              </w:rPr>
              <w:t>01.01.23</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25E54272" w14:textId="77777777" w:rsidR="0035756B" w:rsidRDefault="0035756B" w:rsidP="0035756B">
            <w:pPr>
              <w:jc w:val="center"/>
              <w:rPr>
                <w:sz w:val="20"/>
                <w:szCs w:val="20"/>
              </w:rPr>
            </w:pPr>
            <w:r>
              <w:rPr>
                <w:sz w:val="20"/>
                <w:szCs w:val="20"/>
              </w:rPr>
              <w:t xml:space="preserve">žiadatelia o </w:t>
            </w:r>
            <w:proofErr w:type="spellStart"/>
            <w:r>
              <w:rPr>
                <w:sz w:val="20"/>
                <w:szCs w:val="20"/>
              </w:rPr>
              <w:t>celofarmovú</w:t>
            </w:r>
            <w:proofErr w:type="spellEnd"/>
            <w:r>
              <w:rPr>
                <w:sz w:val="20"/>
                <w:szCs w:val="20"/>
              </w:rPr>
              <w:t xml:space="preserve"> </w:t>
            </w:r>
            <w:proofErr w:type="spellStart"/>
            <w:r>
              <w:rPr>
                <w:sz w:val="20"/>
                <w:szCs w:val="20"/>
              </w:rPr>
              <w:t>eko</w:t>
            </w:r>
            <w:proofErr w:type="spellEnd"/>
            <w:r>
              <w:rPr>
                <w:sz w:val="20"/>
                <w:szCs w:val="20"/>
              </w:rPr>
              <w:t>-schému nad 10 ha ornej pôdy</w:t>
            </w:r>
          </w:p>
        </w:tc>
        <w:tc>
          <w:tcPr>
            <w:tcW w:w="1108" w:type="dxa"/>
            <w:tcBorders>
              <w:top w:val="single" w:sz="4" w:space="0" w:color="auto"/>
              <w:left w:val="nil"/>
              <w:bottom w:val="single" w:sz="4" w:space="0" w:color="auto"/>
              <w:right w:val="single" w:sz="4" w:space="0" w:color="auto"/>
            </w:tcBorders>
            <w:shd w:val="clear" w:color="auto" w:fill="auto"/>
            <w:vAlign w:val="center"/>
          </w:tcPr>
          <w:p w14:paraId="6732C463" w14:textId="77777777" w:rsidR="0035756B" w:rsidRDefault="0035756B" w:rsidP="0035756B">
            <w:pPr>
              <w:jc w:val="left"/>
              <w:rPr>
                <w:sz w:val="20"/>
                <w:szCs w:val="20"/>
              </w:rPr>
            </w:pPr>
            <w:r>
              <w:rPr>
                <w:sz w:val="20"/>
                <w:szCs w:val="20"/>
              </w:rPr>
              <w:t xml:space="preserve"> 7 309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1A4F3EA" w14:textId="77777777" w:rsidR="0035756B" w:rsidRDefault="0035756B" w:rsidP="0035756B">
            <w:pPr>
              <w:jc w:val="center"/>
              <w:rPr>
                <w:sz w:val="20"/>
                <w:szCs w:val="20"/>
              </w:rPr>
            </w:pPr>
            <w:r>
              <w:rPr>
                <w:sz w:val="20"/>
                <w:szCs w:val="20"/>
              </w:rPr>
              <w:t>1</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502E2BB4" w14:textId="77777777" w:rsidR="0035756B" w:rsidRDefault="0035756B" w:rsidP="0035756B">
            <w:pPr>
              <w:jc w:val="center"/>
              <w:rPr>
                <w:sz w:val="20"/>
                <w:szCs w:val="20"/>
              </w:rPr>
            </w:pPr>
            <w:r>
              <w:rPr>
                <w:sz w:val="20"/>
                <w:szCs w:val="20"/>
              </w:rPr>
              <w:t>4 070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164F6E1D" w14:textId="77777777" w:rsidR="0035756B" w:rsidRDefault="0035756B" w:rsidP="0035756B">
            <w:pPr>
              <w:jc w:val="center"/>
              <w:rPr>
                <w:sz w:val="20"/>
                <w:szCs w:val="20"/>
              </w:rPr>
            </w:pPr>
            <w:r>
              <w:rPr>
                <w:sz w:val="20"/>
                <w:szCs w:val="20"/>
              </w:rPr>
              <w:t>In (zvyšuje náklady)</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03FFA39" w14:textId="77777777" w:rsidR="0035756B" w:rsidRDefault="0035756B" w:rsidP="0035756B">
            <w:pPr>
              <w:jc w:val="center"/>
              <w:rPr>
                <w:color w:val="auto"/>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F0C36" w14:textId="77777777" w:rsidR="0035756B" w:rsidRDefault="0035756B" w:rsidP="0035756B">
            <w:pPr>
              <w:jc w:val="center"/>
              <w:rPr>
                <w:sz w:val="20"/>
                <w:szCs w:val="20"/>
              </w:rPr>
            </w:pPr>
            <w:r>
              <w:rPr>
                <w:sz w:val="20"/>
                <w:szCs w:val="20"/>
              </w:rPr>
              <w:t>0</w:t>
            </w:r>
          </w:p>
        </w:tc>
      </w:tr>
      <w:tr w:rsidR="0035756B" w:rsidRPr="00895898" w14:paraId="65541C22" w14:textId="77777777" w:rsidTr="00B35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E7816F5" w14:textId="77777777" w:rsidR="0035756B" w:rsidRPr="00895898" w:rsidRDefault="0035756B" w:rsidP="00B3510C">
            <w:pPr>
              <w:spacing w:after="0" w:line="240" w:lineRule="auto"/>
              <w:rPr>
                <w:sz w:val="20"/>
                <w:szCs w:val="20"/>
              </w:rPr>
            </w:pPr>
          </w:p>
        </w:tc>
        <w:tc>
          <w:tcPr>
            <w:tcW w:w="1740" w:type="dxa"/>
            <w:shd w:val="clear" w:color="auto" w:fill="auto"/>
            <w:vAlign w:val="center"/>
          </w:tcPr>
          <w:p w14:paraId="701590F0" w14:textId="77777777" w:rsidR="0035756B" w:rsidRPr="00895898" w:rsidRDefault="0035756B" w:rsidP="00B3510C">
            <w:pPr>
              <w:spacing w:after="0" w:line="240" w:lineRule="auto"/>
              <w:rPr>
                <w:sz w:val="20"/>
                <w:szCs w:val="20"/>
              </w:rPr>
            </w:pPr>
          </w:p>
        </w:tc>
        <w:tc>
          <w:tcPr>
            <w:tcW w:w="992" w:type="dxa"/>
          </w:tcPr>
          <w:p w14:paraId="06664286" w14:textId="77777777" w:rsidR="0035756B" w:rsidRPr="00895898" w:rsidRDefault="0035756B" w:rsidP="00B3510C">
            <w:pPr>
              <w:spacing w:after="0" w:line="240" w:lineRule="auto"/>
              <w:rPr>
                <w:sz w:val="20"/>
                <w:szCs w:val="20"/>
              </w:rPr>
            </w:pPr>
          </w:p>
        </w:tc>
        <w:tc>
          <w:tcPr>
            <w:tcW w:w="1134" w:type="dxa"/>
          </w:tcPr>
          <w:p w14:paraId="1C12C18F" w14:textId="77777777" w:rsidR="0035756B" w:rsidRPr="00895898" w:rsidRDefault="0035756B" w:rsidP="00B3510C">
            <w:pPr>
              <w:spacing w:after="0" w:line="240" w:lineRule="auto"/>
              <w:rPr>
                <w:sz w:val="20"/>
                <w:szCs w:val="20"/>
              </w:rPr>
            </w:pPr>
          </w:p>
        </w:tc>
        <w:tc>
          <w:tcPr>
            <w:tcW w:w="1843" w:type="dxa"/>
            <w:shd w:val="clear" w:color="auto" w:fill="auto"/>
            <w:vAlign w:val="center"/>
          </w:tcPr>
          <w:p w14:paraId="16984B3E" w14:textId="77777777" w:rsidR="0035756B" w:rsidDel="00801596" w:rsidRDefault="0035756B" w:rsidP="00B3510C">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B8B3727" w14:textId="77777777" w:rsidR="0035756B" w:rsidRPr="00895898" w:rsidRDefault="0035756B" w:rsidP="00B3510C">
            <w:pPr>
              <w:spacing w:after="0" w:line="240" w:lineRule="auto"/>
              <w:rPr>
                <w:sz w:val="20"/>
                <w:szCs w:val="20"/>
              </w:rPr>
            </w:pPr>
          </w:p>
        </w:tc>
        <w:tc>
          <w:tcPr>
            <w:tcW w:w="1160" w:type="dxa"/>
            <w:shd w:val="clear" w:color="auto" w:fill="auto"/>
            <w:noWrap/>
            <w:vAlign w:val="center"/>
          </w:tcPr>
          <w:p w14:paraId="56CFC4C2" w14:textId="77777777" w:rsidR="0035756B" w:rsidRPr="00895898" w:rsidRDefault="0035756B" w:rsidP="00B3510C">
            <w:pPr>
              <w:spacing w:after="0" w:line="240" w:lineRule="auto"/>
              <w:rPr>
                <w:sz w:val="20"/>
                <w:szCs w:val="20"/>
              </w:rPr>
            </w:pPr>
          </w:p>
        </w:tc>
        <w:tc>
          <w:tcPr>
            <w:tcW w:w="1108" w:type="dxa"/>
          </w:tcPr>
          <w:p w14:paraId="7BBC2E66" w14:textId="77777777" w:rsidR="0035756B" w:rsidRPr="00895898" w:rsidRDefault="0035756B" w:rsidP="00B3510C">
            <w:pPr>
              <w:spacing w:after="0" w:line="240" w:lineRule="auto"/>
              <w:rPr>
                <w:sz w:val="20"/>
                <w:szCs w:val="20"/>
              </w:rPr>
            </w:pPr>
          </w:p>
        </w:tc>
        <w:tc>
          <w:tcPr>
            <w:tcW w:w="851" w:type="dxa"/>
            <w:shd w:val="clear" w:color="auto" w:fill="auto"/>
            <w:noWrap/>
            <w:vAlign w:val="center"/>
          </w:tcPr>
          <w:p w14:paraId="7D4CFCC8" w14:textId="77777777" w:rsidR="0035756B" w:rsidRPr="00895898" w:rsidRDefault="0035756B" w:rsidP="00B3510C">
            <w:pPr>
              <w:spacing w:after="0" w:line="240" w:lineRule="auto"/>
              <w:rPr>
                <w:sz w:val="20"/>
                <w:szCs w:val="20"/>
              </w:rPr>
            </w:pPr>
          </w:p>
        </w:tc>
        <w:tc>
          <w:tcPr>
            <w:tcW w:w="843" w:type="dxa"/>
            <w:shd w:val="clear" w:color="auto" w:fill="auto"/>
            <w:noWrap/>
            <w:vAlign w:val="center"/>
          </w:tcPr>
          <w:p w14:paraId="0D8A7D12" w14:textId="77777777" w:rsidR="0035756B" w:rsidRPr="00895898" w:rsidRDefault="0035756B" w:rsidP="00B3510C">
            <w:pPr>
              <w:spacing w:after="0" w:line="240" w:lineRule="auto"/>
              <w:rPr>
                <w:sz w:val="20"/>
                <w:szCs w:val="20"/>
              </w:rPr>
            </w:pPr>
          </w:p>
        </w:tc>
        <w:tc>
          <w:tcPr>
            <w:tcW w:w="1000" w:type="dxa"/>
            <w:shd w:val="clear" w:color="auto" w:fill="auto"/>
            <w:noWrap/>
            <w:vAlign w:val="center"/>
          </w:tcPr>
          <w:p w14:paraId="14ECCB1F" w14:textId="77777777" w:rsidR="0035756B" w:rsidRPr="00895898" w:rsidRDefault="0035756B" w:rsidP="00B3510C">
            <w:pPr>
              <w:spacing w:after="0" w:line="240" w:lineRule="auto"/>
              <w:rPr>
                <w:sz w:val="20"/>
                <w:szCs w:val="20"/>
              </w:rPr>
            </w:pPr>
          </w:p>
        </w:tc>
        <w:tc>
          <w:tcPr>
            <w:tcW w:w="708" w:type="dxa"/>
            <w:shd w:val="clear" w:color="auto" w:fill="auto"/>
            <w:noWrap/>
            <w:vAlign w:val="center"/>
          </w:tcPr>
          <w:p w14:paraId="5B3924D9" w14:textId="77777777" w:rsidR="0035756B" w:rsidRPr="00895898" w:rsidRDefault="0035756B" w:rsidP="00B3510C">
            <w:pPr>
              <w:spacing w:after="0" w:line="240" w:lineRule="auto"/>
              <w:rPr>
                <w:sz w:val="20"/>
                <w:szCs w:val="20"/>
              </w:rPr>
            </w:pPr>
          </w:p>
        </w:tc>
        <w:tc>
          <w:tcPr>
            <w:tcW w:w="1134" w:type="dxa"/>
            <w:vAlign w:val="center"/>
          </w:tcPr>
          <w:p w14:paraId="3A4788B3" w14:textId="77777777" w:rsidR="0035756B" w:rsidRPr="00895898" w:rsidRDefault="0035756B" w:rsidP="00B3510C">
            <w:pPr>
              <w:spacing w:after="0" w:line="240" w:lineRule="auto"/>
              <w:rPr>
                <w:sz w:val="20"/>
                <w:szCs w:val="20"/>
              </w:rPr>
            </w:pPr>
          </w:p>
        </w:tc>
      </w:tr>
      <w:tr w:rsidR="0035756B" w:rsidRPr="00895898" w14:paraId="30C456F0" w14:textId="77777777" w:rsidTr="00B35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6C82DC6" w14:textId="77777777" w:rsidR="0035756B" w:rsidRPr="00895898" w:rsidRDefault="0035756B" w:rsidP="00B3510C">
            <w:pPr>
              <w:spacing w:after="0" w:line="240" w:lineRule="auto"/>
              <w:rPr>
                <w:sz w:val="20"/>
                <w:szCs w:val="20"/>
              </w:rPr>
            </w:pPr>
          </w:p>
        </w:tc>
        <w:tc>
          <w:tcPr>
            <w:tcW w:w="1740" w:type="dxa"/>
            <w:shd w:val="clear" w:color="auto" w:fill="auto"/>
            <w:vAlign w:val="center"/>
          </w:tcPr>
          <w:p w14:paraId="2890F493" w14:textId="77777777" w:rsidR="0035756B" w:rsidRPr="00895898" w:rsidRDefault="0035756B" w:rsidP="00B3510C">
            <w:pPr>
              <w:spacing w:after="0" w:line="240" w:lineRule="auto"/>
              <w:rPr>
                <w:sz w:val="20"/>
                <w:szCs w:val="20"/>
              </w:rPr>
            </w:pPr>
          </w:p>
        </w:tc>
        <w:tc>
          <w:tcPr>
            <w:tcW w:w="992" w:type="dxa"/>
          </w:tcPr>
          <w:p w14:paraId="5C03779A" w14:textId="77777777" w:rsidR="0035756B" w:rsidRPr="00895898" w:rsidRDefault="0035756B" w:rsidP="00B3510C">
            <w:pPr>
              <w:spacing w:after="0" w:line="240" w:lineRule="auto"/>
              <w:rPr>
                <w:sz w:val="20"/>
                <w:szCs w:val="20"/>
              </w:rPr>
            </w:pPr>
          </w:p>
        </w:tc>
        <w:tc>
          <w:tcPr>
            <w:tcW w:w="1134" w:type="dxa"/>
          </w:tcPr>
          <w:p w14:paraId="0C1044BC" w14:textId="77777777" w:rsidR="0035756B" w:rsidRPr="00895898" w:rsidRDefault="0035756B" w:rsidP="00B3510C">
            <w:pPr>
              <w:spacing w:after="0" w:line="240" w:lineRule="auto"/>
              <w:rPr>
                <w:sz w:val="20"/>
                <w:szCs w:val="20"/>
              </w:rPr>
            </w:pPr>
          </w:p>
        </w:tc>
        <w:tc>
          <w:tcPr>
            <w:tcW w:w="1843" w:type="dxa"/>
            <w:shd w:val="clear" w:color="auto" w:fill="auto"/>
            <w:vAlign w:val="center"/>
          </w:tcPr>
          <w:p w14:paraId="6729A873" w14:textId="77777777" w:rsidR="0035756B" w:rsidDel="00801596" w:rsidRDefault="0035756B" w:rsidP="00B3510C">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43040E8" w14:textId="77777777" w:rsidR="0035756B" w:rsidRPr="00895898" w:rsidRDefault="0035756B" w:rsidP="00B3510C">
            <w:pPr>
              <w:spacing w:after="0" w:line="240" w:lineRule="auto"/>
              <w:rPr>
                <w:sz w:val="20"/>
                <w:szCs w:val="20"/>
              </w:rPr>
            </w:pPr>
          </w:p>
        </w:tc>
        <w:tc>
          <w:tcPr>
            <w:tcW w:w="1160" w:type="dxa"/>
            <w:shd w:val="clear" w:color="auto" w:fill="auto"/>
            <w:noWrap/>
            <w:vAlign w:val="center"/>
          </w:tcPr>
          <w:p w14:paraId="0A36EB29" w14:textId="77777777" w:rsidR="0035756B" w:rsidRPr="00895898" w:rsidRDefault="0035756B" w:rsidP="00B3510C">
            <w:pPr>
              <w:spacing w:after="0" w:line="240" w:lineRule="auto"/>
              <w:rPr>
                <w:sz w:val="20"/>
                <w:szCs w:val="20"/>
              </w:rPr>
            </w:pPr>
          </w:p>
        </w:tc>
        <w:tc>
          <w:tcPr>
            <w:tcW w:w="1108" w:type="dxa"/>
          </w:tcPr>
          <w:p w14:paraId="77E8466E" w14:textId="77777777" w:rsidR="0035756B" w:rsidRPr="00895898" w:rsidRDefault="0035756B" w:rsidP="00B3510C">
            <w:pPr>
              <w:spacing w:after="0" w:line="240" w:lineRule="auto"/>
              <w:rPr>
                <w:sz w:val="20"/>
                <w:szCs w:val="20"/>
              </w:rPr>
            </w:pPr>
          </w:p>
        </w:tc>
        <w:tc>
          <w:tcPr>
            <w:tcW w:w="851" w:type="dxa"/>
            <w:shd w:val="clear" w:color="auto" w:fill="auto"/>
            <w:noWrap/>
            <w:vAlign w:val="center"/>
          </w:tcPr>
          <w:p w14:paraId="24E2CF31" w14:textId="77777777" w:rsidR="0035756B" w:rsidRPr="00895898" w:rsidRDefault="0035756B" w:rsidP="00B3510C">
            <w:pPr>
              <w:spacing w:after="0" w:line="240" w:lineRule="auto"/>
              <w:rPr>
                <w:sz w:val="20"/>
                <w:szCs w:val="20"/>
              </w:rPr>
            </w:pPr>
          </w:p>
        </w:tc>
        <w:tc>
          <w:tcPr>
            <w:tcW w:w="843" w:type="dxa"/>
            <w:shd w:val="clear" w:color="auto" w:fill="auto"/>
            <w:noWrap/>
            <w:vAlign w:val="center"/>
          </w:tcPr>
          <w:p w14:paraId="2C334D90" w14:textId="77777777" w:rsidR="0035756B" w:rsidRPr="00895898" w:rsidRDefault="0035756B" w:rsidP="00B3510C">
            <w:pPr>
              <w:spacing w:after="0" w:line="240" w:lineRule="auto"/>
              <w:rPr>
                <w:sz w:val="20"/>
                <w:szCs w:val="20"/>
              </w:rPr>
            </w:pPr>
          </w:p>
        </w:tc>
        <w:tc>
          <w:tcPr>
            <w:tcW w:w="1000" w:type="dxa"/>
            <w:shd w:val="clear" w:color="auto" w:fill="auto"/>
            <w:noWrap/>
            <w:vAlign w:val="center"/>
          </w:tcPr>
          <w:p w14:paraId="47336115" w14:textId="77777777" w:rsidR="0035756B" w:rsidRPr="00895898" w:rsidRDefault="0035756B" w:rsidP="00B3510C">
            <w:pPr>
              <w:spacing w:after="0" w:line="240" w:lineRule="auto"/>
              <w:rPr>
                <w:sz w:val="20"/>
                <w:szCs w:val="20"/>
              </w:rPr>
            </w:pPr>
          </w:p>
        </w:tc>
        <w:tc>
          <w:tcPr>
            <w:tcW w:w="708" w:type="dxa"/>
            <w:shd w:val="clear" w:color="auto" w:fill="auto"/>
            <w:noWrap/>
            <w:vAlign w:val="center"/>
          </w:tcPr>
          <w:p w14:paraId="19203F51" w14:textId="77777777" w:rsidR="0035756B" w:rsidRPr="00895898" w:rsidRDefault="0035756B" w:rsidP="00B3510C">
            <w:pPr>
              <w:spacing w:after="0" w:line="240" w:lineRule="auto"/>
              <w:rPr>
                <w:sz w:val="20"/>
                <w:szCs w:val="20"/>
              </w:rPr>
            </w:pPr>
          </w:p>
        </w:tc>
        <w:tc>
          <w:tcPr>
            <w:tcW w:w="1134" w:type="dxa"/>
            <w:vAlign w:val="center"/>
          </w:tcPr>
          <w:p w14:paraId="0529D45B" w14:textId="77777777" w:rsidR="0035756B" w:rsidRPr="00895898" w:rsidRDefault="0035756B" w:rsidP="00B3510C">
            <w:pPr>
              <w:spacing w:after="0" w:line="240" w:lineRule="auto"/>
              <w:rPr>
                <w:sz w:val="20"/>
                <w:szCs w:val="20"/>
              </w:rPr>
            </w:pPr>
          </w:p>
        </w:tc>
      </w:tr>
      <w:tr w:rsidR="0035756B" w:rsidRPr="00895898" w14:paraId="47DBA98D" w14:textId="77777777" w:rsidTr="00B35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74811A5" w14:textId="77777777" w:rsidR="0035756B" w:rsidRPr="00895898" w:rsidRDefault="0035756B" w:rsidP="00B3510C">
            <w:pPr>
              <w:spacing w:after="0" w:line="240" w:lineRule="auto"/>
              <w:rPr>
                <w:sz w:val="20"/>
                <w:szCs w:val="20"/>
              </w:rPr>
            </w:pPr>
          </w:p>
        </w:tc>
        <w:tc>
          <w:tcPr>
            <w:tcW w:w="1740" w:type="dxa"/>
            <w:shd w:val="clear" w:color="auto" w:fill="auto"/>
            <w:vAlign w:val="center"/>
          </w:tcPr>
          <w:p w14:paraId="22D9ECB1" w14:textId="77777777" w:rsidR="0035756B" w:rsidRPr="00895898" w:rsidRDefault="0035756B" w:rsidP="00B3510C">
            <w:pPr>
              <w:spacing w:after="0" w:line="240" w:lineRule="auto"/>
              <w:rPr>
                <w:sz w:val="20"/>
                <w:szCs w:val="20"/>
              </w:rPr>
            </w:pPr>
          </w:p>
        </w:tc>
        <w:tc>
          <w:tcPr>
            <w:tcW w:w="992" w:type="dxa"/>
          </w:tcPr>
          <w:p w14:paraId="1D59FE9F" w14:textId="77777777" w:rsidR="0035756B" w:rsidRPr="00895898" w:rsidRDefault="0035756B" w:rsidP="00B3510C">
            <w:pPr>
              <w:spacing w:after="0" w:line="240" w:lineRule="auto"/>
              <w:rPr>
                <w:sz w:val="20"/>
                <w:szCs w:val="20"/>
              </w:rPr>
            </w:pPr>
          </w:p>
        </w:tc>
        <w:tc>
          <w:tcPr>
            <w:tcW w:w="1134" w:type="dxa"/>
          </w:tcPr>
          <w:p w14:paraId="2089D5B5" w14:textId="77777777" w:rsidR="0035756B" w:rsidRPr="00895898" w:rsidRDefault="0035756B" w:rsidP="00B3510C">
            <w:pPr>
              <w:spacing w:after="0" w:line="240" w:lineRule="auto"/>
              <w:rPr>
                <w:sz w:val="20"/>
                <w:szCs w:val="20"/>
              </w:rPr>
            </w:pPr>
          </w:p>
        </w:tc>
        <w:tc>
          <w:tcPr>
            <w:tcW w:w="1843" w:type="dxa"/>
            <w:shd w:val="clear" w:color="auto" w:fill="auto"/>
            <w:vAlign w:val="center"/>
          </w:tcPr>
          <w:p w14:paraId="62D84037" w14:textId="77777777" w:rsidR="0035756B" w:rsidDel="00801596" w:rsidRDefault="0035756B" w:rsidP="00B3510C">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D24786A" w14:textId="77777777" w:rsidR="0035756B" w:rsidRPr="00895898" w:rsidRDefault="0035756B" w:rsidP="00B3510C">
            <w:pPr>
              <w:spacing w:after="0" w:line="240" w:lineRule="auto"/>
              <w:rPr>
                <w:sz w:val="20"/>
                <w:szCs w:val="20"/>
              </w:rPr>
            </w:pPr>
          </w:p>
        </w:tc>
        <w:tc>
          <w:tcPr>
            <w:tcW w:w="1160" w:type="dxa"/>
            <w:shd w:val="clear" w:color="auto" w:fill="auto"/>
            <w:noWrap/>
            <w:vAlign w:val="center"/>
          </w:tcPr>
          <w:p w14:paraId="1B2C4CB5" w14:textId="77777777" w:rsidR="0035756B" w:rsidRPr="00895898" w:rsidRDefault="0035756B" w:rsidP="00B3510C">
            <w:pPr>
              <w:spacing w:after="0" w:line="240" w:lineRule="auto"/>
              <w:rPr>
                <w:sz w:val="20"/>
                <w:szCs w:val="20"/>
              </w:rPr>
            </w:pPr>
          </w:p>
        </w:tc>
        <w:tc>
          <w:tcPr>
            <w:tcW w:w="1108" w:type="dxa"/>
          </w:tcPr>
          <w:p w14:paraId="0D877933" w14:textId="77777777" w:rsidR="0035756B" w:rsidRPr="00895898" w:rsidRDefault="0035756B" w:rsidP="00B3510C">
            <w:pPr>
              <w:spacing w:after="0" w:line="240" w:lineRule="auto"/>
              <w:rPr>
                <w:sz w:val="20"/>
                <w:szCs w:val="20"/>
              </w:rPr>
            </w:pPr>
          </w:p>
        </w:tc>
        <w:tc>
          <w:tcPr>
            <w:tcW w:w="851" w:type="dxa"/>
            <w:shd w:val="clear" w:color="auto" w:fill="auto"/>
            <w:noWrap/>
            <w:vAlign w:val="center"/>
          </w:tcPr>
          <w:p w14:paraId="21414AE8" w14:textId="77777777" w:rsidR="0035756B" w:rsidRPr="00895898" w:rsidRDefault="0035756B" w:rsidP="00B3510C">
            <w:pPr>
              <w:spacing w:after="0" w:line="240" w:lineRule="auto"/>
              <w:rPr>
                <w:sz w:val="20"/>
                <w:szCs w:val="20"/>
              </w:rPr>
            </w:pPr>
          </w:p>
        </w:tc>
        <w:tc>
          <w:tcPr>
            <w:tcW w:w="843" w:type="dxa"/>
            <w:shd w:val="clear" w:color="auto" w:fill="auto"/>
            <w:noWrap/>
            <w:vAlign w:val="center"/>
          </w:tcPr>
          <w:p w14:paraId="60E374A8" w14:textId="77777777" w:rsidR="0035756B" w:rsidRPr="00895898" w:rsidRDefault="0035756B" w:rsidP="00B3510C">
            <w:pPr>
              <w:spacing w:after="0" w:line="240" w:lineRule="auto"/>
              <w:rPr>
                <w:sz w:val="20"/>
                <w:szCs w:val="20"/>
              </w:rPr>
            </w:pPr>
          </w:p>
        </w:tc>
        <w:tc>
          <w:tcPr>
            <w:tcW w:w="1000" w:type="dxa"/>
            <w:shd w:val="clear" w:color="auto" w:fill="auto"/>
            <w:noWrap/>
            <w:vAlign w:val="center"/>
          </w:tcPr>
          <w:p w14:paraId="10FF2AB9" w14:textId="77777777" w:rsidR="0035756B" w:rsidRPr="00895898" w:rsidRDefault="0035756B" w:rsidP="00B3510C">
            <w:pPr>
              <w:spacing w:after="0" w:line="240" w:lineRule="auto"/>
              <w:rPr>
                <w:sz w:val="20"/>
                <w:szCs w:val="20"/>
              </w:rPr>
            </w:pPr>
          </w:p>
        </w:tc>
        <w:tc>
          <w:tcPr>
            <w:tcW w:w="708" w:type="dxa"/>
            <w:shd w:val="clear" w:color="auto" w:fill="auto"/>
            <w:noWrap/>
            <w:vAlign w:val="center"/>
          </w:tcPr>
          <w:p w14:paraId="2816BEF2" w14:textId="77777777" w:rsidR="0035756B" w:rsidRPr="00895898" w:rsidRDefault="0035756B" w:rsidP="00B3510C">
            <w:pPr>
              <w:spacing w:after="0" w:line="240" w:lineRule="auto"/>
              <w:rPr>
                <w:sz w:val="20"/>
                <w:szCs w:val="20"/>
              </w:rPr>
            </w:pPr>
          </w:p>
        </w:tc>
        <w:tc>
          <w:tcPr>
            <w:tcW w:w="1134" w:type="dxa"/>
            <w:vAlign w:val="center"/>
          </w:tcPr>
          <w:p w14:paraId="0BA80530" w14:textId="77777777" w:rsidR="0035756B" w:rsidRPr="00895898" w:rsidRDefault="0035756B" w:rsidP="00B3510C">
            <w:pPr>
              <w:spacing w:after="0" w:line="240" w:lineRule="auto"/>
              <w:rPr>
                <w:sz w:val="20"/>
                <w:szCs w:val="20"/>
              </w:rPr>
            </w:pPr>
          </w:p>
        </w:tc>
      </w:tr>
      <w:tr w:rsidR="0035756B" w:rsidRPr="00895898" w14:paraId="799811C6" w14:textId="77777777" w:rsidTr="00B35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1045905" w14:textId="77777777" w:rsidR="0035756B" w:rsidRPr="00895898" w:rsidRDefault="0035756B" w:rsidP="00B3510C">
            <w:pPr>
              <w:spacing w:after="0" w:line="240" w:lineRule="auto"/>
              <w:rPr>
                <w:sz w:val="20"/>
                <w:szCs w:val="20"/>
              </w:rPr>
            </w:pPr>
          </w:p>
        </w:tc>
        <w:tc>
          <w:tcPr>
            <w:tcW w:w="1740" w:type="dxa"/>
            <w:shd w:val="clear" w:color="auto" w:fill="auto"/>
            <w:vAlign w:val="center"/>
          </w:tcPr>
          <w:p w14:paraId="2ED7E3A4" w14:textId="77777777" w:rsidR="0035756B" w:rsidRPr="00895898" w:rsidRDefault="0035756B" w:rsidP="00B3510C">
            <w:pPr>
              <w:spacing w:after="0" w:line="240" w:lineRule="auto"/>
              <w:rPr>
                <w:sz w:val="20"/>
                <w:szCs w:val="20"/>
              </w:rPr>
            </w:pPr>
          </w:p>
        </w:tc>
        <w:tc>
          <w:tcPr>
            <w:tcW w:w="992" w:type="dxa"/>
          </w:tcPr>
          <w:p w14:paraId="2B44E7B7" w14:textId="77777777" w:rsidR="0035756B" w:rsidRPr="00895898" w:rsidRDefault="0035756B" w:rsidP="00B3510C">
            <w:pPr>
              <w:spacing w:after="0" w:line="240" w:lineRule="auto"/>
              <w:rPr>
                <w:sz w:val="20"/>
                <w:szCs w:val="20"/>
              </w:rPr>
            </w:pPr>
          </w:p>
        </w:tc>
        <w:tc>
          <w:tcPr>
            <w:tcW w:w="1134" w:type="dxa"/>
          </w:tcPr>
          <w:p w14:paraId="0D7A28DB" w14:textId="77777777" w:rsidR="0035756B" w:rsidRPr="00895898" w:rsidRDefault="0035756B" w:rsidP="00B3510C">
            <w:pPr>
              <w:spacing w:after="0" w:line="240" w:lineRule="auto"/>
              <w:rPr>
                <w:sz w:val="20"/>
                <w:szCs w:val="20"/>
              </w:rPr>
            </w:pPr>
          </w:p>
        </w:tc>
        <w:tc>
          <w:tcPr>
            <w:tcW w:w="1843" w:type="dxa"/>
            <w:shd w:val="clear" w:color="auto" w:fill="auto"/>
            <w:vAlign w:val="center"/>
          </w:tcPr>
          <w:p w14:paraId="227E1714" w14:textId="77777777" w:rsidR="0035756B" w:rsidDel="00801596" w:rsidRDefault="0035756B" w:rsidP="00B3510C">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5A48129C" w14:textId="77777777" w:rsidR="0035756B" w:rsidRPr="00895898" w:rsidRDefault="0035756B" w:rsidP="00B3510C">
            <w:pPr>
              <w:spacing w:after="0" w:line="240" w:lineRule="auto"/>
              <w:rPr>
                <w:sz w:val="20"/>
                <w:szCs w:val="20"/>
              </w:rPr>
            </w:pPr>
          </w:p>
        </w:tc>
        <w:tc>
          <w:tcPr>
            <w:tcW w:w="1160" w:type="dxa"/>
            <w:shd w:val="clear" w:color="auto" w:fill="auto"/>
            <w:noWrap/>
            <w:vAlign w:val="center"/>
          </w:tcPr>
          <w:p w14:paraId="19FEDB4B" w14:textId="77777777" w:rsidR="0035756B" w:rsidRPr="00895898" w:rsidRDefault="0035756B" w:rsidP="00B3510C">
            <w:pPr>
              <w:spacing w:after="0" w:line="240" w:lineRule="auto"/>
              <w:rPr>
                <w:sz w:val="20"/>
                <w:szCs w:val="20"/>
              </w:rPr>
            </w:pPr>
          </w:p>
        </w:tc>
        <w:tc>
          <w:tcPr>
            <w:tcW w:w="1108" w:type="dxa"/>
          </w:tcPr>
          <w:p w14:paraId="612F7FF2" w14:textId="77777777" w:rsidR="0035756B" w:rsidRPr="00895898" w:rsidRDefault="0035756B" w:rsidP="00B3510C">
            <w:pPr>
              <w:spacing w:after="0" w:line="240" w:lineRule="auto"/>
              <w:rPr>
                <w:sz w:val="20"/>
                <w:szCs w:val="20"/>
              </w:rPr>
            </w:pPr>
          </w:p>
        </w:tc>
        <w:tc>
          <w:tcPr>
            <w:tcW w:w="851" w:type="dxa"/>
            <w:shd w:val="clear" w:color="auto" w:fill="auto"/>
            <w:noWrap/>
            <w:vAlign w:val="center"/>
          </w:tcPr>
          <w:p w14:paraId="764C4D7D" w14:textId="77777777" w:rsidR="0035756B" w:rsidRPr="00895898" w:rsidRDefault="0035756B" w:rsidP="00B3510C">
            <w:pPr>
              <w:spacing w:after="0" w:line="240" w:lineRule="auto"/>
              <w:rPr>
                <w:sz w:val="20"/>
                <w:szCs w:val="20"/>
              </w:rPr>
            </w:pPr>
          </w:p>
        </w:tc>
        <w:tc>
          <w:tcPr>
            <w:tcW w:w="843" w:type="dxa"/>
            <w:shd w:val="clear" w:color="auto" w:fill="auto"/>
            <w:noWrap/>
            <w:vAlign w:val="center"/>
          </w:tcPr>
          <w:p w14:paraId="6845A7CC" w14:textId="77777777" w:rsidR="0035756B" w:rsidRPr="00895898" w:rsidRDefault="0035756B" w:rsidP="00B3510C">
            <w:pPr>
              <w:spacing w:after="0" w:line="240" w:lineRule="auto"/>
              <w:rPr>
                <w:sz w:val="20"/>
                <w:szCs w:val="20"/>
              </w:rPr>
            </w:pPr>
          </w:p>
        </w:tc>
        <w:tc>
          <w:tcPr>
            <w:tcW w:w="1000" w:type="dxa"/>
            <w:shd w:val="clear" w:color="auto" w:fill="auto"/>
            <w:noWrap/>
            <w:vAlign w:val="center"/>
          </w:tcPr>
          <w:p w14:paraId="534332D2" w14:textId="77777777" w:rsidR="0035756B" w:rsidRPr="00895898" w:rsidRDefault="0035756B" w:rsidP="00B3510C">
            <w:pPr>
              <w:spacing w:after="0" w:line="240" w:lineRule="auto"/>
              <w:rPr>
                <w:sz w:val="20"/>
                <w:szCs w:val="20"/>
              </w:rPr>
            </w:pPr>
          </w:p>
        </w:tc>
        <w:tc>
          <w:tcPr>
            <w:tcW w:w="708" w:type="dxa"/>
            <w:shd w:val="clear" w:color="auto" w:fill="auto"/>
            <w:noWrap/>
            <w:vAlign w:val="center"/>
          </w:tcPr>
          <w:p w14:paraId="540189D7" w14:textId="77777777" w:rsidR="0035756B" w:rsidRPr="00895898" w:rsidRDefault="0035756B" w:rsidP="00B3510C">
            <w:pPr>
              <w:spacing w:after="0" w:line="240" w:lineRule="auto"/>
              <w:rPr>
                <w:sz w:val="20"/>
                <w:szCs w:val="20"/>
              </w:rPr>
            </w:pPr>
          </w:p>
        </w:tc>
        <w:tc>
          <w:tcPr>
            <w:tcW w:w="1134" w:type="dxa"/>
            <w:vAlign w:val="center"/>
          </w:tcPr>
          <w:p w14:paraId="5A11D7FE" w14:textId="77777777" w:rsidR="0035756B" w:rsidRPr="00895898" w:rsidRDefault="0035756B" w:rsidP="00B3510C">
            <w:pPr>
              <w:spacing w:after="0" w:line="240" w:lineRule="auto"/>
              <w:rPr>
                <w:sz w:val="20"/>
                <w:szCs w:val="20"/>
              </w:rPr>
            </w:pPr>
          </w:p>
        </w:tc>
      </w:tr>
    </w:tbl>
    <w:p w14:paraId="59EEC55A" w14:textId="77777777" w:rsidR="007D6CC1" w:rsidRDefault="007D6CC1">
      <w:pPr>
        <w:spacing w:after="0" w:line="259" w:lineRule="auto"/>
        <w:ind w:left="0" w:right="0" w:firstLine="0"/>
        <w:jc w:val="left"/>
      </w:pPr>
    </w:p>
    <w:p w14:paraId="3815E13E" w14:textId="77777777" w:rsidR="007D6CC1" w:rsidRDefault="007D6CC1">
      <w:pPr>
        <w:sectPr w:rsidR="007D6CC1" w:rsidSect="0035756B">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749" w:right="1416" w:bottom="707" w:left="1416" w:header="708" w:footer="708" w:gutter="0"/>
          <w:cols w:space="708"/>
          <w:docGrid w:linePitch="326"/>
        </w:sectPr>
      </w:pPr>
    </w:p>
    <w:p w14:paraId="3A6ECF4E" w14:textId="77777777" w:rsidR="007D6CC1" w:rsidRDefault="00C96B35">
      <w:pPr>
        <w:pStyle w:val="Nadpis2"/>
      </w:pPr>
      <w:r>
        <w:lastRenderedPageBreak/>
        <w:t>Doplňujúce informácie k spôsobu výpočtu vplyvov jednotlivých regulácií na zmenu nákladov</w:t>
      </w:r>
      <w:r>
        <w:rPr>
          <w:u w:val="none"/>
        </w:rPr>
        <w:t xml:space="preserve">  </w:t>
      </w:r>
    </w:p>
    <w:p w14:paraId="4813BDA0" w14:textId="77777777" w:rsidR="007D6CC1" w:rsidRDefault="00C96B35">
      <w:pPr>
        <w:spacing w:after="183" w:line="267" w:lineRule="auto"/>
        <w:ind w:left="15" w:right="0"/>
      </w:pPr>
      <w:r>
        <w:rPr>
          <w:i/>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Pr>
          <w:i/>
        </w:rPr>
        <w:t>link</w:t>
      </w:r>
      <w:proofErr w:type="spellEnd"/>
      <w:r>
        <w:rPr>
          <w:i/>
        </w:rPr>
        <w:t xml:space="preserve"> na konkrétne štatistiky, ak sú dostupné na internete). Jednotlivé regulácie môžu mať jeden alebo viac typov nákladov (A. Dane, odvody, clá a poplatky, ktorých cieľom je znižovať negatívne </w:t>
      </w:r>
      <w:proofErr w:type="spellStart"/>
      <w:r>
        <w:rPr>
          <w:i/>
        </w:rPr>
        <w:t>externality</w:t>
      </w:r>
      <w:proofErr w:type="spellEnd"/>
      <w:r>
        <w:rPr>
          <w:i/>
        </w:rPr>
        <w:t xml:space="preserve">, B. Iné poplatky, C. Nepriame finančné náklady, D. Administratívne náklady). Rozčleňte ich a vypočítajte v súlade s metodickým postupom.  </w:t>
      </w:r>
    </w:p>
    <w:p w14:paraId="385E783F" w14:textId="77777777" w:rsidR="007D6CC1" w:rsidRDefault="00C96B35">
      <w:pPr>
        <w:pStyle w:val="Nadpis3"/>
        <w:spacing w:after="191"/>
        <w:ind w:left="15"/>
      </w:pPr>
      <w:r>
        <w:t xml:space="preserve">3.2 Vyhodnotenie konzultácií s podnikateľskými subjektmi pred predbežným pripomienkovým konaním </w:t>
      </w:r>
    </w:p>
    <w:p w14:paraId="1B37C98D" w14:textId="77777777" w:rsidR="007D6CC1" w:rsidRDefault="00C96B35">
      <w:pPr>
        <w:spacing w:after="32" w:line="267" w:lineRule="auto"/>
        <w:ind w:left="15" w:right="0"/>
      </w:pPr>
      <w:r>
        <w:rPr>
          <w:i/>
        </w:rPr>
        <w:t xml:space="preserve">Uveďte formu konzultácií vrátane zdôvodnenia jej výberu a trvanie konzultácií, termíny stretnutí. Uveďte spôsob oslovenia dotknutých subjektov, zoznam konzultujúcich subjektov, tiež </w:t>
      </w:r>
      <w:proofErr w:type="spellStart"/>
      <w:r>
        <w:rPr>
          <w:i/>
        </w:rPr>
        <w:t>link</w:t>
      </w:r>
      <w:proofErr w:type="spellEnd"/>
      <w:r>
        <w:rPr>
          <w:i/>
        </w:rPr>
        <w:t xml:space="preserve"> na webovú stránku, na ktorej boli konzultácie zverejnené.  </w:t>
      </w:r>
    </w:p>
    <w:p w14:paraId="463BF6B2" w14:textId="77777777" w:rsidR="007D6CC1" w:rsidRDefault="00C96B35">
      <w:pPr>
        <w:spacing w:after="0" w:line="267" w:lineRule="auto"/>
        <w:ind w:left="15" w:right="0"/>
      </w:pPr>
      <w:r>
        <w:rPr>
          <w:i/>
        </w:rPr>
        <w:t xml:space="preserve">Uveďte hlavné body konzultácií a ich závery.  </w:t>
      </w:r>
    </w:p>
    <w:p w14:paraId="0573E7A7" w14:textId="77777777" w:rsidR="007D6CC1" w:rsidRDefault="00C96B35">
      <w:pPr>
        <w:spacing w:after="10" w:line="267" w:lineRule="auto"/>
        <w:ind w:left="15" w:right="0"/>
      </w:pPr>
      <w:r>
        <w:rPr>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4A8AB51A" w14:textId="77777777" w:rsidR="007D6CC1" w:rsidRDefault="00C96B35">
      <w:pPr>
        <w:spacing w:after="145" w:line="267" w:lineRule="auto"/>
        <w:ind w:left="15" w:right="0"/>
      </w:pPr>
      <w:r>
        <w:rPr>
          <w:i/>
        </w:rPr>
        <w:t xml:space="preserve">Alternatívne namiesto vypĺňania bodu 3.2 môžete uviesť ako samostatnú prílohu tejto analýzy Záznam z konzultácií obsahujúci požadované informácie.   </w:t>
      </w:r>
    </w:p>
    <w:p w14:paraId="46529291" w14:textId="77777777" w:rsidR="007D6CC1" w:rsidRPr="000A7404" w:rsidRDefault="004D6332">
      <w:pPr>
        <w:ind w:left="15" w:right="0"/>
      </w:pPr>
      <w:r w:rsidRPr="000A7404">
        <w:t>Žiadny podnikateľsky subjekt neprejavil záuje</w:t>
      </w:r>
      <w:r w:rsidR="000A7404">
        <w:t xml:space="preserve">m o konzultácie pred predbežným </w:t>
      </w:r>
      <w:r w:rsidRPr="000A7404">
        <w:t>pripomienkovým konaním.</w:t>
      </w:r>
    </w:p>
    <w:p w14:paraId="68CDA2A2" w14:textId="77777777" w:rsidR="007D6CC1" w:rsidRDefault="00C96B35">
      <w:pPr>
        <w:spacing w:after="0" w:line="431" w:lineRule="auto"/>
        <w:ind w:left="15" w:right="2690"/>
      </w:pPr>
      <w:r>
        <w:rPr>
          <w:b/>
        </w:rPr>
        <w:t xml:space="preserve">3.3 Vplyvy na konkurencieschopnosť a produktivitu </w:t>
      </w:r>
      <w:r>
        <w:rPr>
          <w:i/>
        </w:rPr>
        <w:t xml:space="preserve">Dochádza k vytvoreniu resp. k zmene bariér na trhu?  </w:t>
      </w:r>
    </w:p>
    <w:p w14:paraId="33E51883" w14:textId="77777777" w:rsidR="007D6CC1" w:rsidRDefault="00C96B35">
      <w:pPr>
        <w:spacing w:after="32" w:line="267" w:lineRule="auto"/>
        <w:ind w:left="15" w:right="0"/>
      </w:pPr>
      <w:r>
        <w:rPr>
          <w:i/>
        </w:rPr>
        <w:t xml:space="preserve">Bude sa s niektorými podnikmi alebo produktmi zaobchádzať v porovnateľnej situácii rôzne (napr. špeciálne režimy pre </w:t>
      </w:r>
      <w:proofErr w:type="spellStart"/>
      <w:r>
        <w:rPr>
          <w:i/>
        </w:rPr>
        <w:t>mikro</w:t>
      </w:r>
      <w:proofErr w:type="spellEnd"/>
      <w:r>
        <w:rPr>
          <w:i/>
        </w:rPr>
        <w:t xml:space="preserve">, malé a stredné podniky tzv. MSP)?  </w:t>
      </w:r>
    </w:p>
    <w:p w14:paraId="76EA367F" w14:textId="77777777" w:rsidR="007D6CC1" w:rsidRDefault="00C96B35">
      <w:pPr>
        <w:spacing w:after="32" w:line="267" w:lineRule="auto"/>
        <w:ind w:left="15" w:right="0"/>
      </w:pPr>
      <w:r>
        <w:rPr>
          <w:i/>
        </w:rPr>
        <w:t xml:space="preserve">Ovplyvňuje zmena regulácie cezhraničné investície (príliv/odliv zahraničných investícií resp. uplatnenie slovenských podnikov na zahraničných trhoch)?  </w:t>
      </w:r>
    </w:p>
    <w:p w14:paraId="1239AF55" w14:textId="77777777" w:rsidR="007D6CC1" w:rsidRDefault="00C96B35">
      <w:pPr>
        <w:spacing w:after="32" w:line="267" w:lineRule="auto"/>
        <w:ind w:left="15" w:right="0"/>
      </w:pPr>
      <w:r>
        <w:rPr>
          <w:i/>
        </w:rPr>
        <w:t xml:space="preserve">Ovplyvní dostupnosť základných zdrojov (financie, pracovná sila, suroviny, mechanizmy, energie atď.)?  </w:t>
      </w:r>
    </w:p>
    <w:p w14:paraId="4A0819D5" w14:textId="77777777" w:rsidR="007D6CC1" w:rsidRDefault="00C96B35">
      <w:pPr>
        <w:spacing w:after="32" w:line="267" w:lineRule="auto"/>
        <w:ind w:left="15" w:right="0"/>
      </w:pPr>
      <w:r>
        <w:rPr>
          <w:i/>
        </w:rPr>
        <w:t xml:space="preserve">Ovplyvňuje zmena regulácie inovácie, vedu a výskum? </w:t>
      </w:r>
    </w:p>
    <w:p w14:paraId="33D3E4EF" w14:textId="77777777" w:rsidR="007D6CC1" w:rsidRDefault="00C96B35">
      <w:pPr>
        <w:spacing w:after="32" w:line="267" w:lineRule="auto"/>
        <w:ind w:left="15" w:right="0"/>
      </w:pPr>
      <w:r>
        <w:rPr>
          <w:i/>
        </w:rPr>
        <w:t xml:space="preserve">Ako prispieva zmena regulácie k cieľu Slovenska mať najlepšie podnikateľské prostredie spomedzi susediacich krajín EÚ? </w:t>
      </w:r>
    </w:p>
    <w:p w14:paraId="63027585" w14:textId="77777777" w:rsidR="007D6CC1" w:rsidRDefault="00C96B35">
      <w:pPr>
        <w:spacing w:after="52" w:line="259" w:lineRule="auto"/>
        <w:ind w:left="20" w:right="0" w:firstLine="0"/>
        <w:jc w:val="left"/>
      </w:pPr>
      <w:r>
        <w:t xml:space="preserve"> </w:t>
      </w:r>
    </w:p>
    <w:p w14:paraId="70636134" w14:textId="77777777" w:rsidR="007D6CC1" w:rsidRDefault="00C96B35">
      <w:pPr>
        <w:spacing w:after="39" w:line="259" w:lineRule="auto"/>
        <w:ind w:left="15" w:right="0"/>
        <w:jc w:val="left"/>
      </w:pPr>
      <w:r>
        <w:rPr>
          <w:b/>
          <w:i/>
        </w:rPr>
        <w:t xml:space="preserve">Konkurencieschopnosť: </w:t>
      </w:r>
    </w:p>
    <w:p w14:paraId="2F950BB1" w14:textId="77777777" w:rsidR="007D6CC1" w:rsidRDefault="00C96B35">
      <w:pPr>
        <w:spacing w:after="68" w:line="267" w:lineRule="auto"/>
        <w:ind w:left="15" w:right="0"/>
      </w:pPr>
      <w:r>
        <w:rPr>
          <w:i/>
        </w:rPr>
        <w:t xml:space="preserve">Na základe uvedených odpovedí zaškrtnite a popíšte, či materiál konkurencieschopnosť: </w:t>
      </w:r>
    </w:p>
    <w:p w14:paraId="03EE4C43" w14:textId="77777777" w:rsidR="007D6CC1" w:rsidRDefault="00C96B35">
      <w:pPr>
        <w:spacing w:after="0" w:line="267" w:lineRule="auto"/>
        <w:ind w:left="15" w:right="0"/>
      </w:pPr>
      <w:r>
        <w:rPr>
          <w:rFonts w:ascii="Segoe UI Symbol" w:eastAsia="Segoe UI Symbol" w:hAnsi="Segoe UI Symbol" w:cs="Segoe UI Symbol"/>
          <w:sz w:val="25"/>
        </w:rPr>
        <w:t>☐</w:t>
      </w:r>
      <w:r>
        <w:rPr>
          <w:i/>
        </w:rPr>
        <w:t xml:space="preserve"> zvyšuje   </w:t>
      </w:r>
      <w:r>
        <w:rPr>
          <w:rFonts w:ascii="Segoe UI Symbol" w:eastAsia="Segoe UI Symbol" w:hAnsi="Segoe UI Symbol" w:cs="Segoe UI Symbol"/>
          <w:sz w:val="25"/>
        </w:rPr>
        <w:t>☒</w:t>
      </w:r>
      <w:r>
        <w:rPr>
          <w:i/>
        </w:rPr>
        <w:t xml:space="preserve"> nemení </w:t>
      </w:r>
      <w:r>
        <w:rPr>
          <w:rFonts w:ascii="Segoe UI Symbol" w:eastAsia="Segoe UI Symbol" w:hAnsi="Segoe UI Symbol" w:cs="Segoe UI Symbol"/>
          <w:sz w:val="25"/>
        </w:rPr>
        <w:t>☐</w:t>
      </w:r>
      <w:r>
        <w:rPr>
          <w:i/>
        </w:rPr>
        <w:t xml:space="preserve"> znižuje </w:t>
      </w:r>
    </w:p>
    <w:p w14:paraId="67F05A57" w14:textId="77777777" w:rsidR="007D6CC1" w:rsidRDefault="00C96B35">
      <w:pPr>
        <w:spacing w:after="2" w:line="259" w:lineRule="auto"/>
        <w:ind w:left="20" w:right="0" w:firstLine="0"/>
        <w:jc w:val="left"/>
      </w:pPr>
      <w:r>
        <w:rPr>
          <w:i/>
        </w:rPr>
        <w:t xml:space="preserve"> </w:t>
      </w:r>
    </w:p>
    <w:p w14:paraId="52D1BEFB" w14:textId="77777777" w:rsidR="005B4437" w:rsidRDefault="005B4437">
      <w:pPr>
        <w:spacing w:after="39" w:line="259" w:lineRule="auto"/>
        <w:ind w:left="15" w:right="0"/>
        <w:jc w:val="left"/>
        <w:rPr>
          <w:b/>
          <w:i/>
        </w:rPr>
      </w:pPr>
      <w:bookmarkStart w:id="0" w:name="_GoBack"/>
      <w:bookmarkEnd w:id="0"/>
    </w:p>
    <w:p w14:paraId="0AC697B2" w14:textId="57723114" w:rsidR="007D6CC1" w:rsidRDefault="00C96B35">
      <w:pPr>
        <w:spacing w:after="39" w:line="259" w:lineRule="auto"/>
        <w:ind w:left="15" w:right="0"/>
        <w:jc w:val="left"/>
      </w:pPr>
      <w:r>
        <w:rPr>
          <w:b/>
          <w:i/>
        </w:rPr>
        <w:lastRenderedPageBreak/>
        <w:t xml:space="preserve">Produktivita: </w:t>
      </w:r>
    </w:p>
    <w:p w14:paraId="7FB64434" w14:textId="77777777" w:rsidR="007D6CC1" w:rsidRDefault="00C96B35">
      <w:pPr>
        <w:spacing w:after="0" w:line="267" w:lineRule="auto"/>
        <w:ind w:left="15" w:right="0"/>
      </w:pPr>
      <w:r>
        <w:rPr>
          <w:i/>
        </w:rPr>
        <w:t xml:space="preserve">Aký má materiál vplyv na zmenu pomeru medzi produkciou podnikov a ich nákladmi?  </w:t>
      </w:r>
    </w:p>
    <w:p w14:paraId="0E63761B" w14:textId="77777777" w:rsidR="007D6CC1" w:rsidRDefault="00C96B35">
      <w:pPr>
        <w:spacing w:after="40" w:line="259" w:lineRule="auto"/>
        <w:ind w:left="20" w:right="0" w:firstLine="0"/>
        <w:jc w:val="left"/>
      </w:pPr>
      <w:r>
        <w:rPr>
          <w:i/>
        </w:rPr>
        <w:t xml:space="preserve"> </w:t>
      </w:r>
    </w:p>
    <w:p w14:paraId="18B69CFD" w14:textId="77777777" w:rsidR="007D6CC1" w:rsidRDefault="00C96B35">
      <w:pPr>
        <w:spacing w:after="68" w:line="267" w:lineRule="auto"/>
        <w:ind w:left="15" w:right="0"/>
      </w:pPr>
      <w:r>
        <w:rPr>
          <w:i/>
        </w:rPr>
        <w:t xml:space="preserve">Na základe uvedenej odpovede zaškrtnite a popíšte, či materiál produktivitu: </w:t>
      </w:r>
    </w:p>
    <w:p w14:paraId="30B14BB6" w14:textId="77777777" w:rsidR="007D6CC1" w:rsidRDefault="00C96B35">
      <w:pPr>
        <w:spacing w:after="0" w:line="267" w:lineRule="auto"/>
        <w:ind w:left="15" w:right="0"/>
      </w:pPr>
      <w:r>
        <w:rPr>
          <w:rFonts w:ascii="Segoe UI Symbol" w:eastAsia="Segoe UI Symbol" w:hAnsi="Segoe UI Symbol" w:cs="Segoe UI Symbol"/>
          <w:sz w:val="25"/>
        </w:rPr>
        <w:t>☐</w:t>
      </w:r>
      <w:r>
        <w:rPr>
          <w:i/>
        </w:rPr>
        <w:t xml:space="preserve"> zvyšuje   </w:t>
      </w:r>
      <w:r>
        <w:rPr>
          <w:rFonts w:ascii="Segoe UI Symbol" w:eastAsia="Segoe UI Symbol" w:hAnsi="Segoe UI Symbol" w:cs="Segoe UI Symbol"/>
          <w:sz w:val="25"/>
        </w:rPr>
        <w:t>☒</w:t>
      </w:r>
      <w:r>
        <w:rPr>
          <w:i/>
        </w:rPr>
        <w:t xml:space="preserve"> nemení </w:t>
      </w:r>
      <w:r>
        <w:rPr>
          <w:rFonts w:ascii="Segoe UI Symbol" w:eastAsia="Segoe UI Symbol" w:hAnsi="Segoe UI Symbol" w:cs="Segoe UI Symbol"/>
          <w:sz w:val="25"/>
        </w:rPr>
        <w:t>☐</w:t>
      </w:r>
      <w:r>
        <w:rPr>
          <w:i/>
        </w:rPr>
        <w:t xml:space="preserve"> znižuje </w:t>
      </w:r>
    </w:p>
    <w:p w14:paraId="1CB248A1" w14:textId="77777777" w:rsidR="007D6CC1" w:rsidRDefault="00C96B35">
      <w:pPr>
        <w:spacing w:after="53" w:line="259" w:lineRule="auto"/>
        <w:ind w:left="20" w:right="0" w:firstLine="0"/>
        <w:jc w:val="left"/>
      </w:pPr>
      <w:r>
        <w:rPr>
          <w:i/>
        </w:rPr>
        <w:t xml:space="preserve"> </w:t>
      </w:r>
    </w:p>
    <w:p w14:paraId="7E991536" w14:textId="77777777" w:rsidR="007D6CC1" w:rsidRDefault="00C96B35">
      <w:pPr>
        <w:pStyle w:val="Nadpis3"/>
        <w:ind w:left="15"/>
      </w:pPr>
      <w:r>
        <w:t xml:space="preserve">3.4  Iné vplyvy na podnikateľské prostredie  </w:t>
      </w:r>
    </w:p>
    <w:p w14:paraId="51CFB8D2" w14:textId="77777777" w:rsidR="007D6CC1" w:rsidRDefault="00C96B35">
      <w:pPr>
        <w:spacing w:after="32" w:line="267" w:lineRule="auto"/>
        <w:ind w:left="15" w:right="0"/>
      </w:pPr>
      <w:r>
        <w:rPr>
          <w:i/>
        </w:rPr>
        <w:t xml:space="preserve">Ak má materiál vplyvy na PP, ktoré nemožno zaradiť do predchádzajúcich častí, či už pozitívne alebo negatívne, tu ich uveďte.  Patria sem:  </w:t>
      </w:r>
    </w:p>
    <w:p w14:paraId="28F2220A" w14:textId="77777777" w:rsidR="007D6CC1" w:rsidRDefault="00C96B35">
      <w:pPr>
        <w:numPr>
          <w:ilvl w:val="0"/>
          <w:numId w:val="2"/>
        </w:numPr>
        <w:spacing w:after="32" w:line="267" w:lineRule="auto"/>
        <w:ind w:right="0" w:hanging="360"/>
      </w:pPr>
      <w:r>
        <w:rPr>
          <w:i/>
        </w:rPr>
        <w:t xml:space="preserve">sankcie alebo pokuty, ako dôsledok porušenia právne záväzných ustanovení; </w:t>
      </w:r>
    </w:p>
    <w:p w14:paraId="6C1093A0" w14:textId="77777777" w:rsidR="007D6CC1" w:rsidRDefault="00C96B35">
      <w:pPr>
        <w:numPr>
          <w:ilvl w:val="0"/>
          <w:numId w:val="2"/>
        </w:numPr>
        <w:spacing w:after="32" w:line="267" w:lineRule="auto"/>
        <w:ind w:right="0" w:hanging="360"/>
      </w:pPr>
      <w:r>
        <w:rPr>
          <w:i/>
        </w:rPr>
        <w:t xml:space="preserve">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 </w:t>
      </w:r>
    </w:p>
    <w:p w14:paraId="52FC5197" w14:textId="77777777" w:rsidR="007D6CC1" w:rsidRDefault="00C96B35">
      <w:pPr>
        <w:numPr>
          <w:ilvl w:val="0"/>
          <w:numId w:val="2"/>
        </w:numPr>
        <w:spacing w:after="32" w:line="267" w:lineRule="auto"/>
        <w:ind w:right="0" w:hanging="360"/>
      </w:pPr>
      <w:r>
        <w:rPr>
          <w:i/>
        </w:rPr>
        <w:t xml:space="preserve">regulované ceny podľa zákona č. 18/1996 Z. z. o cenách; </w:t>
      </w:r>
    </w:p>
    <w:p w14:paraId="34D3006C" w14:textId="77777777" w:rsidR="007D6CC1" w:rsidRDefault="00C96B35">
      <w:pPr>
        <w:numPr>
          <w:ilvl w:val="0"/>
          <w:numId w:val="2"/>
        </w:numPr>
        <w:spacing w:after="0" w:line="259" w:lineRule="auto"/>
        <w:ind w:right="0" w:hanging="360"/>
      </w:pPr>
      <w:r>
        <w:rPr>
          <w:i/>
        </w:rPr>
        <w:t xml:space="preserve">iné vplyvy, ktoré predpokladá materiál, ale nemožno ich zaradiť do častí 3.1 a 3.3.  </w:t>
      </w:r>
    </w:p>
    <w:p w14:paraId="1DC3FEA9" w14:textId="77777777" w:rsidR="007D6CC1" w:rsidRPr="00CA377C" w:rsidRDefault="00C96B35" w:rsidP="00CA377C">
      <w:pPr>
        <w:spacing w:after="159" w:line="240" w:lineRule="auto"/>
        <w:ind w:left="20" w:right="0" w:firstLine="0"/>
        <w:rPr>
          <w:szCs w:val="24"/>
        </w:rPr>
      </w:pPr>
      <w:r w:rsidRPr="00CA377C">
        <w:rPr>
          <w:i/>
          <w:szCs w:val="24"/>
        </w:rPr>
        <w:t xml:space="preserve"> </w:t>
      </w:r>
    </w:p>
    <w:p w14:paraId="030D618E" w14:textId="370B285B" w:rsidR="00366AEC" w:rsidRPr="00CA377C" w:rsidRDefault="00366AEC" w:rsidP="00CA377C">
      <w:pPr>
        <w:pStyle w:val="Odsekzoznamu"/>
        <w:numPr>
          <w:ilvl w:val="0"/>
          <w:numId w:val="4"/>
        </w:numPr>
        <w:spacing w:line="240" w:lineRule="auto"/>
        <w:rPr>
          <w:szCs w:val="24"/>
        </w:rPr>
      </w:pPr>
      <w:r w:rsidRPr="00CA377C">
        <w:rPr>
          <w:szCs w:val="24"/>
        </w:rPr>
        <w:t>Cieľom návrhu nariadenia vlády je zosúladenie ustanovení v súvislosti so sankčný</w:t>
      </w:r>
      <w:r w:rsidR="00952BFE" w:rsidRPr="00CA377C">
        <w:rPr>
          <w:szCs w:val="24"/>
        </w:rPr>
        <w:t>m</w:t>
      </w:r>
      <w:r w:rsidR="000A7404">
        <w:rPr>
          <w:szCs w:val="24"/>
        </w:rPr>
        <w:t xml:space="preserve"> mechanizmom v rámci </w:t>
      </w:r>
      <w:proofErr w:type="spellStart"/>
      <w:r w:rsidR="000A7404">
        <w:rPr>
          <w:szCs w:val="24"/>
        </w:rPr>
        <w:t>celofarmovej</w:t>
      </w:r>
      <w:proofErr w:type="spellEnd"/>
      <w:r w:rsidR="000A7404">
        <w:rPr>
          <w:szCs w:val="24"/>
        </w:rPr>
        <w:t xml:space="preserve"> </w:t>
      </w:r>
      <w:proofErr w:type="spellStart"/>
      <w:r w:rsidR="000A7404">
        <w:rPr>
          <w:szCs w:val="24"/>
        </w:rPr>
        <w:t>eko</w:t>
      </w:r>
      <w:proofErr w:type="spellEnd"/>
      <w:r w:rsidR="000A7404">
        <w:rPr>
          <w:szCs w:val="24"/>
        </w:rPr>
        <w:t xml:space="preserve">-schémy v </w:t>
      </w:r>
      <w:r w:rsidR="00BF2767">
        <w:rPr>
          <w:szCs w:val="24"/>
        </w:rPr>
        <w:t>nadväznosti na zmenu ustanovení</w:t>
      </w:r>
      <w:r w:rsidRPr="00CA377C">
        <w:rPr>
          <w:szCs w:val="24"/>
        </w:rPr>
        <w:t> </w:t>
      </w:r>
      <w:r w:rsidR="00952BFE" w:rsidRPr="00CA377C">
        <w:rPr>
          <w:szCs w:val="24"/>
        </w:rPr>
        <w:t>n</w:t>
      </w:r>
      <w:r w:rsidRPr="00CA377C">
        <w:rPr>
          <w:szCs w:val="24"/>
        </w:rPr>
        <w:t>ariadenia vlády Slovenskej republiky, ktorým sa mení a dopĺňa nariadenie vlády Slovenskej republiky č. 436/2022 Z. z.</w:t>
      </w:r>
      <w:r w:rsidR="00203C94" w:rsidRPr="00CA377C">
        <w:rPr>
          <w:szCs w:val="24"/>
        </w:rPr>
        <w:t>,</w:t>
      </w:r>
      <w:r w:rsidRPr="00CA377C">
        <w:rPr>
          <w:szCs w:val="24"/>
        </w:rPr>
        <w:t xml:space="preserve"> ktorým sa ustanovujú pravidlá poskytovania podpory v</w:t>
      </w:r>
      <w:r w:rsidR="00952BFE" w:rsidRPr="00CA377C">
        <w:rPr>
          <w:szCs w:val="24"/>
        </w:rPr>
        <w:t> </w:t>
      </w:r>
      <w:r w:rsidRPr="00CA377C">
        <w:rPr>
          <w:szCs w:val="24"/>
        </w:rPr>
        <w:t>poľnohospodárstve formou priamych platieb v znení neskorších predpisov</w:t>
      </w:r>
      <w:r w:rsidR="004C6EBE" w:rsidRPr="00CA377C">
        <w:rPr>
          <w:szCs w:val="24"/>
        </w:rPr>
        <w:t xml:space="preserve"> (ďalej len </w:t>
      </w:r>
      <w:r w:rsidR="00B35A79" w:rsidRPr="00CA377C">
        <w:rPr>
          <w:szCs w:val="24"/>
        </w:rPr>
        <w:t>„</w:t>
      </w:r>
      <w:r w:rsidR="005B4437">
        <w:rPr>
          <w:szCs w:val="24"/>
        </w:rPr>
        <w:t>nariadenie vlády Slovenskej republiky č.</w:t>
      </w:r>
      <w:r w:rsidR="004C6EBE" w:rsidRPr="00CA377C">
        <w:rPr>
          <w:szCs w:val="24"/>
        </w:rPr>
        <w:t>436/2022 Z</w:t>
      </w:r>
      <w:r w:rsidR="00B35A79" w:rsidRPr="00CA377C">
        <w:rPr>
          <w:szCs w:val="24"/>
        </w:rPr>
        <w:t>. z.“</w:t>
      </w:r>
      <w:r w:rsidR="009D3B8B">
        <w:rPr>
          <w:szCs w:val="24"/>
        </w:rPr>
        <w:t>)</w:t>
      </w:r>
      <w:r w:rsidR="00952BFE" w:rsidRPr="00CA377C">
        <w:rPr>
          <w:szCs w:val="24"/>
        </w:rPr>
        <w:t>,</w:t>
      </w:r>
      <w:r w:rsidR="00DE51E1" w:rsidRPr="00CA377C">
        <w:rPr>
          <w:szCs w:val="24"/>
        </w:rPr>
        <w:t xml:space="preserve"> ktoré </w:t>
      </w:r>
      <w:r w:rsidRPr="00CA377C">
        <w:rPr>
          <w:szCs w:val="24"/>
        </w:rPr>
        <w:t>je v súčasnosti v legislatívnom procese</w:t>
      </w:r>
      <w:r w:rsidR="00DE51E1" w:rsidRPr="00CA377C">
        <w:rPr>
          <w:szCs w:val="24"/>
        </w:rPr>
        <w:t xml:space="preserve"> </w:t>
      </w:r>
      <w:r w:rsidRPr="00CA377C">
        <w:rPr>
          <w:szCs w:val="24"/>
        </w:rPr>
        <w:t xml:space="preserve">v súvislosti s novým neproduktívnym prvkom tzv. ostrovom biodiverzity, </w:t>
      </w:r>
      <w:r w:rsidR="000A7404">
        <w:rPr>
          <w:szCs w:val="24"/>
        </w:rPr>
        <w:t xml:space="preserve">v </w:t>
      </w:r>
      <w:r w:rsidR="00DE51E1" w:rsidRPr="00CA377C">
        <w:rPr>
          <w:szCs w:val="24"/>
        </w:rPr>
        <w:t xml:space="preserve">súvislosti </w:t>
      </w:r>
      <w:r w:rsidRPr="00CA377C">
        <w:rPr>
          <w:szCs w:val="24"/>
        </w:rPr>
        <w:t>s</w:t>
      </w:r>
      <w:r w:rsidR="00952BFE" w:rsidRPr="00CA377C">
        <w:rPr>
          <w:szCs w:val="24"/>
        </w:rPr>
        <w:t xml:space="preserve">o zmenou zloženia </w:t>
      </w:r>
      <w:proofErr w:type="spellStart"/>
      <w:r w:rsidR="00952BFE" w:rsidRPr="00CA377C">
        <w:rPr>
          <w:szCs w:val="24"/>
        </w:rPr>
        <w:t>biopásov</w:t>
      </w:r>
      <w:proofErr w:type="spellEnd"/>
      <w:r w:rsidR="004C6EBE" w:rsidRPr="00CA377C">
        <w:rPr>
          <w:szCs w:val="24"/>
        </w:rPr>
        <w:t xml:space="preserve">, zmenou termínu ich zrušenia, </w:t>
      </w:r>
      <w:r w:rsidR="00952BFE" w:rsidRPr="00CA377C">
        <w:rPr>
          <w:szCs w:val="24"/>
        </w:rPr>
        <w:t>a</w:t>
      </w:r>
      <w:r w:rsidR="00DE51E1" w:rsidRPr="00CA377C">
        <w:rPr>
          <w:szCs w:val="24"/>
        </w:rPr>
        <w:t xml:space="preserve"> v súvislosti </w:t>
      </w:r>
      <w:r w:rsidR="00952BFE" w:rsidRPr="00CA377C">
        <w:rPr>
          <w:szCs w:val="24"/>
        </w:rPr>
        <w:t>so </w:t>
      </w:r>
      <w:r w:rsidRPr="00CA377C">
        <w:rPr>
          <w:szCs w:val="24"/>
        </w:rPr>
        <w:t>zmen</w:t>
      </w:r>
      <w:r w:rsidR="00952BFE" w:rsidRPr="00CA377C">
        <w:rPr>
          <w:szCs w:val="24"/>
        </w:rPr>
        <w:t>e</w:t>
      </w:r>
      <w:r w:rsidRPr="00CA377C">
        <w:rPr>
          <w:szCs w:val="24"/>
        </w:rPr>
        <w:t>nými podmie</w:t>
      </w:r>
      <w:r w:rsidR="00952BFE" w:rsidRPr="00CA377C">
        <w:rPr>
          <w:szCs w:val="24"/>
        </w:rPr>
        <w:t>nkami pri obhospodarovaní trvalého</w:t>
      </w:r>
      <w:r w:rsidRPr="00CA377C">
        <w:rPr>
          <w:szCs w:val="24"/>
        </w:rPr>
        <w:t xml:space="preserve"> trávnatého porastu. </w:t>
      </w:r>
    </w:p>
    <w:p w14:paraId="336434FE" w14:textId="59AE886F" w:rsidR="004C6EBE" w:rsidRPr="00CA377C" w:rsidRDefault="004C6EBE" w:rsidP="00CA377C">
      <w:pPr>
        <w:spacing w:line="240" w:lineRule="auto"/>
        <w:ind w:left="370"/>
        <w:rPr>
          <w:color w:val="auto"/>
          <w:szCs w:val="24"/>
        </w:rPr>
      </w:pPr>
      <w:r w:rsidRPr="00CA377C">
        <w:rPr>
          <w:color w:val="auto"/>
          <w:szCs w:val="24"/>
        </w:rPr>
        <w:t xml:space="preserve">Pokiaľ prijímateľ </w:t>
      </w:r>
      <w:r w:rsidR="005B4437">
        <w:rPr>
          <w:color w:val="auto"/>
          <w:szCs w:val="24"/>
        </w:rPr>
        <w:t xml:space="preserve">podľa </w:t>
      </w:r>
      <w:r w:rsidR="005B4437">
        <w:rPr>
          <w:szCs w:val="24"/>
        </w:rPr>
        <w:t>nariadenia vlády Slovenskej republiky</w:t>
      </w:r>
      <w:r w:rsidR="005B4437">
        <w:rPr>
          <w:color w:val="auto"/>
          <w:szCs w:val="24"/>
        </w:rPr>
        <w:t xml:space="preserve"> </w:t>
      </w:r>
      <w:r w:rsidR="000A7404">
        <w:rPr>
          <w:color w:val="auto"/>
          <w:szCs w:val="24"/>
        </w:rPr>
        <w:t xml:space="preserve">č. </w:t>
      </w:r>
      <w:r w:rsidRPr="00CA377C">
        <w:rPr>
          <w:color w:val="auto"/>
          <w:szCs w:val="24"/>
        </w:rPr>
        <w:t>436/2022 Z. z.</w:t>
      </w:r>
      <w:r w:rsidR="00BF2767">
        <w:rPr>
          <w:color w:val="auto"/>
          <w:szCs w:val="24"/>
        </w:rPr>
        <w:t>,</w:t>
      </w:r>
      <w:r w:rsidRPr="00CA377C">
        <w:rPr>
          <w:color w:val="auto"/>
          <w:szCs w:val="24"/>
        </w:rPr>
        <w:t xml:space="preserve"> </w:t>
      </w:r>
      <w:r w:rsidR="001F4DCB" w:rsidRPr="00CA377C">
        <w:rPr>
          <w:color w:val="auto"/>
          <w:szCs w:val="24"/>
        </w:rPr>
        <w:t>ktoré je v súčasnosti v legislatívnom procese</w:t>
      </w:r>
      <w:r w:rsidR="00BF2767">
        <w:rPr>
          <w:color w:val="auto"/>
          <w:szCs w:val="24"/>
        </w:rPr>
        <w:t>,</w:t>
      </w:r>
      <w:r w:rsidR="001F4DCB" w:rsidRPr="00CA377C">
        <w:rPr>
          <w:color w:val="auto"/>
          <w:szCs w:val="24"/>
        </w:rPr>
        <w:t xml:space="preserve"> </w:t>
      </w:r>
      <w:r w:rsidR="001E5A2D" w:rsidRPr="00CA377C">
        <w:rPr>
          <w:color w:val="auto"/>
          <w:szCs w:val="24"/>
        </w:rPr>
        <w:t xml:space="preserve">má vytvoriť </w:t>
      </w:r>
      <w:r w:rsidR="002047A8">
        <w:rPr>
          <w:color w:val="auto"/>
          <w:szCs w:val="24"/>
        </w:rPr>
        <w:t>od</w:t>
      </w:r>
      <w:r w:rsidR="002047A8" w:rsidRPr="00CA377C">
        <w:rPr>
          <w:szCs w:val="24"/>
        </w:rPr>
        <w:t> </w:t>
      </w:r>
      <w:r w:rsidR="002047A8" w:rsidRPr="00CA377C">
        <w:rPr>
          <w:color w:val="auto"/>
          <w:szCs w:val="24"/>
        </w:rPr>
        <w:t xml:space="preserve">roku 2025 </w:t>
      </w:r>
      <w:r w:rsidR="001E5A2D" w:rsidRPr="00CA377C">
        <w:rPr>
          <w:color w:val="auto"/>
          <w:szCs w:val="24"/>
        </w:rPr>
        <w:t xml:space="preserve">nový neproduktívny prvok na ornej pôde </w:t>
      </w:r>
      <w:r w:rsidR="008E0A7A" w:rsidRPr="00CA377C">
        <w:rPr>
          <w:color w:val="auto"/>
          <w:szCs w:val="24"/>
        </w:rPr>
        <w:t xml:space="preserve">v chránených územiach </w:t>
      </w:r>
      <w:r w:rsidRPr="00CA377C">
        <w:rPr>
          <w:color w:val="auto"/>
          <w:szCs w:val="24"/>
        </w:rPr>
        <w:t xml:space="preserve">ostrov biodiverzity a nevytvoril ho, je </w:t>
      </w:r>
      <w:r w:rsidR="00B35A79" w:rsidRPr="00CA377C">
        <w:rPr>
          <w:color w:val="auto"/>
          <w:szCs w:val="24"/>
        </w:rPr>
        <w:t xml:space="preserve">prijímateľovi </w:t>
      </w:r>
      <w:r w:rsidRPr="00CA377C">
        <w:rPr>
          <w:color w:val="auto"/>
          <w:szCs w:val="24"/>
        </w:rPr>
        <w:t>udelená sankcia znížením platby za hektár</w:t>
      </w:r>
      <w:r w:rsidR="005B1DF7">
        <w:rPr>
          <w:color w:val="auto"/>
          <w:szCs w:val="24"/>
        </w:rPr>
        <w:t xml:space="preserve"> podľa § 15 ods. 1 </w:t>
      </w:r>
      <w:r w:rsidR="005B4437">
        <w:rPr>
          <w:szCs w:val="24"/>
        </w:rPr>
        <w:t>nariadenia vlády Slovenskej republiky</w:t>
      </w:r>
      <w:r w:rsidR="005B4437">
        <w:rPr>
          <w:color w:val="auto"/>
          <w:szCs w:val="24"/>
        </w:rPr>
        <w:t xml:space="preserve"> </w:t>
      </w:r>
      <w:r w:rsidR="005B1DF7">
        <w:rPr>
          <w:color w:val="auto"/>
          <w:szCs w:val="24"/>
        </w:rPr>
        <w:t>č. 120/2023 Z. z.</w:t>
      </w:r>
      <w:r w:rsidR="005B4437">
        <w:rPr>
          <w:color w:val="auto"/>
          <w:szCs w:val="24"/>
        </w:rPr>
        <w:t>,</w:t>
      </w:r>
      <w:r w:rsidR="005B4437" w:rsidRPr="001454A3">
        <w:t xml:space="preserve"> </w:t>
      </w:r>
      <w:r w:rsidR="005B4437">
        <w:t>ktorým sa ustanovujú pravidlá predkladania žiadostí a znižovania priamych podpôr Strategického plánu spoločnej poľnohospodárskej politiky v znení neskorších predpisov (ďalej len „nariadenie vlády Slovenskej republiky</w:t>
      </w:r>
      <w:r w:rsidR="005B4437" w:rsidRPr="00CA377C">
        <w:rPr>
          <w:color w:val="auto"/>
          <w:szCs w:val="24"/>
        </w:rPr>
        <w:t xml:space="preserve"> </w:t>
      </w:r>
      <w:r w:rsidR="005B4437">
        <w:rPr>
          <w:color w:val="auto"/>
          <w:szCs w:val="24"/>
        </w:rPr>
        <w:t>č. 120/2023 Z. z.“).</w:t>
      </w:r>
      <w:r w:rsidR="001E5A2D" w:rsidRPr="00CA377C">
        <w:rPr>
          <w:color w:val="auto"/>
          <w:szCs w:val="24"/>
        </w:rPr>
        <w:t xml:space="preserve"> </w:t>
      </w:r>
      <w:r w:rsidR="005B1DF7">
        <w:rPr>
          <w:color w:val="auto"/>
          <w:szCs w:val="24"/>
        </w:rPr>
        <w:t xml:space="preserve">Osobitné zníženie podľa § 15 ods. 5 </w:t>
      </w:r>
      <w:r w:rsidR="005B4437">
        <w:rPr>
          <w:color w:val="auto"/>
          <w:szCs w:val="24"/>
        </w:rPr>
        <w:t>tohto nariadenia vlády</w:t>
      </w:r>
      <w:r w:rsidR="005B4437" w:rsidRPr="00CA377C">
        <w:rPr>
          <w:color w:val="auto"/>
          <w:szCs w:val="24"/>
        </w:rPr>
        <w:t xml:space="preserve"> </w:t>
      </w:r>
      <w:r w:rsidR="001E5A2D" w:rsidRPr="00CA377C">
        <w:rPr>
          <w:color w:val="auto"/>
          <w:szCs w:val="24"/>
        </w:rPr>
        <w:t xml:space="preserve">nadväzuje </w:t>
      </w:r>
      <w:r w:rsidR="00977C0F">
        <w:rPr>
          <w:color w:val="auto"/>
          <w:szCs w:val="24"/>
        </w:rPr>
        <w:t>na</w:t>
      </w:r>
      <w:r w:rsidR="00977C0F">
        <w:rPr>
          <w:szCs w:val="24"/>
        </w:rPr>
        <w:t> </w:t>
      </w:r>
      <w:r w:rsidR="001E5A2D" w:rsidRPr="00CA377C">
        <w:rPr>
          <w:color w:val="auto"/>
          <w:szCs w:val="24"/>
        </w:rPr>
        <w:t xml:space="preserve">zníženia pri vytváraní </w:t>
      </w:r>
      <w:proofErr w:type="spellStart"/>
      <w:r w:rsidR="001E5A2D" w:rsidRPr="00CA377C">
        <w:rPr>
          <w:color w:val="auto"/>
          <w:szCs w:val="24"/>
        </w:rPr>
        <w:t>biopásov</w:t>
      </w:r>
      <w:proofErr w:type="spellEnd"/>
      <w:r w:rsidR="001E5A2D" w:rsidRPr="00CA377C">
        <w:rPr>
          <w:color w:val="auto"/>
          <w:szCs w:val="24"/>
        </w:rPr>
        <w:t xml:space="preserve"> s prihliadnutím na nižšiu </w:t>
      </w:r>
      <w:proofErr w:type="spellStart"/>
      <w:r w:rsidR="00B35A79" w:rsidRPr="00CA377C">
        <w:rPr>
          <w:color w:val="auto"/>
          <w:szCs w:val="24"/>
        </w:rPr>
        <w:t>pracnosť</w:t>
      </w:r>
      <w:proofErr w:type="spellEnd"/>
      <w:r w:rsidR="001E5A2D" w:rsidRPr="00CA377C">
        <w:rPr>
          <w:color w:val="auto"/>
          <w:szCs w:val="24"/>
        </w:rPr>
        <w:t xml:space="preserve"> ostrova biodiverzity</w:t>
      </w:r>
      <w:r w:rsidRPr="00CA377C">
        <w:rPr>
          <w:color w:val="auto"/>
          <w:szCs w:val="24"/>
        </w:rPr>
        <w:t xml:space="preserve">. </w:t>
      </w:r>
      <w:r w:rsidR="005B1DF7">
        <w:rPr>
          <w:color w:val="auto"/>
          <w:szCs w:val="24"/>
        </w:rPr>
        <w:t>P</w:t>
      </w:r>
      <w:r w:rsidRPr="00CA377C">
        <w:rPr>
          <w:color w:val="auto"/>
          <w:szCs w:val="24"/>
        </w:rPr>
        <w:t xml:space="preserve">okiaľ prijímateľ </w:t>
      </w:r>
      <w:r w:rsidR="005B1DF7">
        <w:rPr>
          <w:color w:val="auto"/>
          <w:szCs w:val="24"/>
        </w:rPr>
        <w:t>n</w:t>
      </w:r>
      <w:r w:rsidR="005B1DF7" w:rsidRPr="00CA377C">
        <w:rPr>
          <w:color w:val="auto"/>
          <w:szCs w:val="24"/>
        </w:rPr>
        <w:t>apríklad</w:t>
      </w:r>
      <w:r w:rsidRPr="00CA377C">
        <w:rPr>
          <w:color w:val="auto"/>
          <w:szCs w:val="24"/>
        </w:rPr>
        <w:t xml:space="preserve"> vytvoril ostrov biodiverzity na ploche 2,5 ha</w:t>
      </w:r>
      <w:r w:rsidR="002047A8">
        <w:rPr>
          <w:color w:val="auto"/>
          <w:szCs w:val="24"/>
        </w:rPr>
        <w:t>,</w:t>
      </w:r>
      <w:r w:rsidR="00977C0F">
        <w:rPr>
          <w:color w:val="auto"/>
          <w:szCs w:val="24"/>
        </w:rPr>
        <w:t xml:space="preserve"> ale</w:t>
      </w:r>
      <w:r w:rsidR="00977C0F">
        <w:rPr>
          <w:szCs w:val="24"/>
        </w:rPr>
        <w:t> </w:t>
      </w:r>
      <w:r w:rsidRPr="00CA377C">
        <w:rPr>
          <w:color w:val="auto"/>
          <w:szCs w:val="24"/>
        </w:rPr>
        <w:t xml:space="preserve">chýbalo </w:t>
      </w:r>
      <w:r w:rsidR="001E5A2D" w:rsidRPr="00CA377C">
        <w:rPr>
          <w:color w:val="auto"/>
          <w:szCs w:val="24"/>
        </w:rPr>
        <w:t>k</w:t>
      </w:r>
      <w:r w:rsidR="00B35A79" w:rsidRPr="00CA377C">
        <w:rPr>
          <w:color w:val="auto"/>
          <w:szCs w:val="24"/>
        </w:rPr>
        <w:t> </w:t>
      </w:r>
      <w:r w:rsidR="001E5A2D" w:rsidRPr="00CA377C">
        <w:rPr>
          <w:color w:val="auto"/>
          <w:szCs w:val="24"/>
        </w:rPr>
        <w:t>tomu</w:t>
      </w:r>
      <w:r w:rsidR="00B35A79" w:rsidRPr="00CA377C">
        <w:rPr>
          <w:color w:val="auto"/>
          <w:szCs w:val="24"/>
        </w:rPr>
        <w:t>,</w:t>
      </w:r>
      <w:r w:rsidR="001E5A2D" w:rsidRPr="00CA377C">
        <w:rPr>
          <w:color w:val="auto"/>
          <w:szCs w:val="24"/>
        </w:rPr>
        <w:t xml:space="preserve"> aby splnil podmienku celého ostrova biodiverzity </w:t>
      </w:r>
      <w:r w:rsidR="00E963D7" w:rsidRPr="00CA377C">
        <w:rPr>
          <w:color w:val="auto"/>
          <w:szCs w:val="24"/>
        </w:rPr>
        <w:t>1,0 ha,</w:t>
      </w:r>
      <w:r w:rsidRPr="00CA377C">
        <w:rPr>
          <w:color w:val="auto"/>
          <w:szCs w:val="24"/>
        </w:rPr>
        <w:t xml:space="preserve"> </w:t>
      </w:r>
      <w:r w:rsidR="00E963D7" w:rsidRPr="00CA377C">
        <w:rPr>
          <w:color w:val="auto"/>
          <w:szCs w:val="24"/>
        </w:rPr>
        <w:t>z</w:t>
      </w:r>
      <w:r w:rsidRPr="00CA377C">
        <w:rPr>
          <w:color w:val="auto"/>
          <w:szCs w:val="24"/>
        </w:rPr>
        <w:t xml:space="preserve">níženie bude </w:t>
      </w:r>
      <w:proofErr w:type="spellStart"/>
      <w:r w:rsidR="006508AE" w:rsidRPr="00CA377C">
        <w:rPr>
          <w:color w:val="auto"/>
          <w:szCs w:val="24"/>
        </w:rPr>
        <w:t>dvadsaťpäťnásobk</w:t>
      </w:r>
      <w:proofErr w:type="spellEnd"/>
      <w:r w:rsidRPr="00CA377C">
        <w:rPr>
          <w:color w:val="auto"/>
          <w:szCs w:val="24"/>
        </w:rPr>
        <w:t xml:space="preserve"> výmery z plochy 1,0 ha. Teda 1,0 x </w:t>
      </w:r>
      <w:r w:rsidR="006508AE" w:rsidRPr="00CA377C">
        <w:rPr>
          <w:color w:val="auto"/>
          <w:szCs w:val="24"/>
        </w:rPr>
        <w:t>25 = 25</w:t>
      </w:r>
      <w:r w:rsidRPr="00CA377C">
        <w:rPr>
          <w:color w:val="auto"/>
          <w:szCs w:val="24"/>
        </w:rPr>
        <w:t xml:space="preserve">. Zníženie je teda </w:t>
      </w:r>
      <w:r w:rsidR="006508AE" w:rsidRPr="00CA377C">
        <w:rPr>
          <w:color w:val="auto"/>
          <w:szCs w:val="24"/>
        </w:rPr>
        <w:t>za 25</w:t>
      </w:r>
      <w:r w:rsidRPr="00CA377C">
        <w:rPr>
          <w:color w:val="auto"/>
          <w:szCs w:val="24"/>
        </w:rPr>
        <w:t xml:space="preserve"> ha</w:t>
      </w:r>
      <w:r w:rsidR="006508AE" w:rsidRPr="00CA377C">
        <w:rPr>
          <w:color w:val="auto"/>
          <w:szCs w:val="24"/>
        </w:rPr>
        <w:t xml:space="preserve">, čo pri sadzbe </w:t>
      </w:r>
      <w:r w:rsidR="00EA438C" w:rsidRPr="00CA377C">
        <w:rPr>
          <w:color w:val="auto"/>
          <w:szCs w:val="24"/>
        </w:rPr>
        <w:t>118,18</w:t>
      </w:r>
      <w:r w:rsidR="005B1DF7">
        <w:rPr>
          <w:color w:val="auto"/>
          <w:szCs w:val="24"/>
        </w:rPr>
        <w:t xml:space="preserve"> eur za </w:t>
      </w:r>
      <w:proofErr w:type="spellStart"/>
      <w:r w:rsidR="005B1DF7">
        <w:rPr>
          <w:color w:val="auto"/>
          <w:szCs w:val="24"/>
        </w:rPr>
        <w:t>celofarmovú</w:t>
      </w:r>
      <w:proofErr w:type="spellEnd"/>
      <w:r w:rsidR="006508AE" w:rsidRPr="00CA377C">
        <w:rPr>
          <w:color w:val="auto"/>
          <w:szCs w:val="24"/>
        </w:rPr>
        <w:t xml:space="preserve"> </w:t>
      </w:r>
      <w:proofErr w:type="spellStart"/>
      <w:r w:rsidR="006508AE" w:rsidRPr="00CA377C">
        <w:rPr>
          <w:color w:val="auto"/>
          <w:szCs w:val="24"/>
        </w:rPr>
        <w:t>eko</w:t>
      </w:r>
      <w:proofErr w:type="spellEnd"/>
      <w:r w:rsidR="006508AE" w:rsidRPr="00CA377C">
        <w:rPr>
          <w:color w:val="auto"/>
          <w:szCs w:val="24"/>
        </w:rPr>
        <w:t>-schému v ro</w:t>
      </w:r>
      <w:r w:rsidR="00977C0F">
        <w:rPr>
          <w:color w:val="auto"/>
          <w:szCs w:val="24"/>
        </w:rPr>
        <w:t>ku 2023 by znamenalo sankciu vo</w:t>
      </w:r>
      <w:r w:rsidR="00977C0F">
        <w:rPr>
          <w:szCs w:val="24"/>
        </w:rPr>
        <w:t> </w:t>
      </w:r>
      <w:r w:rsidR="006508AE" w:rsidRPr="00CA377C">
        <w:rPr>
          <w:color w:val="auto"/>
          <w:szCs w:val="24"/>
        </w:rPr>
        <w:t xml:space="preserve">výške </w:t>
      </w:r>
      <w:r w:rsidR="00EA438C" w:rsidRPr="00CA377C">
        <w:rPr>
          <w:color w:val="auto"/>
          <w:szCs w:val="24"/>
        </w:rPr>
        <w:t>2954,5</w:t>
      </w:r>
      <w:r w:rsidR="006508AE" w:rsidRPr="00CA377C">
        <w:rPr>
          <w:color w:val="auto"/>
          <w:szCs w:val="24"/>
        </w:rPr>
        <w:t xml:space="preserve"> eur</w:t>
      </w:r>
      <w:r w:rsidR="005B1DF7">
        <w:rPr>
          <w:color w:val="auto"/>
          <w:szCs w:val="24"/>
        </w:rPr>
        <w:t xml:space="preserve">. </w:t>
      </w:r>
      <w:r w:rsidRPr="00CA377C">
        <w:rPr>
          <w:color w:val="auto"/>
          <w:szCs w:val="24"/>
        </w:rPr>
        <w:t xml:space="preserve">Prijímateľ </w:t>
      </w:r>
      <w:r w:rsidR="00E963D7" w:rsidRPr="00CA377C">
        <w:rPr>
          <w:color w:val="auto"/>
          <w:szCs w:val="24"/>
        </w:rPr>
        <w:t xml:space="preserve">pokiaľ </w:t>
      </w:r>
      <w:r w:rsidRPr="00CA377C">
        <w:rPr>
          <w:color w:val="auto"/>
          <w:szCs w:val="24"/>
        </w:rPr>
        <w:t xml:space="preserve">vytvoril ostrov biodiverzity </w:t>
      </w:r>
      <w:r w:rsidR="00E963D7" w:rsidRPr="00CA377C">
        <w:rPr>
          <w:color w:val="auto"/>
          <w:szCs w:val="24"/>
        </w:rPr>
        <w:t>avšak porušuje pravidlá obhospodarovania, je sankcia znížená na päťnásobok z povinnej výmery. Napríklad</w:t>
      </w:r>
      <w:r w:rsidR="002047A8">
        <w:rPr>
          <w:color w:val="auto"/>
          <w:szCs w:val="24"/>
        </w:rPr>
        <w:t>,</w:t>
      </w:r>
      <w:r w:rsidR="00977C0F">
        <w:rPr>
          <w:color w:val="auto"/>
          <w:szCs w:val="24"/>
        </w:rPr>
        <w:t xml:space="preserve"> ak</w:t>
      </w:r>
      <w:r w:rsidR="00977C0F">
        <w:rPr>
          <w:szCs w:val="24"/>
        </w:rPr>
        <w:t> </w:t>
      </w:r>
      <w:r w:rsidR="00E963D7" w:rsidRPr="00CA377C">
        <w:rPr>
          <w:color w:val="auto"/>
          <w:szCs w:val="24"/>
        </w:rPr>
        <w:t xml:space="preserve">prijímateľ </w:t>
      </w:r>
      <w:r w:rsidRPr="00CA377C">
        <w:rPr>
          <w:color w:val="auto"/>
          <w:szCs w:val="24"/>
        </w:rPr>
        <w:t xml:space="preserve">používa </w:t>
      </w:r>
      <w:r w:rsidR="001E5A2D" w:rsidRPr="00CA377C">
        <w:rPr>
          <w:color w:val="auto"/>
          <w:szCs w:val="24"/>
        </w:rPr>
        <w:t xml:space="preserve">na tejto neproduktívnej ploche </w:t>
      </w:r>
      <w:r w:rsidR="00E963D7" w:rsidRPr="00CA377C">
        <w:rPr>
          <w:color w:val="auto"/>
          <w:szCs w:val="24"/>
        </w:rPr>
        <w:t xml:space="preserve">o rozlohe </w:t>
      </w:r>
      <w:r w:rsidR="001E5A2D" w:rsidRPr="00CA377C">
        <w:rPr>
          <w:color w:val="auto"/>
          <w:szCs w:val="24"/>
        </w:rPr>
        <w:t xml:space="preserve">3,5 ha </w:t>
      </w:r>
      <w:r w:rsidRPr="00CA377C">
        <w:rPr>
          <w:color w:val="auto"/>
          <w:szCs w:val="24"/>
        </w:rPr>
        <w:t xml:space="preserve">hnojivá, bude zníženie o päťnásobok nahlásenej výmery z plochy 3,5 ha. Teda 3,5 x 5 = 17,5. Zníženie je teda </w:t>
      </w:r>
      <w:r w:rsidR="00E963D7" w:rsidRPr="00CA377C">
        <w:rPr>
          <w:color w:val="auto"/>
          <w:szCs w:val="24"/>
        </w:rPr>
        <w:t>za</w:t>
      </w:r>
      <w:r w:rsidR="00977C0F">
        <w:rPr>
          <w:szCs w:val="24"/>
        </w:rPr>
        <w:t> </w:t>
      </w:r>
      <w:r w:rsidR="00977C0F" w:rsidRPr="00CA377C">
        <w:rPr>
          <w:color w:val="auto"/>
          <w:szCs w:val="24"/>
        </w:rPr>
        <w:t xml:space="preserve"> </w:t>
      </w:r>
      <w:r w:rsidRPr="00CA377C">
        <w:rPr>
          <w:color w:val="auto"/>
          <w:szCs w:val="24"/>
        </w:rPr>
        <w:t>17,5 ha</w:t>
      </w:r>
      <w:r w:rsidR="00EA438C" w:rsidRPr="00CA377C">
        <w:rPr>
          <w:color w:val="auto"/>
          <w:szCs w:val="24"/>
        </w:rPr>
        <w:t>,</w:t>
      </w:r>
      <w:r w:rsidR="00E963D7" w:rsidRPr="00CA377C">
        <w:rPr>
          <w:szCs w:val="24"/>
        </w:rPr>
        <w:t xml:space="preserve"> </w:t>
      </w:r>
      <w:r w:rsidR="00E963D7" w:rsidRPr="00CA377C">
        <w:rPr>
          <w:color w:val="auto"/>
          <w:szCs w:val="24"/>
        </w:rPr>
        <w:t xml:space="preserve">čo pri sadzbe </w:t>
      </w:r>
      <w:r w:rsidR="00EA438C" w:rsidRPr="00CA377C">
        <w:rPr>
          <w:color w:val="auto"/>
          <w:szCs w:val="24"/>
        </w:rPr>
        <w:t>118,18</w:t>
      </w:r>
      <w:r w:rsidR="00E963D7" w:rsidRPr="00CA377C">
        <w:rPr>
          <w:color w:val="auto"/>
          <w:szCs w:val="24"/>
        </w:rPr>
        <w:t xml:space="preserve"> eur za </w:t>
      </w:r>
      <w:proofErr w:type="spellStart"/>
      <w:r w:rsidR="00E963D7" w:rsidRPr="00CA377C">
        <w:rPr>
          <w:color w:val="auto"/>
          <w:szCs w:val="24"/>
        </w:rPr>
        <w:t>celofarmov</w:t>
      </w:r>
      <w:r w:rsidR="005B1DF7">
        <w:rPr>
          <w:color w:val="auto"/>
          <w:szCs w:val="24"/>
        </w:rPr>
        <w:t>ú</w:t>
      </w:r>
      <w:proofErr w:type="spellEnd"/>
      <w:r w:rsidR="00E963D7" w:rsidRPr="00CA377C">
        <w:rPr>
          <w:color w:val="auto"/>
          <w:szCs w:val="24"/>
        </w:rPr>
        <w:t xml:space="preserve"> </w:t>
      </w:r>
      <w:proofErr w:type="spellStart"/>
      <w:r w:rsidR="00E963D7" w:rsidRPr="00CA377C">
        <w:rPr>
          <w:color w:val="auto"/>
          <w:szCs w:val="24"/>
        </w:rPr>
        <w:t>eko</w:t>
      </w:r>
      <w:proofErr w:type="spellEnd"/>
      <w:r w:rsidR="00E963D7" w:rsidRPr="00CA377C">
        <w:rPr>
          <w:color w:val="auto"/>
          <w:szCs w:val="24"/>
        </w:rPr>
        <w:t xml:space="preserve">-schému v roku 2023 by znamenalo sankciu vo výške </w:t>
      </w:r>
      <w:r w:rsidR="00EA438C" w:rsidRPr="00CA377C">
        <w:rPr>
          <w:color w:val="auto"/>
          <w:szCs w:val="24"/>
        </w:rPr>
        <w:lastRenderedPageBreak/>
        <w:t>2068,15</w:t>
      </w:r>
      <w:r w:rsidR="00E963D7" w:rsidRPr="00CA377C">
        <w:rPr>
          <w:color w:val="auto"/>
          <w:szCs w:val="24"/>
        </w:rPr>
        <w:t xml:space="preserve"> eur.</w:t>
      </w:r>
      <w:r w:rsidR="005B1DF7">
        <w:rPr>
          <w:color w:val="auto"/>
          <w:szCs w:val="24"/>
        </w:rPr>
        <w:t xml:space="preserve"> O</w:t>
      </w:r>
      <w:r w:rsidR="00983C45">
        <w:rPr>
          <w:color w:val="auto"/>
          <w:szCs w:val="24"/>
        </w:rPr>
        <w:t>sobitné zníženie za</w:t>
      </w:r>
      <w:r w:rsidR="005B1DF7">
        <w:rPr>
          <w:color w:val="auto"/>
          <w:szCs w:val="24"/>
        </w:rPr>
        <w:t xml:space="preserve"> neza</w:t>
      </w:r>
      <w:r w:rsidR="00983C45">
        <w:rPr>
          <w:color w:val="auto"/>
          <w:szCs w:val="24"/>
        </w:rPr>
        <w:t>bezpečenie</w:t>
      </w:r>
      <w:r w:rsidR="005B1DF7">
        <w:rPr>
          <w:color w:val="auto"/>
          <w:szCs w:val="24"/>
        </w:rPr>
        <w:t xml:space="preserve"> ostrova biodiverzity nikdy nepresiahnu výšku zníženia vypočítanú podľa § 15 ods. 1 </w:t>
      </w:r>
      <w:r w:rsidR="005B4437">
        <w:rPr>
          <w:color w:val="auto"/>
          <w:szCs w:val="24"/>
        </w:rPr>
        <w:t xml:space="preserve">nariadenia vlády </w:t>
      </w:r>
      <w:r w:rsidR="005B4437">
        <w:rPr>
          <w:szCs w:val="24"/>
        </w:rPr>
        <w:t>Slovenskej republiky</w:t>
      </w:r>
      <w:r w:rsidR="005B4437" w:rsidDel="00D06AC9">
        <w:rPr>
          <w:color w:val="auto"/>
          <w:szCs w:val="24"/>
        </w:rPr>
        <w:t xml:space="preserve"> </w:t>
      </w:r>
      <w:r w:rsidR="00E310CF">
        <w:rPr>
          <w:color w:val="auto"/>
          <w:szCs w:val="24"/>
        </w:rPr>
        <w:t xml:space="preserve">                </w:t>
      </w:r>
      <w:r w:rsidR="005B1DF7">
        <w:rPr>
          <w:color w:val="auto"/>
          <w:szCs w:val="24"/>
        </w:rPr>
        <w:t>č. 120/2023 Z. z</w:t>
      </w:r>
      <w:r w:rsidR="005B1DF7" w:rsidRPr="00CA377C">
        <w:rPr>
          <w:color w:val="auto"/>
          <w:szCs w:val="24"/>
        </w:rPr>
        <w:t>.</w:t>
      </w:r>
      <w:r w:rsidR="005B1DF7">
        <w:rPr>
          <w:color w:val="auto"/>
          <w:szCs w:val="24"/>
        </w:rPr>
        <w:t xml:space="preserve"> (základné zníženie, ktoré sa uplatňuje v prípade, keď prijímateľ nedodržiava opatrenie najväčšej výmer</w:t>
      </w:r>
      <w:r w:rsidR="00983C45">
        <w:rPr>
          <w:color w:val="auto"/>
          <w:szCs w:val="24"/>
        </w:rPr>
        <w:t>y</w:t>
      </w:r>
      <w:r w:rsidR="008903A8">
        <w:rPr>
          <w:color w:val="auto"/>
          <w:szCs w:val="24"/>
        </w:rPr>
        <w:t xml:space="preserve"> </w:t>
      </w:r>
      <w:r w:rsidR="005B1DF7">
        <w:rPr>
          <w:color w:val="auto"/>
          <w:szCs w:val="24"/>
        </w:rPr>
        <w:t>ornej pôdy vôbec).</w:t>
      </w:r>
    </w:p>
    <w:p w14:paraId="2651B4CA" w14:textId="5744D37F" w:rsidR="001F4DCB" w:rsidRPr="00CA377C" w:rsidRDefault="009C3432" w:rsidP="00CA377C">
      <w:pPr>
        <w:spacing w:line="240" w:lineRule="auto"/>
        <w:ind w:left="380"/>
        <w:rPr>
          <w:color w:val="auto"/>
          <w:szCs w:val="24"/>
        </w:rPr>
      </w:pPr>
      <w:r w:rsidRPr="00CA377C">
        <w:rPr>
          <w:color w:val="auto"/>
          <w:szCs w:val="24"/>
        </w:rPr>
        <w:t>V</w:t>
      </w:r>
      <w:r w:rsidR="00500EDE" w:rsidRPr="00CA377C">
        <w:rPr>
          <w:color w:val="auto"/>
          <w:szCs w:val="24"/>
        </w:rPr>
        <w:t xml:space="preserve"> kalkulačke </w:t>
      </w:r>
      <w:r w:rsidR="005B4437">
        <w:rPr>
          <w:color w:val="auto"/>
          <w:szCs w:val="24"/>
        </w:rPr>
        <w:t>nákladov</w:t>
      </w:r>
      <w:r w:rsidR="005B4437" w:rsidRPr="00CA377C">
        <w:rPr>
          <w:color w:val="auto"/>
          <w:szCs w:val="24"/>
        </w:rPr>
        <w:t xml:space="preserve"> </w:t>
      </w:r>
      <w:r w:rsidRPr="00CA377C">
        <w:rPr>
          <w:color w:val="auto"/>
          <w:szCs w:val="24"/>
        </w:rPr>
        <w:t>nie je uvedený výpočet</w:t>
      </w:r>
      <w:r w:rsidR="00B35A79" w:rsidRPr="00CA377C">
        <w:rPr>
          <w:color w:val="auto"/>
          <w:szCs w:val="24"/>
        </w:rPr>
        <w:t>,</w:t>
      </w:r>
      <w:r w:rsidRPr="00CA377C">
        <w:rPr>
          <w:color w:val="auto"/>
          <w:szCs w:val="24"/>
        </w:rPr>
        <w:t xml:space="preserve"> nakoľko ostrov biodiverzity je nový neproduktívny prvok </w:t>
      </w:r>
      <w:r w:rsidR="002E6EF6">
        <w:t>počnúc rokom podávania žiadostí 2025</w:t>
      </w:r>
      <w:r w:rsidRPr="00CA377C">
        <w:rPr>
          <w:color w:val="auto"/>
          <w:szCs w:val="24"/>
        </w:rPr>
        <w:t>a </w:t>
      </w:r>
      <w:r w:rsidR="00B35A79" w:rsidRPr="00CA377C">
        <w:rPr>
          <w:color w:val="auto"/>
          <w:szCs w:val="24"/>
        </w:rPr>
        <w:t>zároveň</w:t>
      </w:r>
      <w:r w:rsidRPr="00CA377C">
        <w:rPr>
          <w:color w:val="auto"/>
          <w:szCs w:val="24"/>
        </w:rPr>
        <w:t xml:space="preserve"> ide o</w:t>
      </w:r>
      <w:r w:rsidR="008B7CBB">
        <w:rPr>
          <w:color w:val="auto"/>
          <w:szCs w:val="24"/>
        </w:rPr>
        <w:t> </w:t>
      </w:r>
      <w:r w:rsidRPr="00CA377C">
        <w:rPr>
          <w:color w:val="auto"/>
          <w:szCs w:val="24"/>
        </w:rPr>
        <w:t>alternatívny</w:t>
      </w:r>
      <w:r w:rsidR="008B7CBB">
        <w:rPr>
          <w:color w:val="auto"/>
          <w:szCs w:val="24"/>
        </w:rPr>
        <w:t xml:space="preserve"> (dobrovoľný)</w:t>
      </w:r>
      <w:r w:rsidRPr="00CA377C">
        <w:rPr>
          <w:color w:val="auto"/>
          <w:szCs w:val="24"/>
        </w:rPr>
        <w:t xml:space="preserve"> prvok k už využívaným </w:t>
      </w:r>
      <w:proofErr w:type="spellStart"/>
      <w:r w:rsidRPr="00CA377C">
        <w:rPr>
          <w:color w:val="auto"/>
          <w:szCs w:val="24"/>
        </w:rPr>
        <w:t>biopásom</w:t>
      </w:r>
      <w:proofErr w:type="spellEnd"/>
      <w:r w:rsidR="002047A8">
        <w:rPr>
          <w:color w:val="auto"/>
          <w:szCs w:val="24"/>
        </w:rPr>
        <w:t>,</w:t>
      </w:r>
      <w:r w:rsidRPr="00CA377C">
        <w:rPr>
          <w:color w:val="auto"/>
          <w:szCs w:val="24"/>
        </w:rPr>
        <w:t xml:space="preserve"> ktorý je možné s </w:t>
      </w:r>
      <w:proofErr w:type="spellStart"/>
      <w:r w:rsidRPr="00CA377C">
        <w:rPr>
          <w:color w:val="auto"/>
          <w:szCs w:val="24"/>
        </w:rPr>
        <w:t>biopásmi</w:t>
      </w:r>
      <w:proofErr w:type="spellEnd"/>
      <w:r w:rsidRPr="00CA377C">
        <w:rPr>
          <w:color w:val="auto"/>
          <w:szCs w:val="24"/>
        </w:rPr>
        <w:t xml:space="preserve"> v rámci celkovej poľnohospodárskej plochy </w:t>
      </w:r>
      <w:r w:rsidR="00E963D7" w:rsidRPr="00CA377C">
        <w:rPr>
          <w:color w:val="auto"/>
          <w:szCs w:val="24"/>
        </w:rPr>
        <w:t xml:space="preserve">v chránených územiach </w:t>
      </w:r>
      <w:r w:rsidR="00B35A79" w:rsidRPr="00CA377C">
        <w:rPr>
          <w:color w:val="auto"/>
          <w:szCs w:val="24"/>
        </w:rPr>
        <w:t xml:space="preserve">jedného prijímateľa </w:t>
      </w:r>
      <w:r w:rsidRPr="00CA377C">
        <w:rPr>
          <w:color w:val="auto"/>
          <w:szCs w:val="24"/>
        </w:rPr>
        <w:t xml:space="preserve">kombinovať. Vzhľadom </w:t>
      </w:r>
      <w:r w:rsidR="002E6EF6">
        <w:rPr>
          <w:color w:val="auto"/>
          <w:szCs w:val="24"/>
        </w:rPr>
        <w:t>na túto</w:t>
      </w:r>
      <w:r w:rsidRPr="00CA377C">
        <w:rPr>
          <w:color w:val="auto"/>
          <w:szCs w:val="24"/>
        </w:rPr>
        <w:t xml:space="preserve"> </w:t>
      </w:r>
      <w:r w:rsidR="002E6EF6">
        <w:rPr>
          <w:color w:val="auto"/>
          <w:szCs w:val="24"/>
        </w:rPr>
        <w:t>skutočnosť</w:t>
      </w:r>
      <w:r w:rsidRPr="00CA377C">
        <w:rPr>
          <w:color w:val="auto"/>
          <w:szCs w:val="24"/>
        </w:rPr>
        <w:t xml:space="preserve"> </w:t>
      </w:r>
      <w:r w:rsidR="002E6EF6">
        <w:rPr>
          <w:color w:val="auto"/>
          <w:szCs w:val="24"/>
        </w:rPr>
        <w:t>sa uvádza</w:t>
      </w:r>
      <w:r w:rsidRPr="00CA377C">
        <w:rPr>
          <w:color w:val="auto"/>
          <w:szCs w:val="24"/>
        </w:rPr>
        <w:t xml:space="preserve"> ilustratívny výpočet sankcie</w:t>
      </w:r>
      <w:r w:rsidR="00B35A79" w:rsidRPr="00CA377C">
        <w:rPr>
          <w:color w:val="auto"/>
          <w:szCs w:val="24"/>
        </w:rPr>
        <w:t xml:space="preserve"> vyššie</w:t>
      </w:r>
      <w:r w:rsidRPr="00CA377C">
        <w:rPr>
          <w:color w:val="auto"/>
          <w:szCs w:val="24"/>
        </w:rPr>
        <w:t>. Dáta o zníženiach a počty porušení budú prístupné na konci roka 2025 a v roku 2026</w:t>
      </w:r>
      <w:r w:rsidR="00E963D7" w:rsidRPr="00CA377C">
        <w:rPr>
          <w:color w:val="auto"/>
          <w:szCs w:val="24"/>
        </w:rPr>
        <w:t>, až následne bude možné vyčísliť koľkých prij</w:t>
      </w:r>
      <w:r w:rsidR="002047A8">
        <w:rPr>
          <w:color w:val="auto"/>
          <w:szCs w:val="24"/>
        </w:rPr>
        <w:t>í</w:t>
      </w:r>
      <w:r w:rsidR="00E963D7" w:rsidRPr="00CA377C">
        <w:rPr>
          <w:color w:val="auto"/>
          <w:szCs w:val="24"/>
        </w:rPr>
        <w:t>mateľov sa sankcia t</w:t>
      </w:r>
      <w:r w:rsidR="00EA438C" w:rsidRPr="00CA377C">
        <w:rPr>
          <w:color w:val="auto"/>
          <w:szCs w:val="24"/>
        </w:rPr>
        <w:t>ýka a odborne stanoviť koľkých prijímateľov sa to bude týkať v nasledujúcich rokoch.</w:t>
      </w:r>
      <w:r w:rsidR="00E963D7" w:rsidRPr="00CA377C">
        <w:rPr>
          <w:color w:val="auto"/>
          <w:szCs w:val="24"/>
        </w:rPr>
        <w:t xml:space="preserve"> </w:t>
      </w:r>
      <w:r w:rsidR="00EA438C" w:rsidRPr="00CA377C">
        <w:rPr>
          <w:color w:val="auto"/>
          <w:szCs w:val="24"/>
        </w:rPr>
        <w:t>Z</w:t>
      </w:r>
      <w:r w:rsidRPr="00CA377C">
        <w:rPr>
          <w:color w:val="auto"/>
          <w:szCs w:val="24"/>
        </w:rPr>
        <w:t>ároveň v prípade problémov s implementáciou nového neproduktívneho prvku ostrova biodiverzity bude možné túto povinnosť upraviť v mod</w:t>
      </w:r>
      <w:r w:rsidR="000A7404">
        <w:rPr>
          <w:color w:val="auto"/>
          <w:szCs w:val="24"/>
        </w:rPr>
        <w:t>ifikáciách Strategického plánu s</w:t>
      </w:r>
      <w:r w:rsidRPr="00CA377C">
        <w:rPr>
          <w:color w:val="auto"/>
          <w:szCs w:val="24"/>
        </w:rPr>
        <w:t>poločnej poľnohospodárskej politiky 2023 -</w:t>
      </w:r>
      <w:r w:rsidR="005B4437">
        <w:rPr>
          <w:color w:val="auto"/>
          <w:szCs w:val="24"/>
        </w:rPr>
        <w:t xml:space="preserve"> </w:t>
      </w:r>
      <w:r w:rsidRPr="00CA377C">
        <w:rPr>
          <w:color w:val="auto"/>
          <w:szCs w:val="24"/>
        </w:rPr>
        <w:t>2027</w:t>
      </w:r>
      <w:r w:rsidR="00B35A79" w:rsidRPr="00CA377C">
        <w:rPr>
          <w:color w:val="auto"/>
          <w:szCs w:val="24"/>
        </w:rPr>
        <w:t xml:space="preserve"> a</w:t>
      </w:r>
      <w:r w:rsidR="000A7404">
        <w:rPr>
          <w:color w:val="auto"/>
          <w:szCs w:val="24"/>
        </w:rPr>
        <w:t xml:space="preserve"> následne </w:t>
      </w:r>
      <w:r w:rsidR="00B35A79" w:rsidRPr="00CA377C">
        <w:rPr>
          <w:color w:val="auto"/>
          <w:szCs w:val="24"/>
        </w:rPr>
        <w:t xml:space="preserve">novelou </w:t>
      </w:r>
      <w:r w:rsidR="005B4437">
        <w:rPr>
          <w:color w:val="auto"/>
          <w:szCs w:val="24"/>
        </w:rPr>
        <w:t xml:space="preserve">nariadenia vlády </w:t>
      </w:r>
      <w:r w:rsidR="005B4437">
        <w:rPr>
          <w:szCs w:val="24"/>
        </w:rPr>
        <w:t>Slovenskej republiky</w:t>
      </w:r>
      <w:r w:rsidR="000D4B92">
        <w:rPr>
          <w:color w:val="auto"/>
          <w:szCs w:val="24"/>
        </w:rPr>
        <w:t xml:space="preserve"> </w:t>
      </w:r>
      <w:r w:rsidR="00B35A79" w:rsidRPr="00CA377C">
        <w:rPr>
          <w:color w:val="auto"/>
          <w:szCs w:val="24"/>
        </w:rPr>
        <w:t xml:space="preserve">č. 436/2022 Z. z. </w:t>
      </w:r>
      <w:r w:rsidRPr="00CA377C">
        <w:rPr>
          <w:color w:val="auto"/>
          <w:szCs w:val="24"/>
        </w:rPr>
        <w:t xml:space="preserve"> </w:t>
      </w:r>
    </w:p>
    <w:p w14:paraId="279182ED" w14:textId="71C17EB7" w:rsidR="007060C9" w:rsidRDefault="00B35A79" w:rsidP="007060C9">
      <w:pPr>
        <w:spacing w:line="240" w:lineRule="auto"/>
        <w:ind w:left="380" w:firstLine="0"/>
        <w:rPr>
          <w:szCs w:val="24"/>
        </w:rPr>
      </w:pPr>
      <w:r w:rsidRPr="00CA377C">
        <w:rPr>
          <w:szCs w:val="24"/>
        </w:rPr>
        <w:t>V </w:t>
      </w:r>
      <w:r w:rsidR="005B4437">
        <w:rPr>
          <w:szCs w:val="24"/>
        </w:rPr>
        <w:t>návrhu</w:t>
      </w:r>
      <w:r w:rsidR="005B4437" w:rsidRPr="00CA377C">
        <w:rPr>
          <w:szCs w:val="24"/>
        </w:rPr>
        <w:t xml:space="preserve"> </w:t>
      </w:r>
      <w:r w:rsidRPr="00CA377C">
        <w:rPr>
          <w:szCs w:val="24"/>
        </w:rPr>
        <w:t>nariaden</w:t>
      </w:r>
      <w:r w:rsidR="005B4437">
        <w:rPr>
          <w:szCs w:val="24"/>
        </w:rPr>
        <w:t>ia</w:t>
      </w:r>
      <w:r w:rsidRPr="00CA377C">
        <w:rPr>
          <w:szCs w:val="24"/>
        </w:rPr>
        <w:t xml:space="preserve"> </w:t>
      </w:r>
      <w:r w:rsidR="005B4437">
        <w:rPr>
          <w:szCs w:val="24"/>
        </w:rPr>
        <w:t xml:space="preserve">vlády </w:t>
      </w:r>
      <w:r w:rsidRPr="00CA377C">
        <w:rPr>
          <w:szCs w:val="24"/>
        </w:rPr>
        <w:t xml:space="preserve">sa </w:t>
      </w:r>
      <w:r w:rsidR="00366AEC" w:rsidRPr="00CA377C">
        <w:rPr>
          <w:szCs w:val="24"/>
        </w:rPr>
        <w:t>precizujú ustanovenia týkajúce</w:t>
      </w:r>
      <w:r w:rsidR="000A7404">
        <w:rPr>
          <w:szCs w:val="24"/>
        </w:rPr>
        <w:t xml:space="preserve"> sa znížení </w:t>
      </w:r>
      <w:proofErr w:type="spellStart"/>
      <w:r w:rsidR="000A7404">
        <w:rPr>
          <w:szCs w:val="24"/>
        </w:rPr>
        <w:t>celofarmovej</w:t>
      </w:r>
      <w:proofErr w:type="spellEnd"/>
      <w:r w:rsidR="005B4437">
        <w:rPr>
          <w:szCs w:val="24"/>
        </w:rPr>
        <w:t xml:space="preserve"> </w:t>
      </w:r>
      <w:proofErr w:type="spellStart"/>
      <w:r w:rsidR="00366AEC" w:rsidRPr="00CA377C">
        <w:rPr>
          <w:szCs w:val="24"/>
        </w:rPr>
        <w:t>eko</w:t>
      </w:r>
      <w:proofErr w:type="spellEnd"/>
      <w:r w:rsidR="00366AEC" w:rsidRPr="00CA377C">
        <w:rPr>
          <w:szCs w:val="24"/>
        </w:rPr>
        <w:t>-schémy</w:t>
      </w:r>
      <w:r w:rsidR="004A0E01" w:rsidRPr="00CA377C">
        <w:rPr>
          <w:szCs w:val="24"/>
        </w:rPr>
        <w:t xml:space="preserve"> v prípade porušení </w:t>
      </w:r>
      <w:r w:rsidR="004A1465" w:rsidRPr="00CA377C">
        <w:rPr>
          <w:szCs w:val="24"/>
        </w:rPr>
        <w:t xml:space="preserve">na </w:t>
      </w:r>
      <w:r w:rsidR="004A0E01" w:rsidRPr="00CA377C">
        <w:rPr>
          <w:szCs w:val="24"/>
        </w:rPr>
        <w:t> ploch</w:t>
      </w:r>
      <w:r w:rsidR="004A1465" w:rsidRPr="00CA377C">
        <w:rPr>
          <w:szCs w:val="24"/>
        </w:rPr>
        <w:t>ách</w:t>
      </w:r>
      <w:r w:rsidR="004A0E01" w:rsidRPr="00CA377C">
        <w:rPr>
          <w:szCs w:val="24"/>
        </w:rPr>
        <w:t xml:space="preserve"> vysiatymi zmesami pre opeľovače</w:t>
      </w:r>
      <w:r w:rsidRPr="00CA377C">
        <w:rPr>
          <w:szCs w:val="24"/>
        </w:rPr>
        <w:t xml:space="preserve"> tak</w:t>
      </w:r>
      <w:r w:rsidR="00366AEC" w:rsidRPr="00CA377C">
        <w:rPr>
          <w:szCs w:val="24"/>
        </w:rPr>
        <w:t>, aby bol</w:t>
      </w:r>
      <w:r w:rsidR="00AF0A30" w:rsidRPr="00CA377C">
        <w:rPr>
          <w:szCs w:val="24"/>
        </w:rPr>
        <w:t>i</w:t>
      </w:r>
      <w:r w:rsidR="00366AEC" w:rsidRPr="00CA377C">
        <w:rPr>
          <w:szCs w:val="24"/>
        </w:rPr>
        <w:t xml:space="preserve"> </w:t>
      </w:r>
      <w:r w:rsidR="00AF0A30" w:rsidRPr="00CA377C">
        <w:rPr>
          <w:szCs w:val="24"/>
        </w:rPr>
        <w:t>primerané</w:t>
      </w:r>
      <w:r w:rsidR="00366AEC" w:rsidRPr="00CA377C">
        <w:rPr>
          <w:szCs w:val="24"/>
        </w:rPr>
        <w:t xml:space="preserve"> </w:t>
      </w:r>
      <w:r w:rsidRPr="00CA377C">
        <w:rPr>
          <w:szCs w:val="24"/>
        </w:rPr>
        <w:t xml:space="preserve">k </w:t>
      </w:r>
      <w:r w:rsidR="00366AEC" w:rsidRPr="00CA377C">
        <w:rPr>
          <w:szCs w:val="24"/>
        </w:rPr>
        <w:t>z</w:t>
      </w:r>
      <w:r w:rsidR="00DE51E1" w:rsidRPr="00CA377C">
        <w:rPr>
          <w:szCs w:val="24"/>
        </w:rPr>
        <w:t>ávažnosti</w:t>
      </w:r>
      <w:r w:rsidR="00366AEC" w:rsidRPr="00CA377C">
        <w:rPr>
          <w:szCs w:val="24"/>
        </w:rPr>
        <w:t xml:space="preserve"> porušenia jednotlivých </w:t>
      </w:r>
      <w:r w:rsidR="00DE51E1" w:rsidRPr="00CA377C">
        <w:rPr>
          <w:szCs w:val="24"/>
        </w:rPr>
        <w:t xml:space="preserve">podmienok </w:t>
      </w:r>
      <w:r w:rsidR="00AF0A30" w:rsidRPr="00CA377C">
        <w:rPr>
          <w:szCs w:val="24"/>
        </w:rPr>
        <w:t>a zároveň dostatočne odrádzajúce</w:t>
      </w:r>
      <w:r w:rsidR="004A0E01" w:rsidRPr="00CA377C">
        <w:rPr>
          <w:szCs w:val="24"/>
        </w:rPr>
        <w:t>.</w:t>
      </w:r>
    </w:p>
    <w:p w14:paraId="145873E6" w14:textId="27272B31" w:rsidR="009C3432" w:rsidRPr="00CA377C" w:rsidRDefault="009C3432" w:rsidP="007060C9">
      <w:pPr>
        <w:spacing w:line="240" w:lineRule="auto"/>
        <w:ind w:left="380" w:firstLine="0"/>
        <w:rPr>
          <w:szCs w:val="24"/>
        </w:rPr>
      </w:pPr>
      <w:r w:rsidRPr="00CA377C">
        <w:rPr>
          <w:szCs w:val="24"/>
        </w:rPr>
        <w:t xml:space="preserve">V kalkulačke </w:t>
      </w:r>
      <w:r w:rsidR="005B4437">
        <w:rPr>
          <w:color w:val="auto"/>
          <w:szCs w:val="24"/>
        </w:rPr>
        <w:t>nákladov</w:t>
      </w:r>
      <w:r w:rsidRPr="00CA377C">
        <w:rPr>
          <w:szCs w:val="24"/>
        </w:rPr>
        <w:t xml:space="preserve"> je výpočet záťaže podnikateľských subjektov v súvislosti so sankciou vyčíslený na 4070,4 eur. Táto suma vychádza z</w:t>
      </w:r>
      <w:r w:rsidR="00B35A79" w:rsidRPr="00CA377C">
        <w:rPr>
          <w:szCs w:val="24"/>
        </w:rPr>
        <w:t xml:space="preserve"> údajov </w:t>
      </w:r>
      <w:r w:rsidR="005E50F7">
        <w:rPr>
          <w:szCs w:val="24"/>
        </w:rPr>
        <w:t>Pôdohospodárskej</w:t>
      </w:r>
      <w:r w:rsidR="00B35A79" w:rsidRPr="00CA377C">
        <w:rPr>
          <w:szCs w:val="24"/>
        </w:rPr>
        <w:t xml:space="preserve"> platobnej agentúry, teda ide výmeru</w:t>
      </w:r>
      <w:r w:rsidRPr="00CA377C">
        <w:rPr>
          <w:szCs w:val="24"/>
        </w:rPr>
        <w:t xml:space="preserve"> plochy vysiatej zmesami pre opeľovače</w:t>
      </w:r>
      <w:r w:rsidR="00E70268">
        <w:rPr>
          <w:szCs w:val="24"/>
        </w:rPr>
        <w:t>,</w:t>
      </w:r>
      <w:r w:rsidRPr="00CA377C">
        <w:rPr>
          <w:szCs w:val="24"/>
        </w:rPr>
        <w:t xml:space="preserve"> ktorú prijímatelia nevytvorili v roku 2023</w:t>
      </w:r>
      <w:r w:rsidR="00B35A79" w:rsidRPr="00CA377C">
        <w:rPr>
          <w:szCs w:val="24"/>
        </w:rPr>
        <w:t xml:space="preserve">, </w:t>
      </w:r>
      <w:r w:rsidR="002E6EF6" w:rsidRPr="002E6EF6">
        <w:rPr>
          <w:szCs w:val="24"/>
        </w:rPr>
        <w:t>modifikovanú navrhovaným znížením</w:t>
      </w:r>
      <w:r w:rsidR="00E70268">
        <w:rPr>
          <w:szCs w:val="24"/>
        </w:rPr>
        <w:t xml:space="preserve"> pre</w:t>
      </w:r>
      <w:r w:rsidR="00E70268" w:rsidRPr="00CA377C">
        <w:rPr>
          <w:szCs w:val="24"/>
        </w:rPr>
        <w:t> rok 2025</w:t>
      </w:r>
      <w:r w:rsidR="00B94465">
        <w:rPr>
          <w:szCs w:val="24"/>
        </w:rPr>
        <w:t xml:space="preserve"> a </w:t>
      </w:r>
      <w:r w:rsidR="007060C9">
        <w:rPr>
          <w:szCs w:val="24"/>
        </w:rPr>
        <w:t>sadzb</w:t>
      </w:r>
      <w:r w:rsidR="00E70268">
        <w:rPr>
          <w:szCs w:val="24"/>
        </w:rPr>
        <w:t>u</w:t>
      </w:r>
      <w:r w:rsidRPr="00CA377C">
        <w:rPr>
          <w:szCs w:val="24"/>
        </w:rPr>
        <w:t xml:space="preserve"> </w:t>
      </w:r>
      <w:r w:rsidR="006A367B">
        <w:rPr>
          <w:szCs w:val="24"/>
        </w:rPr>
        <w:t>podpory</w:t>
      </w:r>
      <w:r w:rsidRPr="00CA377C">
        <w:rPr>
          <w:szCs w:val="24"/>
        </w:rPr>
        <w:t xml:space="preserve"> formou </w:t>
      </w:r>
      <w:proofErr w:type="spellStart"/>
      <w:r w:rsidRPr="00CA377C">
        <w:rPr>
          <w:szCs w:val="24"/>
        </w:rPr>
        <w:t>celofarmovej</w:t>
      </w:r>
      <w:proofErr w:type="spellEnd"/>
      <w:r w:rsidRPr="00CA377C">
        <w:rPr>
          <w:szCs w:val="24"/>
        </w:rPr>
        <w:t xml:space="preserve"> </w:t>
      </w:r>
      <w:proofErr w:type="spellStart"/>
      <w:r w:rsidRPr="00CA377C">
        <w:rPr>
          <w:szCs w:val="24"/>
        </w:rPr>
        <w:t>eko</w:t>
      </w:r>
      <w:proofErr w:type="spellEnd"/>
      <w:r w:rsidRPr="00CA377C">
        <w:rPr>
          <w:szCs w:val="24"/>
        </w:rPr>
        <w:t>-schémy</w:t>
      </w:r>
      <w:r w:rsidR="00B94465">
        <w:rPr>
          <w:szCs w:val="24"/>
        </w:rPr>
        <w:t xml:space="preserve"> za rok 2023</w:t>
      </w:r>
      <w:r w:rsidRPr="00CA377C">
        <w:rPr>
          <w:szCs w:val="24"/>
        </w:rPr>
        <w:t xml:space="preserve">. </w:t>
      </w:r>
    </w:p>
    <w:p w14:paraId="20630211" w14:textId="2C190E15" w:rsidR="00EB3829" w:rsidRDefault="009C3432" w:rsidP="00CA377C">
      <w:pPr>
        <w:spacing w:line="240" w:lineRule="auto"/>
        <w:ind w:left="400"/>
        <w:rPr>
          <w:szCs w:val="24"/>
        </w:rPr>
      </w:pPr>
      <w:r w:rsidRPr="00CA377C">
        <w:rPr>
          <w:szCs w:val="24"/>
        </w:rPr>
        <w:t>V uvedenom výpočte te</w:t>
      </w:r>
      <w:r w:rsidR="002E6EF6">
        <w:rPr>
          <w:szCs w:val="24"/>
        </w:rPr>
        <w:t xml:space="preserve">da ide o celkovú plochu vysiatu </w:t>
      </w:r>
      <w:r w:rsidRPr="00CA377C">
        <w:rPr>
          <w:szCs w:val="24"/>
        </w:rPr>
        <w:t>zmesami pre opeľovače</w:t>
      </w:r>
      <w:r w:rsidR="00B94465">
        <w:rPr>
          <w:szCs w:val="24"/>
        </w:rPr>
        <w:t>,</w:t>
      </w:r>
      <w:r w:rsidRPr="00CA377C">
        <w:rPr>
          <w:szCs w:val="24"/>
        </w:rPr>
        <w:t xml:space="preserve"> ktorú prijímatelia nevytvorili </w:t>
      </w:r>
      <w:r w:rsidR="00B35A79" w:rsidRPr="00CA377C">
        <w:rPr>
          <w:szCs w:val="24"/>
        </w:rPr>
        <w:t xml:space="preserve">o </w:t>
      </w:r>
      <w:r w:rsidRPr="00CA377C">
        <w:rPr>
          <w:szCs w:val="24"/>
        </w:rPr>
        <w:t>rozlohe 2,12 ha</w:t>
      </w:r>
      <w:r w:rsidR="00B35A79" w:rsidRPr="00CA377C">
        <w:rPr>
          <w:szCs w:val="24"/>
        </w:rPr>
        <w:t xml:space="preserve">, ktorá je </w:t>
      </w:r>
      <w:r w:rsidRPr="00CA377C">
        <w:rPr>
          <w:szCs w:val="24"/>
        </w:rPr>
        <w:t>vynásobená sankciou v zmysle §</w:t>
      </w:r>
      <w:r w:rsidR="00B94465">
        <w:rPr>
          <w:szCs w:val="24"/>
        </w:rPr>
        <w:t xml:space="preserve"> </w:t>
      </w:r>
      <w:r w:rsidRPr="00CA377C">
        <w:rPr>
          <w:szCs w:val="24"/>
        </w:rPr>
        <w:t>1</w:t>
      </w:r>
      <w:r w:rsidR="00B94465">
        <w:rPr>
          <w:szCs w:val="24"/>
        </w:rPr>
        <w:t>7</w:t>
      </w:r>
      <w:r w:rsidRPr="00CA377C">
        <w:rPr>
          <w:szCs w:val="24"/>
        </w:rPr>
        <w:t xml:space="preserve"> nariadenia</w:t>
      </w:r>
      <w:r w:rsidR="005B4437" w:rsidRPr="005B4437">
        <w:t xml:space="preserve"> </w:t>
      </w:r>
      <w:r w:rsidR="005B4437">
        <w:t>vlády Slovenskej republiky</w:t>
      </w:r>
      <w:r w:rsidR="005B4437" w:rsidRPr="00CA377C">
        <w:rPr>
          <w:color w:val="auto"/>
          <w:szCs w:val="24"/>
        </w:rPr>
        <w:t xml:space="preserve"> </w:t>
      </w:r>
      <w:r w:rsidR="005B4437">
        <w:rPr>
          <w:color w:val="auto"/>
          <w:szCs w:val="24"/>
        </w:rPr>
        <w:t>č. 120/2023 Z. z.</w:t>
      </w:r>
      <w:r w:rsidRPr="00CA377C">
        <w:rPr>
          <w:szCs w:val="24"/>
        </w:rPr>
        <w:t xml:space="preserve">, kde sa plocha pre </w:t>
      </w:r>
      <w:r w:rsidR="00903557">
        <w:rPr>
          <w:szCs w:val="24"/>
        </w:rPr>
        <w:t>základnú podporu príjmu zníži o </w:t>
      </w:r>
      <w:proofErr w:type="spellStart"/>
      <w:r w:rsidR="00EA438C" w:rsidRPr="00CA377C">
        <w:rPr>
          <w:szCs w:val="24"/>
        </w:rPr>
        <w:t>dvadsaťpäťnásobok</w:t>
      </w:r>
      <w:proofErr w:type="spellEnd"/>
      <w:r w:rsidRPr="00CA377C">
        <w:rPr>
          <w:szCs w:val="24"/>
        </w:rPr>
        <w:t xml:space="preserve"> výmery plochy, na ktorej žiadateľ nezabezpečí plochu vysiatu zmesami pre opeľova</w:t>
      </w:r>
      <w:r w:rsidR="000573FD">
        <w:rPr>
          <w:szCs w:val="24"/>
        </w:rPr>
        <w:t xml:space="preserve">če podľa § 17 </w:t>
      </w:r>
      <w:r w:rsidR="005B4437">
        <w:rPr>
          <w:color w:val="auto"/>
          <w:szCs w:val="24"/>
        </w:rPr>
        <w:t xml:space="preserve">nariadenia vlády </w:t>
      </w:r>
      <w:r w:rsidR="005B4437">
        <w:rPr>
          <w:szCs w:val="24"/>
        </w:rPr>
        <w:t>Slovenskej republiky</w:t>
      </w:r>
      <w:r w:rsidR="000573FD">
        <w:rPr>
          <w:szCs w:val="24"/>
        </w:rPr>
        <w:t xml:space="preserve"> č. 436/2022 Z. z., ktoré je v</w:t>
      </w:r>
      <w:r w:rsidR="005B4437">
        <w:rPr>
          <w:szCs w:val="24"/>
        </w:rPr>
        <w:t> </w:t>
      </w:r>
      <w:r w:rsidR="000573FD">
        <w:rPr>
          <w:szCs w:val="24"/>
        </w:rPr>
        <w:t>súčasnosti</w:t>
      </w:r>
      <w:r w:rsidR="005B4437">
        <w:rPr>
          <w:szCs w:val="24"/>
        </w:rPr>
        <w:t xml:space="preserve"> </w:t>
      </w:r>
      <w:r w:rsidRPr="00CA377C">
        <w:rPr>
          <w:szCs w:val="24"/>
        </w:rPr>
        <w:t xml:space="preserve">v legislatívnom procese </w:t>
      </w:r>
      <w:r w:rsidR="00B35A79" w:rsidRPr="00CA377C">
        <w:rPr>
          <w:szCs w:val="24"/>
        </w:rPr>
        <w:t xml:space="preserve">a </w:t>
      </w:r>
      <w:r w:rsidRPr="00CA377C">
        <w:rPr>
          <w:szCs w:val="24"/>
        </w:rPr>
        <w:t xml:space="preserve">vynásobená platbou za ha v podpore </w:t>
      </w:r>
      <w:proofErr w:type="spellStart"/>
      <w:r w:rsidRPr="00CA377C">
        <w:rPr>
          <w:szCs w:val="24"/>
        </w:rPr>
        <w:t>celof</w:t>
      </w:r>
      <w:r w:rsidR="000573FD">
        <w:rPr>
          <w:szCs w:val="24"/>
        </w:rPr>
        <w:t>armovej</w:t>
      </w:r>
      <w:proofErr w:type="spellEnd"/>
      <w:r w:rsidR="000573FD">
        <w:rPr>
          <w:szCs w:val="24"/>
        </w:rPr>
        <w:t xml:space="preserve"> </w:t>
      </w:r>
      <w:proofErr w:type="spellStart"/>
      <w:r w:rsidR="000573FD">
        <w:rPr>
          <w:szCs w:val="24"/>
        </w:rPr>
        <w:t>eko</w:t>
      </w:r>
      <w:proofErr w:type="spellEnd"/>
      <w:r w:rsidR="000573FD">
        <w:rPr>
          <w:szCs w:val="24"/>
        </w:rPr>
        <w:t xml:space="preserve">-schémy o sume 64 ha, </w:t>
      </w:r>
      <w:r w:rsidR="00B35A79" w:rsidRPr="00CA377C">
        <w:rPr>
          <w:szCs w:val="24"/>
        </w:rPr>
        <w:t xml:space="preserve">ktorá bola vyplácaná za rok </w:t>
      </w:r>
      <w:r w:rsidRPr="00CA377C">
        <w:rPr>
          <w:szCs w:val="24"/>
        </w:rPr>
        <w:t>2023 (pre zjednodušenie bola vybraná poľnohospodárska plocha mimo chráneného územia). Zároveň sa sankcia</w:t>
      </w:r>
      <w:r w:rsidR="00B94465">
        <w:rPr>
          <w:szCs w:val="24"/>
        </w:rPr>
        <w:t>,</w:t>
      </w:r>
      <w:r w:rsidRPr="00CA377C">
        <w:rPr>
          <w:szCs w:val="24"/>
        </w:rPr>
        <w:t xml:space="preserve"> ktorá sa týka plôch vysiatych zmesami pre opeľovače</w:t>
      </w:r>
      <w:r w:rsidR="00B94465">
        <w:rPr>
          <w:szCs w:val="24"/>
        </w:rPr>
        <w:t>,</w:t>
      </w:r>
      <w:r w:rsidRPr="00CA377C">
        <w:rPr>
          <w:szCs w:val="24"/>
        </w:rPr>
        <w:t xml:space="preserve"> môže týkať 7309 subjektov. Ide o počet poľnohospodár</w:t>
      </w:r>
      <w:r w:rsidR="00903557">
        <w:rPr>
          <w:szCs w:val="24"/>
        </w:rPr>
        <w:t>s</w:t>
      </w:r>
      <w:r w:rsidRPr="00CA377C">
        <w:rPr>
          <w:szCs w:val="24"/>
        </w:rPr>
        <w:t>kych subjektov s</w:t>
      </w:r>
      <w:r w:rsidR="002E6EF6">
        <w:rPr>
          <w:szCs w:val="24"/>
        </w:rPr>
        <w:t xml:space="preserve"> výmerou</w:t>
      </w:r>
      <w:r w:rsidRPr="00CA377C">
        <w:rPr>
          <w:szCs w:val="24"/>
        </w:rPr>
        <w:t xml:space="preserve"> poľnohospodárskej plochy nad 10 ha v roku 2023.</w:t>
      </w:r>
      <w:r w:rsidR="007060C9" w:rsidRPr="007060C9">
        <w:rPr>
          <w:szCs w:val="24"/>
        </w:rPr>
        <w:t xml:space="preserve"> </w:t>
      </w:r>
      <w:r w:rsidR="007060C9">
        <w:rPr>
          <w:szCs w:val="24"/>
        </w:rPr>
        <w:t>V</w:t>
      </w:r>
      <w:r w:rsidR="007060C9" w:rsidRPr="00CA377C">
        <w:rPr>
          <w:szCs w:val="24"/>
        </w:rPr>
        <w:t xml:space="preserve"> percentuálnom vyjadrení sa u prijímateľa </w:t>
      </w:r>
      <w:proofErr w:type="spellStart"/>
      <w:r w:rsidR="007060C9" w:rsidRPr="00CA377C">
        <w:rPr>
          <w:szCs w:val="24"/>
        </w:rPr>
        <w:t>celofarmovej</w:t>
      </w:r>
      <w:proofErr w:type="spellEnd"/>
      <w:r w:rsidR="007060C9" w:rsidRPr="00CA377C">
        <w:rPr>
          <w:szCs w:val="24"/>
        </w:rPr>
        <w:t xml:space="preserve"> </w:t>
      </w:r>
      <w:proofErr w:type="spellStart"/>
      <w:r w:rsidR="007060C9" w:rsidRPr="00CA377C">
        <w:rPr>
          <w:szCs w:val="24"/>
        </w:rPr>
        <w:t>eko</w:t>
      </w:r>
      <w:proofErr w:type="spellEnd"/>
      <w:r w:rsidR="007060C9" w:rsidRPr="00CA377C">
        <w:rPr>
          <w:szCs w:val="24"/>
        </w:rPr>
        <w:t>-schémy zníženie</w:t>
      </w:r>
      <w:r w:rsidR="007060C9">
        <w:rPr>
          <w:szCs w:val="24"/>
        </w:rPr>
        <w:t xml:space="preserve"> navýši z doterajších 0,8 % na 3,3</w:t>
      </w:r>
      <w:r w:rsidR="007060C9" w:rsidRPr="00CA377C">
        <w:rPr>
          <w:szCs w:val="24"/>
        </w:rPr>
        <w:t xml:space="preserve"> % platby za hektár</w:t>
      </w:r>
      <w:r w:rsidR="003027FC">
        <w:rPr>
          <w:szCs w:val="24"/>
        </w:rPr>
        <w:t>.</w:t>
      </w:r>
    </w:p>
    <w:p w14:paraId="115312E8" w14:textId="663DF4D7" w:rsidR="003027FC" w:rsidRPr="00CA377C" w:rsidRDefault="003027FC" w:rsidP="003027FC">
      <w:pPr>
        <w:spacing w:line="240" w:lineRule="auto"/>
        <w:ind w:left="370"/>
        <w:rPr>
          <w:szCs w:val="24"/>
        </w:rPr>
      </w:pPr>
      <w:r w:rsidRPr="00CA377C">
        <w:rPr>
          <w:szCs w:val="24"/>
        </w:rPr>
        <w:t xml:space="preserve">V rámci podpory na zlepšenie životných podmienok zvierat podporou pastevného chovu bude zavedená povinnosť </w:t>
      </w:r>
      <w:r w:rsidR="002E6EF6">
        <w:rPr>
          <w:szCs w:val="24"/>
        </w:rPr>
        <w:t>nahlásiť</w:t>
      </w:r>
      <w:r w:rsidRPr="00CA377C">
        <w:rPr>
          <w:szCs w:val="24"/>
        </w:rPr>
        <w:t xml:space="preserve"> </w:t>
      </w:r>
      <w:r w:rsidR="002E6EF6">
        <w:rPr>
          <w:szCs w:val="24"/>
        </w:rPr>
        <w:t>nahrádzané</w:t>
      </w:r>
      <w:r w:rsidRPr="00CA377C">
        <w:rPr>
          <w:szCs w:val="24"/>
        </w:rPr>
        <w:t xml:space="preserve"> zvierat</w:t>
      </w:r>
      <w:r w:rsidR="002E6EF6">
        <w:rPr>
          <w:szCs w:val="24"/>
        </w:rPr>
        <w:t>á</w:t>
      </w:r>
      <w:r w:rsidRPr="00CA377C">
        <w:rPr>
          <w:szCs w:val="24"/>
        </w:rPr>
        <w:t>. Ide o nep</w:t>
      </w:r>
      <w:r w:rsidR="000573FD">
        <w:rPr>
          <w:szCs w:val="24"/>
        </w:rPr>
        <w:t xml:space="preserve">riamy náklad s odborným odhadom, </w:t>
      </w:r>
      <w:r w:rsidRPr="00CA377C">
        <w:rPr>
          <w:szCs w:val="24"/>
        </w:rPr>
        <w:t>kt</w:t>
      </w:r>
      <w:r w:rsidR="000573FD">
        <w:rPr>
          <w:szCs w:val="24"/>
        </w:rPr>
        <w:t xml:space="preserve">orý sa môže týkať 100 subjektov, </w:t>
      </w:r>
      <w:r w:rsidRPr="00CA377C">
        <w:rPr>
          <w:szCs w:val="24"/>
        </w:rPr>
        <w:t>pričom počet subjektov je stanovený iba odhadom. Náklady subjektov spočívajú okrem oboznámenia sa s</w:t>
      </w:r>
      <w:r w:rsidR="005B4437">
        <w:rPr>
          <w:szCs w:val="24"/>
        </w:rPr>
        <w:t xml:space="preserve"> právnym </w:t>
      </w:r>
      <w:r w:rsidRPr="00CA377C">
        <w:rPr>
          <w:szCs w:val="24"/>
        </w:rPr>
        <w:t>predpisom aj  v povinnosti nahlásenia náhrady zvierat elektronickým spôsobom. Zároveň ide o nepravidelnú povinnosť, ktorej frekvencia je závislá od toho, ako často si prijí</w:t>
      </w:r>
      <w:r w:rsidR="000573FD">
        <w:rPr>
          <w:szCs w:val="24"/>
        </w:rPr>
        <w:t>mateľ bude zvieratá nahrádzať. Vplyv</w:t>
      </w:r>
      <w:r w:rsidR="00E310CF">
        <w:rPr>
          <w:szCs w:val="24"/>
        </w:rPr>
        <w:t xml:space="preserve"> </w:t>
      </w:r>
      <w:r w:rsidRPr="00CA377C">
        <w:rPr>
          <w:szCs w:val="24"/>
        </w:rPr>
        <w:t>na podnikateľské prostredie je vyčíslený v analýze vply</w:t>
      </w:r>
      <w:r w:rsidR="000573FD">
        <w:rPr>
          <w:szCs w:val="24"/>
        </w:rPr>
        <w:t>vov na podnikateľské prostredie</w:t>
      </w:r>
      <w:r w:rsidR="00E310CF">
        <w:rPr>
          <w:szCs w:val="24"/>
        </w:rPr>
        <w:t xml:space="preserve"> </w:t>
      </w:r>
      <w:r w:rsidRPr="00CA377C">
        <w:rPr>
          <w:szCs w:val="24"/>
        </w:rPr>
        <w:t xml:space="preserve">v </w:t>
      </w:r>
      <w:r w:rsidR="005B4437">
        <w:rPr>
          <w:color w:val="auto"/>
          <w:szCs w:val="24"/>
        </w:rPr>
        <w:t xml:space="preserve">nariadení vlády </w:t>
      </w:r>
      <w:r w:rsidR="005B4437">
        <w:rPr>
          <w:szCs w:val="24"/>
        </w:rPr>
        <w:t>Slovenskej republiky</w:t>
      </w:r>
      <w:r w:rsidR="005B4437" w:rsidRPr="00CA377C" w:rsidDel="005B4437">
        <w:rPr>
          <w:szCs w:val="24"/>
        </w:rPr>
        <w:t xml:space="preserve"> </w:t>
      </w:r>
      <w:r w:rsidR="000573FD">
        <w:rPr>
          <w:szCs w:val="24"/>
        </w:rPr>
        <w:t xml:space="preserve">č. </w:t>
      </w:r>
      <w:r w:rsidRPr="00CA377C">
        <w:rPr>
          <w:szCs w:val="24"/>
        </w:rPr>
        <w:t>436/2022 Z. z.</w:t>
      </w:r>
      <w:r>
        <w:rPr>
          <w:szCs w:val="24"/>
        </w:rPr>
        <w:t>,</w:t>
      </w:r>
      <w:r w:rsidRPr="00CA377C">
        <w:rPr>
          <w:szCs w:val="24"/>
        </w:rPr>
        <w:t xml:space="preserve"> ktoré je v súčasnosti v legislatívnom procese so súhlasným stanoviskom stálej pracovnej komisie </w:t>
      </w:r>
      <w:r w:rsidRPr="00CA377C">
        <w:rPr>
          <w:szCs w:val="24"/>
        </w:rPr>
        <w:lastRenderedPageBreak/>
        <w:t xml:space="preserve">legislatívnej </w:t>
      </w:r>
      <w:r w:rsidR="000573FD">
        <w:rPr>
          <w:szCs w:val="24"/>
        </w:rPr>
        <w:t>rady vlády Slovenskej republiky</w:t>
      </w:r>
      <w:r w:rsidR="005B4437">
        <w:rPr>
          <w:szCs w:val="24"/>
        </w:rPr>
        <w:t xml:space="preserve"> </w:t>
      </w:r>
      <w:r w:rsidRPr="00CA377C">
        <w:rPr>
          <w:szCs w:val="24"/>
        </w:rPr>
        <w:t>na posudzovanie vy</w:t>
      </w:r>
      <w:r w:rsidR="000573FD">
        <w:rPr>
          <w:szCs w:val="24"/>
        </w:rPr>
        <w:t xml:space="preserve">braných vplyvov </w:t>
      </w:r>
      <w:r w:rsidR="00E310CF">
        <w:rPr>
          <w:szCs w:val="24"/>
        </w:rPr>
        <w:t xml:space="preserve">                 </w:t>
      </w:r>
      <w:r w:rsidR="000573FD">
        <w:rPr>
          <w:szCs w:val="24"/>
        </w:rPr>
        <w:t>č. 197_2/2024.</w:t>
      </w:r>
    </w:p>
    <w:p w14:paraId="6FF12831" w14:textId="69169459" w:rsidR="005972CA" w:rsidRPr="00CA377C" w:rsidRDefault="000B55F8" w:rsidP="00EF0633">
      <w:pPr>
        <w:pStyle w:val="Odsekzoznamu"/>
        <w:numPr>
          <w:ilvl w:val="0"/>
          <w:numId w:val="4"/>
        </w:numPr>
        <w:spacing w:line="240" w:lineRule="auto"/>
        <w:rPr>
          <w:szCs w:val="24"/>
        </w:rPr>
      </w:pPr>
      <w:r w:rsidRPr="00CA377C">
        <w:rPr>
          <w:szCs w:val="24"/>
        </w:rPr>
        <w:t xml:space="preserve">Za pozitívny vplyv na podnikateľské prostredie je možné označiť </w:t>
      </w:r>
      <w:r w:rsidRPr="00CA377C">
        <w:rPr>
          <w:color w:val="000000" w:themeColor="text1"/>
          <w:szCs w:val="24"/>
        </w:rPr>
        <w:t>zabezpečenie jednoznačného výklad</w:t>
      </w:r>
      <w:r w:rsidR="005972CA" w:rsidRPr="00CA377C">
        <w:rPr>
          <w:color w:val="000000" w:themeColor="text1"/>
          <w:szCs w:val="24"/>
        </w:rPr>
        <w:t>u</w:t>
      </w:r>
      <w:r w:rsidRPr="00CA377C">
        <w:rPr>
          <w:color w:val="000000" w:themeColor="text1"/>
          <w:szCs w:val="24"/>
        </w:rPr>
        <w:t xml:space="preserve"> pravidiel predkladania žiadostí o priame podpory</w:t>
      </w:r>
      <w:r w:rsidR="005B4437" w:rsidRPr="005B4437">
        <w:rPr>
          <w:color w:val="000000" w:themeColor="text1"/>
          <w:szCs w:val="24"/>
        </w:rPr>
        <w:t xml:space="preserve"> </w:t>
      </w:r>
      <w:r w:rsidR="005B4437">
        <w:rPr>
          <w:color w:val="000000" w:themeColor="text1"/>
          <w:szCs w:val="24"/>
        </w:rPr>
        <w:t>v návrhu nariadenia vlády</w:t>
      </w:r>
      <w:r w:rsidRPr="00CA377C">
        <w:rPr>
          <w:szCs w:val="24"/>
        </w:rPr>
        <w:t xml:space="preserve">, a to napríklad v prípade oneskoreného predloženia žiadosti </w:t>
      </w:r>
      <w:r w:rsidR="005B4437">
        <w:rPr>
          <w:szCs w:val="24"/>
        </w:rPr>
        <w:t>podľa</w:t>
      </w:r>
      <w:r w:rsidR="005B4437" w:rsidRPr="00CA377C">
        <w:rPr>
          <w:szCs w:val="24"/>
        </w:rPr>
        <w:t xml:space="preserve"> </w:t>
      </w:r>
      <w:r w:rsidRPr="00CA377C">
        <w:rPr>
          <w:szCs w:val="24"/>
        </w:rPr>
        <w:t xml:space="preserve">§ 6 </w:t>
      </w:r>
      <w:r w:rsidR="00E310CF">
        <w:rPr>
          <w:szCs w:val="24"/>
        </w:rPr>
        <w:t xml:space="preserve">     </w:t>
      </w:r>
      <w:r w:rsidRPr="00CA377C">
        <w:rPr>
          <w:szCs w:val="24"/>
        </w:rPr>
        <w:t xml:space="preserve">ods. 2 alebo </w:t>
      </w:r>
      <w:r w:rsidR="00EF0633">
        <w:rPr>
          <w:szCs w:val="24"/>
        </w:rPr>
        <w:t>v</w:t>
      </w:r>
      <w:r w:rsidR="005B4437">
        <w:rPr>
          <w:szCs w:val="24"/>
        </w:rPr>
        <w:t> </w:t>
      </w:r>
      <w:r w:rsidR="00EF0633">
        <w:rPr>
          <w:szCs w:val="24"/>
        </w:rPr>
        <w:t>prípade</w:t>
      </w:r>
      <w:r w:rsidR="005B4437">
        <w:rPr>
          <w:szCs w:val="24"/>
        </w:rPr>
        <w:t xml:space="preserve"> postupu podľa</w:t>
      </w:r>
      <w:r w:rsidR="00EF0633">
        <w:rPr>
          <w:szCs w:val="24"/>
        </w:rPr>
        <w:t xml:space="preserve"> </w:t>
      </w:r>
      <w:r w:rsidR="00EF0633" w:rsidRPr="00EF0633">
        <w:rPr>
          <w:szCs w:val="24"/>
        </w:rPr>
        <w:t>§ 29 ods. 2 a 3</w:t>
      </w:r>
      <w:r w:rsidR="00EF0633">
        <w:rPr>
          <w:szCs w:val="24"/>
        </w:rPr>
        <w:t>, kde dochádza k pojmovému zosúladeniu</w:t>
      </w:r>
      <w:r w:rsidRPr="00CA377C">
        <w:rPr>
          <w:szCs w:val="24"/>
        </w:rPr>
        <w:t xml:space="preserve"> so zákonom č. 504/2003 Z. z. </w:t>
      </w:r>
      <w:r w:rsidR="005972CA" w:rsidRPr="00CA377C">
        <w:rPr>
          <w:szCs w:val="24"/>
        </w:rPr>
        <w:t>o nájme poľnohospodárskych pozemkov, poľnohospodárskeho podniku a lesných pozemkov a o zmene niektorých zákonov v znení neskorších predpisov.</w:t>
      </w:r>
      <w:r w:rsidR="00EF0633">
        <w:rPr>
          <w:szCs w:val="24"/>
        </w:rPr>
        <w:t xml:space="preserve"> Pôdohospodárska platobná agentúra v roku 2025 neplánuje meniť zaužíva</w:t>
      </w:r>
      <w:r w:rsidR="000573FD">
        <w:rPr>
          <w:szCs w:val="24"/>
        </w:rPr>
        <w:t xml:space="preserve">ný spôsob predkladania údajov a </w:t>
      </w:r>
      <w:r w:rsidR="00EF0633">
        <w:rPr>
          <w:szCs w:val="24"/>
        </w:rPr>
        <w:t>in</w:t>
      </w:r>
      <w:r w:rsidR="000573FD">
        <w:rPr>
          <w:szCs w:val="24"/>
        </w:rPr>
        <w:t xml:space="preserve">formácií z evidencie pozemkov z </w:t>
      </w:r>
      <w:r w:rsidR="00EF0633">
        <w:rPr>
          <w:szCs w:val="24"/>
        </w:rPr>
        <w:t>rokov 2023 a 2024.</w:t>
      </w:r>
    </w:p>
    <w:p w14:paraId="119FD464" w14:textId="77777777" w:rsidR="000B55F8" w:rsidRPr="00CA377C" w:rsidRDefault="000B55F8" w:rsidP="00CA377C">
      <w:pPr>
        <w:spacing w:line="240" w:lineRule="auto"/>
        <w:rPr>
          <w:szCs w:val="24"/>
        </w:rPr>
      </w:pPr>
    </w:p>
    <w:sectPr w:rsidR="000B55F8" w:rsidRPr="00CA377C">
      <w:headerReference w:type="even" r:id="rId19"/>
      <w:headerReference w:type="default" r:id="rId20"/>
      <w:footerReference w:type="even" r:id="rId21"/>
      <w:footerReference w:type="default" r:id="rId22"/>
      <w:headerReference w:type="first" r:id="rId23"/>
      <w:footerReference w:type="first" r:id="rId24"/>
      <w:pgSz w:w="11906" w:h="16838"/>
      <w:pgMar w:top="1464" w:right="1413" w:bottom="1604" w:left="1396" w:header="713"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1DFF4" w14:textId="77777777" w:rsidR="007A21DA" w:rsidRDefault="007A21DA">
      <w:pPr>
        <w:spacing w:after="0" w:line="240" w:lineRule="auto"/>
      </w:pPr>
      <w:r>
        <w:separator/>
      </w:r>
    </w:p>
  </w:endnote>
  <w:endnote w:type="continuationSeparator" w:id="0">
    <w:p w14:paraId="07E89E76" w14:textId="77777777" w:rsidR="007A21DA" w:rsidRDefault="007A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D6B9" w14:textId="77777777" w:rsidR="007D6CC1" w:rsidRDefault="007D6CC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87657"/>
      <w:docPartObj>
        <w:docPartGallery w:val="Page Numbers (Bottom of Page)"/>
        <w:docPartUnique/>
      </w:docPartObj>
    </w:sdtPr>
    <w:sdtContent>
      <w:p w14:paraId="4FCA1069" w14:textId="21F9DF0E" w:rsidR="007D6CC1" w:rsidRDefault="00E76D00" w:rsidP="00E76D00">
        <w:pPr>
          <w:pStyle w:val="Pta"/>
          <w:jc w:val="center"/>
        </w:pPr>
        <w:r>
          <w:fldChar w:fldCharType="begin"/>
        </w:r>
        <w:r>
          <w:instrText>PAGE   \* MERGEFORMAT</w:instrText>
        </w:r>
        <w:r>
          <w:fldChar w:fldCharType="separate"/>
        </w:r>
        <w:r>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957C" w14:textId="77777777" w:rsidR="007D6CC1" w:rsidRDefault="007D6CC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E0C6" w14:textId="77777777" w:rsidR="007D6CC1" w:rsidRDefault="007D6CC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690587"/>
      <w:docPartObj>
        <w:docPartGallery w:val="Page Numbers (Bottom of Page)"/>
        <w:docPartUnique/>
      </w:docPartObj>
    </w:sdtPr>
    <w:sdtContent>
      <w:p w14:paraId="0EFAE25E" w14:textId="239A9720" w:rsidR="007D6CC1" w:rsidRDefault="00E76D00" w:rsidP="00E76D00">
        <w:pPr>
          <w:pStyle w:val="Pta"/>
          <w:jc w:val="center"/>
        </w:pPr>
        <w:r>
          <w:fldChar w:fldCharType="begin"/>
        </w:r>
        <w:r>
          <w:instrText>PAGE   \* MERGEFORMAT</w:instrText>
        </w:r>
        <w:r>
          <w:fldChar w:fldCharType="separate"/>
        </w:r>
        <w:r>
          <w:rPr>
            <w:noProof/>
          </w:rPr>
          <w:t>10</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D48" w14:textId="77777777" w:rsidR="007D6CC1" w:rsidRDefault="007D6CC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C6B7" w14:textId="77777777" w:rsidR="007D6CC1" w:rsidRDefault="00C96B35">
    <w:pPr>
      <w:spacing w:after="0" w:line="259" w:lineRule="auto"/>
      <w:ind w:left="0" w:right="4" w:firstLine="0"/>
      <w:jc w:val="right"/>
    </w:pPr>
    <w:r>
      <w:fldChar w:fldCharType="begin"/>
    </w:r>
    <w:r>
      <w:instrText xml:space="preserve"> PAGE   \* MERGEFORMAT </w:instrText>
    </w:r>
    <w:r>
      <w:fldChar w:fldCharType="separate"/>
    </w:r>
    <w:r>
      <w:t>4</w:t>
    </w:r>
    <w:r>
      <w:fldChar w:fldCharType="end"/>
    </w:r>
    <w:r>
      <w:t xml:space="preserve"> </w:t>
    </w:r>
  </w:p>
  <w:p w14:paraId="2DFD1FA4" w14:textId="77777777" w:rsidR="007D6CC1" w:rsidRDefault="00C96B35">
    <w:pPr>
      <w:spacing w:after="0" w:line="259" w:lineRule="auto"/>
      <w:ind w:left="20" w:right="0" w:firstLine="0"/>
      <w:jc w:val="left"/>
    </w:pPr>
    <w:r>
      <w:rPr>
        <w:rFonts w:ascii="Calibri" w:eastAsia="Calibri" w:hAnsi="Calibri" w:cs="Calibri"/>
      </w:rPr>
      <w:t xml:space="preserve"> </w:t>
    </w:r>
  </w:p>
  <w:p w14:paraId="62B3A327" w14:textId="77777777" w:rsidR="007D6CC1" w:rsidRDefault="00C96B35">
    <w:pPr>
      <w:spacing w:after="0" w:line="259" w:lineRule="auto"/>
      <w:ind w:left="2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19357"/>
      <w:docPartObj>
        <w:docPartGallery w:val="Page Numbers (Bottom of Page)"/>
        <w:docPartUnique/>
      </w:docPartObj>
    </w:sdtPr>
    <w:sdtContent>
      <w:p w14:paraId="36AD7AD1" w14:textId="2451054E" w:rsidR="007D6CC1" w:rsidRDefault="00E76D00" w:rsidP="00E76D00">
        <w:pPr>
          <w:pStyle w:val="Pta"/>
          <w:jc w:val="center"/>
        </w:pPr>
        <w:r>
          <w:fldChar w:fldCharType="begin"/>
        </w:r>
        <w:r>
          <w:instrText>PAGE   \* MERGEFORMAT</w:instrText>
        </w:r>
        <w:r>
          <w:fldChar w:fldCharType="separate"/>
        </w:r>
        <w:r>
          <w:rPr>
            <w:noProof/>
          </w:rPr>
          <w:t>14</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E3AE" w14:textId="77777777" w:rsidR="007D6CC1" w:rsidRDefault="00C96B35">
    <w:pPr>
      <w:spacing w:after="0" w:line="259" w:lineRule="auto"/>
      <w:ind w:left="0" w:right="4" w:firstLine="0"/>
      <w:jc w:val="right"/>
    </w:pPr>
    <w:r>
      <w:fldChar w:fldCharType="begin"/>
    </w:r>
    <w:r>
      <w:instrText xml:space="preserve"> PAGE   \* MERGEFORMAT </w:instrText>
    </w:r>
    <w:r>
      <w:fldChar w:fldCharType="separate"/>
    </w:r>
    <w:r>
      <w:t>4</w:t>
    </w:r>
    <w:r>
      <w:fldChar w:fldCharType="end"/>
    </w:r>
    <w:r>
      <w:t xml:space="preserve"> </w:t>
    </w:r>
  </w:p>
  <w:p w14:paraId="05E86DCB" w14:textId="77777777" w:rsidR="007D6CC1" w:rsidRDefault="00C96B35">
    <w:pPr>
      <w:spacing w:after="0" w:line="259" w:lineRule="auto"/>
      <w:ind w:left="20" w:right="0" w:firstLine="0"/>
      <w:jc w:val="left"/>
    </w:pPr>
    <w:r>
      <w:rPr>
        <w:rFonts w:ascii="Calibri" w:eastAsia="Calibri" w:hAnsi="Calibri" w:cs="Calibri"/>
      </w:rPr>
      <w:t xml:space="preserve"> </w:t>
    </w:r>
  </w:p>
  <w:p w14:paraId="40C8C795" w14:textId="77777777" w:rsidR="007D6CC1" w:rsidRDefault="00C96B35">
    <w:pPr>
      <w:spacing w:after="0" w:line="259" w:lineRule="auto"/>
      <w:ind w:left="2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0597" w14:textId="77777777" w:rsidR="007A21DA" w:rsidRDefault="007A21DA">
      <w:pPr>
        <w:spacing w:after="0" w:line="240" w:lineRule="auto"/>
      </w:pPr>
      <w:r>
        <w:separator/>
      </w:r>
    </w:p>
  </w:footnote>
  <w:footnote w:type="continuationSeparator" w:id="0">
    <w:p w14:paraId="208555A7" w14:textId="77777777" w:rsidR="007A21DA" w:rsidRDefault="007A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7950" w14:textId="77777777" w:rsidR="007D6CC1" w:rsidRDefault="007D6CC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FCC2" w14:textId="77777777" w:rsidR="007D6CC1" w:rsidRDefault="007D6CC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DE96" w14:textId="77777777" w:rsidR="007D6CC1" w:rsidRDefault="007D6CC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DAC8" w14:textId="77777777" w:rsidR="007D6CC1" w:rsidRDefault="007D6CC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298A" w14:textId="77777777" w:rsidR="007D6CC1" w:rsidRDefault="007D6CC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577E" w14:textId="77777777" w:rsidR="007D6CC1" w:rsidRDefault="007D6CC1">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5F19" w14:textId="77777777" w:rsidR="007D6CC1" w:rsidRDefault="00C96B35">
    <w:pPr>
      <w:spacing w:after="0" w:line="259" w:lineRule="auto"/>
      <w:ind w:left="0" w:right="5" w:firstLine="0"/>
      <w:jc w:val="right"/>
    </w:pPr>
    <w:r>
      <w:t xml:space="preserve">Príloha č. 3a </w:t>
    </w:r>
  </w:p>
  <w:p w14:paraId="0EBD2A29" w14:textId="77777777" w:rsidR="007D6CC1" w:rsidRDefault="00C96B35">
    <w:pPr>
      <w:spacing w:after="0" w:line="259" w:lineRule="auto"/>
      <w:ind w:left="20"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ADBC" w14:textId="7013B016" w:rsidR="007D6CC1" w:rsidRDefault="007D6CC1">
    <w:pPr>
      <w:spacing w:after="0" w:line="259" w:lineRule="auto"/>
      <w:ind w:left="2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C140" w14:textId="77777777" w:rsidR="007D6CC1" w:rsidRDefault="00C96B35">
    <w:pPr>
      <w:spacing w:after="0" w:line="259" w:lineRule="auto"/>
      <w:ind w:left="0" w:right="5" w:firstLine="0"/>
      <w:jc w:val="right"/>
    </w:pPr>
    <w:r>
      <w:t xml:space="preserve">Príloha č. 3a </w:t>
    </w:r>
  </w:p>
  <w:p w14:paraId="5C146BFF" w14:textId="77777777" w:rsidR="007D6CC1" w:rsidRDefault="00C96B35">
    <w:pPr>
      <w:spacing w:after="0" w:line="259" w:lineRule="auto"/>
      <w:ind w:left="2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654D"/>
    <w:multiLevelType w:val="hybridMultilevel"/>
    <w:tmpl w:val="2C589F3A"/>
    <w:lvl w:ilvl="0" w:tplc="18CC8C52">
      <w:start w:val="1"/>
      <w:numFmt w:val="lowerLetter"/>
      <w:lvlText w:val="%1)"/>
      <w:lvlJc w:val="left"/>
      <w:pPr>
        <w:ind w:left="7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EB4812E">
      <w:start w:val="1"/>
      <w:numFmt w:val="lowerLetter"/>
      <w:lvlText w:val="%2"/>
      <w:lvlJc w:val="left"/>
      <w:pPr>
        <w:ind w:left="14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18AF24">
      <w:start w:val="1"/>
      <w:numFmt w:val="lowerRoman"/>
      <w:lvlText w:val="%3"/>
      <w:lvlJc w:val="left"/>
      <w:pPr>
        <w:ind w:left="2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6BE8648">
      <w:start w:val="1"/>
      <w:numFmt w:val="decimal"/>
      <w:lvlText w:val="%4"/>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24C6C22">
      <w:start w:val="1"/>
      <w:numFmt w:val="lowerLetter"/>
      <w:lvlText w:val="%5"/>
      <w:lvlJc w:val="left"/>
      <w:pPr>
        <w:ind w:left="36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CB499CE">
      <w:start w:val="1"/>
      <w:numFmt w:val="lowerRoman"/>
      <w:lvlText w:val="%6"/>
      <w:lvlJc w:val="left"/>
      <w:pPr>
        <w:ind w:left="43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2CECC2">
      <w:start w:val="1"/>
      <w:numFmt w:val="decimal"/>
      <w:lvlText w:val="%7"/>
      <w:lvlJc w:val="left"/>
      <w:pPr>
        <w:ind w:left="50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620F976">
      <w:start w:val="1"/>
      <w:numFmt w:val="lowerLetter"/>
      <w:lvlText w:val="%8"/>
      <w:lvlJc w:val="left"/>
      <w:pPr>
        <w:ind w:left="57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6B02C66">
      <w:start w:val="1"/>
      <w:numFmt w:val="lowerRoman"/>
      <w:lvlText w:val="%9"/>
      <w:lvlJc w:val="left"/>
      <w:pPr>
        <w:ind w:left="65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425BDD"/>
    <w:multiLevelType w:val="hybridMultilevel"/>
    <w:tmpl w:val="FB662F1C"/>
    <w:lvl w:ilvl="0" w:tplc="9C285178">
      <w:start w:val="1"/>
      <w:numFmt w:val="bullet"/>
      <w:lvlText w:val="˗"/>
      <w:lvlJc w:val="left"/>
      <w:pPr>
        <w:ind w:left="781" w:hanging="360"/>
      </w:pPr>
      <w:rPr>
        <w:rFonts w:ascii="Arial" w:hAnsi="Arial" w:hint="default"/>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2" w15:restartNumberingAfterBreak="0">
    <w:nsid w:val="77361F2F"/>
    <w:multiLevelType w:val="hybridMultilevel"/>
    <w:tmpl w:val="37BEC0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7AFA1D39"/>
    <w:multiLevelType w:val="hybridMultilevel"/>
    <w:tmpl w:val="92A09892"/>
    <w:lvl w:ilvl="0" w:tplc="A93A9FEE">
      <w:start w:val="1"/>
      <w:numFmt w:val="decimal"/>
      <w:lvlText w:val="%1."/>
      <w:lvlJc w:val="left"/>
      <w:pPr>
        <w:ind w:left="7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250A8D2">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E603D16">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53AFB00">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4CDD1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7C0CA40">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9AAEBE2">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42C05AC">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8D61528">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C1"/>
    <w:rsid w:val="000573FD"/>
    <w:rsid w:val="000A7404"/>
    <w:rsid w:val="000B4B7C"/>
    <w:rsid w:val="000B55F8"/>
    <w:rsid w:val="000D4B92"/>
    <w:rsid w:val="00103A91"/>
    <w:rsid w:val="001221E9"/>
    <w:rsid w:val="00153933"/>
    <w:rsid w:val="00170248"/>
    <w:rsid w:val="001E5A2D"/>
    <w:rsid w:val="001F4DCB"/>
    <w:rsid w:val="00203C94"/>
    <w:rsid w:val="002047A8"/>
    <w:rsid w:val="00241F15"/>
    <w:rsid w:val="0028716B"/>
    <w:rsid w:val="002E6EF6"/>
    <w:rsid w:val="002F6F00"/>
    <w:rsid w:val="003027FC"/>
    <w:rsid w:val="003074FF"/>
    <w:rsid w:val="003435CE"/>
    <w:rsid w:val="0035756B"/>
    <w:rsid w:val="00366AEC"/>
    <w:rsid w:val="0036743C"/>
    <w:rsid w:val="0041696B"/>
    <w:rsid w:val="00432472"/>
    <w:rsid w:val="004A0E01"/>
    <w:rsid w:val="004A1465"/>
    <w:rsid w:val="004A4931"/>
    <w:rsid w:val="004C6EBE"/>
    <w:rsid w:val="004D6332"/>
    <w:rsid w:val="00500EDE"/>
    <w:rsid w:val="0054351F"/>
    <w:rsid w:val="005502C8"/>
    <w:rsid w:val="005972CA"/>
    <w:rsid w:val="005B1DF7"/>
    <w:rsid w:val="005B4437"/>
    <w:rsid w:val="005E50F7"/>
    <w:rsid w:val="00625101"/>
    <w:rsid w:val="00631A4C"/>
    <w:rsid w:val="006508AE"/>
    <w:rsid w:val="00694684"/>
    <w:rsid w:val="006A367B"/>
    <w:rsid w:val="007060C9"/>
    <w:rsid w:val="0073258C"/>
    <w:rsid w:val="00752D29"/>
    <w:rsid w:val="00754093"/>
    <w:rsid w:val="007A21DA"/>
    <w:rsid w:val="007D5E40"/>
    <w:rsid w:val="007D6CC1"/>
    <w:rsid w:val="008903A8"/>
    <w:rsid w:val="008B7CBB"/>
    <w:rsid w:val="008D5C85"/>
    <w:rsid w:val="008E0A7A"/>
    <w:rsid w:val="00903557"/>
    <w:rsid w:val="00911D4F"/>
    <w:rsid w:val="00952BFE"/>
    <w:rsid w:val="00965F87"/>
    <w:rsid w:val="00977C0F"/>
    <w:rsid w:val="00983C45"/>
    <w:rsid w:val="009957AA"/>
    <w:rsid w:val="009C1259"/>
    <w:rsid w:val="009C3432"/>
    <w:rsid w:val="009D3B8B"/>
    <w:rsid w:val="00A16DD7"/>
    <w:rsid w:val="00A23445"/>
    <w:rsid w:val="00A55984"/>
    <w:rsid w:val="00AB6720"/>
    <w:rsid w:val="00AF0A30"/>
    <w:rsid w:val="00AF2364"/>
    <w:rsid w:val="00B2367D"/>
    <w:rsid w:val="00B35A79"/>
    <w:rsid w:val="00B42B71"/>
    <w:rsid w:val="00B51C70"/>
    <w:rsid w:val="00B94465"/>
    <w:rsid w:val="00BD77C4"/>
    <w:rsid w:val="00BF2767"/>
    <w:rsid w:val="00C61EAF"/>
    <w:rsid w:val="00C813B3"/>
    <w:rsid w:val="00C96B35"/>
    <w:rsid w:val="00CA377C"/>
    <w:rsid w:val="00CE0EAF"/>
    <w:rsid w:val="00D939E6"/>
    <w:rsid w:val="00DA2F18"/>
    <w:rsid w:val="00DE51E1"/>
    <w:rsid w:val="00E121D7"/>
    <w:rsid w:val="00E310CF"/>
    <w:rsid w:val="00E50E83"/>
    <w:rsid w:val="00E70268"/>
    <w:rsid w:val="00E76D00"/>
    <w:rsid w:val="00E963D7"/>
    <w:rsid w:val="00EA438C"/>
    <w:rsid w:val="00EA6B36"/>
    <w:rsid w:val="00EB3829"/>
    <w:rsid w:val="00EF0633"/>
    <w:rsid w:val="00F575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D5E1"/>
  <w15:docId w15:val="{62F5C6B9-7886-4C6A-96A9-FE07117E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77" w:line="282" w:lineRule="auto"/>
      <w:ind w:left="10" w:right="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122"/>
      <w:ind w:right="3"/>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200"/>
      <w:ind w:left="20"/>
      <w:outlineLvl w:val="1"/>
    </w:pPr>
    <w:rPr>
      <w:rFonts w:ascii="Times New Roman" w:eastAsia="Times New Roman" w:hAnsi="Times New Roman" w:cs="Times New Roman"/>
      <w:b/>
      <w:i/>
      <w:color w:val="000000"/>
      <w:sz w:val="24"/>
      <w:u w:val="single" w:color="000000"/>
    </w:rPr>
  </w:style>
  <w:style w:type="paragraph" w:styleId="Nadpis3">
    <w:name w:val="heading 3"/>
    <w:next w:val="Normlny"/>
    <w:link w:val="Nadpis3Char"/>
    <w:uiPriority w:val="9"/>
    <w:unhideWhenUsed/>
    <w:qFormat/>
    <w:pPr>
      <w:keepNext/>
      <w:keepLines/>
      <w:spacing w:after="153"/>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i/>
      <w:color w:val="000000"/>
      <w:sz w:val="24"/>
      <w:u w:val="single" w:color="000000"/>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B55F8"/>
    <w:pPr>
      <w:ind w:left="720"/>
      <w:contextualSpacing/>
    </w:pPr>
  </w:style>
  <w:style w:type="paragraph" w:styleId="Textbubliny">
    <w:name w:val="Balloon Text"/>
    <w:basedOn w:val="Normlny"/>
    <w:link w:val="TextbublinyChar"/>
    <w:uiPriority w:val="99"/>
    <w:semiHidden/>
    <w:unhideWhenUsed/>
    <w:rsid w:val="005972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72CA"/>
    <w:rPr>
      <w:rFonts w:ascii="Segoe UI" w:eastAsia="Times New Roman" w:hAnsi="Segoe UI" w:cs="Segoe UI"/>
      <w:color w:val="000000"/>
      <w:sz w:val="18"/>
      <w:szCs w:val="18"/>
    </w:rPr>
  </w:style>
  <w:style w:type="paragraph" w:customStyle="1" w:styleId="gmail-m-1648484718305530482msolistparagraph">
    <w:name w:val="gmail-m_-1648484718305530482msolistparagraph"/>
    <w:basedOn w:val="Normlny"/>
    <w:rsid w:val="0035756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Odkaznakomentr">
    <w:name w:val="annotation reference"/>
    <w:basedOn w:val="Predvolenpsmoodseku"/>
    <w:uiPriority w:val="99"/>
    <w:semiHidden/>
    <w:unhideWhenUsed/>
    <w:rsid w:val="000A7404"/>
    <w:rPr>
      <w:sz w:val="16"/>
      <w:szCs w:val="16"/>
    </w:rPr>
  </w:style>
  <w:style w:type="paragraph" w:styleId="Textkomentra">
    <w:name w:val="annotation text"/>
    <w:basedOn w:val="Normlny"/>
    <w:link w:val="TextkomentraChar"/>
    <w:uiPriority w:val="99"/>
    <w:semiHidden/>
    <w:unhideWhenUsed/>
    <w:rsid w:val="000A7404"/>
    <w:pPr>
      <w:spacing w:line="240" w:lineRule="auto"/>
    </w:pPr>
    <w:rPr>
      <w:sz w:val="20"/>
      <w:szCs w:val="20"/>
    </w:rPr>
  </w:style>
  <w:style w:type="character" w:customStyle="1" w:styleId="TextkomentraChar">
    <w:name w:val="Text komentára Char"/>
    <w:basedOn w:val="Predvolenpsmoodseku"/>
    <w:link w:val="Textkomentra"/>
    <w:uiPriority w:val="99"/>
    <w:semiHidden/>
    <w:rsid w:val="000A7404"/>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0A7404"/>
    <w:rPr>
      <w:b/>
      <w:bCs/>
    </w:rPr>
  </w:style>
  <w:style w:type="character" w:customStyle="1" w:styleId="PredmetkomentraChar">
    <w:name w:val="Predmet komentára Char"/>
    <w:basedOn w:val="TextkomentraChar"/>
    <w:link w:val="Predmetkomentra"/>
    <w:uiPriority w:val="99"/>
    <w:semiHidden/>
    <w:rsid w:val="000A7404"/>
    <w:rPr>
      <w:rFonts w:ascii="Times New Roman" w:eastAsia="Times New Roman" w:hAnsi="Times New Roman" w:cs="Times New Roman"/>
      <w:b/>
      <w:bCs/>
      <w:color w:val="000000"/>
      <w:sz w:val="20"/>
      <w:szCs w:val="20"/>
    </w:rPr>
  </w:style>
  <w:style w:type="paragraph" w:styleId="Pta">
    <w:name w:val="footer"/>
    <w:basedOn w:val="Normlny"/>
    <w:link w:val="PtaChar"/>
    <w:uiPriority w:val="99"/>
    <w:unhideWhenUsed/>
    <w:rsid w:val="00E76D0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E76D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2216">
      <w:bodyDiv w:val="1"/>
      <w:marLeft w:val="0"/>
      <w:marRight w:val="0"/>
      <w:marTop w:val="0"/>
      <w:marBottom w:val="0"/>
      <w:divBdr>
        <w:top w:val="none" w:sz="0" w:space="0" w:color="auto"/>
        <w:left w:val="none" w:sz="0" w:space="0" w:color="auto"/>
        <w:bottom w:val="none" w:sz="0" w:space="0" w:color="auto"/>
        <w:right w:val="none" w:sz="0" w:space="0" w:color="auto"/>
      </w:divBdr>
    </w:div>
    <w:div w:id="544684128">
      <w:bodyDiv w:val="1"/>
      <w:marLeft w:val="0"/>
      <w:marRight w:val="0"/>
      <w:marTop w:val="0"/>
      <w:marBottom w:val="0"/>
      <w:divBdr>
        <w:top w:val="none" w:sz="0" w:space="0" w:color="auto"/>
        <w:left w:val="none" w:sz="0" w:space="0" w:color="auto"/>
        <w:bottom w:val="none" w:sz="0" w:space="0" w:color="auto"/>
        <w:right w:val="none" w:sz="0" w:space="0" w:color="auto"/>
      </w:divBdr>
    </w:div>
    <w:div w:id="567110468">
      <w:bodyDiv w:val="1"/>
      <w:marLeft w:val="0"/>
      <w:marRight w:val="0"/>
      <w:marTop w:val="0"/>
      <w:marBottom w:val="0"/>
      <w:divBdr>
        <w:top w:val="none" w:sz="0" w:space="0" w:color="auto"/>
        <w:left w:val="none" w:sz="0" w:space="0" w:color="auto"/>
        <w:bottom w:val="none" w:sz="0" w:space="0" w:color="auto"/>
        <w:right w:val="none" w:sz="0" w:space="0" w:color="auto"/>
      </w:divBdr>
    </w:div>
    <w:div w:id="585303126">
      <w:bodyDiv w:val="1"/>
      <w:marLeft w:val="0"/>
      <w:marRight w:val="0"/>
      <w:marTop w:val="0"/>
      <w:marBottom w:val="0"/>
      <w:divBdr>
        <w:top w:val="none" w:sz="0" w:space="0" w:color="auto"/>
        <w:left w:val="none" w:sz="0" w:space="0" w:color="auto"/>
        <w:bottom w:val="none" w:sz="0" w:space="0" w:color="auto"/>
        <w:right w:val="none" w:sz="0" w:space="0" w:color="auto"/>
      </w:divBdr>
    </w:div>
    <w:div w:id="682902733">
      <w:bodyDiv w:val="1"/>
      <w:marLeft w:val="0"/>
      <w:marRight w:val="0"/>
      <w:marTop w:val="0"/>
      <w:marBottom w:val="0"/>
      <w:divBdr>
        <w:top w:val="none" w:sz="0" w:space="0" w:color="auto"/>
        <w:left w:val="none" w:sz="0" w:space="0" w:color="auto"/>
        <w:bottom w:val="none" w:sz="0" w:space="0" w:color="auto"/>
        <w:right w:val="none" w:sz="0" w:space="0" w:color="auto"/>
      </w:divBdr>
    </w:div>
    <w:div w:id="929434348">
      <w:bodyDiv w:val="1"/>
      <w:marLeft w:val="0"/>
      <w:marRight w:val="0"/>
      <w:marTop w:val="0"/>
      <w:marBottom w:val="0"/>
      <w:divBdr>
        <w:top w:val="none" w:sz="0" w:space="0" w:color="auto"/>
        <w:left w:val="none" w:sz="0" w:space="0" w:color="auto"/>
        <w:bottom w:val="none" w:sz="0" w:space="0" w:color="auto"/>
        <w:right w:val="none" w:sz="0" w:space="0" w:color="auto"/>
      </w:divBdr>
    </w:div>
    <w:div w:id="1387297440">
      <w:bodyDiv w:val="1"/>
      <w:marLeft w:val="0"/>
      <w:marRight w:val="0"/>
      <w:marTop w:val="0"/>
      <w:marBottom w:val="0"/>
      <w:divBdr>
        <w:top w:val="none" w:sz="0" w:space="0" w:color="auto"/>
        <w:left w:val="none" w:sz="0" w:space="0" w:color="auto"/>
        <w:bottom w:val="none" w:sz="0" w:space="0" w:color="auto"/>
        <w:right w:val="none" w:sz="0" w:space="0" w:color="auto"/>
      </w:divBdr>
    </w:div>
    <w:div w:id="1918712297">
      <w:bodyDiv w:val="1"/>
      <w:marLeft w:val="0"/>
      <w:marRight w:val="0"/>
      <w:marTop w:val="0"/>
      <w:marBottom w:val="0"/>
      <w:divBdr>
        <w:top w:val="none" w:sz="0" w:space="0" w:color="auto"/>
        <w:left w:val="none" w:sz="0" w:space="0" w:color="auto"/>
        <w:bottom w:val="none" w:sz="0" w:space="0" w:color="auto"/>
        <w:right w:val="none" w:sz="0" w:space="0" w:color="auto"/>
      </w:divBdr>
    </w:div>
    <w:div w:id="2032225049">
      <w:bodyDiv w:val="1"/>
      <w:marLeft w:val="0"/>
      <w:marRight w:val="0"/>
      <w:marTop w:val="0"/>
      <w:marBottom w:val="0"/>
      <w:divBdr>
        <w:top w:val="none" w:sz="0" w:space="0" w:color="auto"/>
        <w:left w:val="none" w:sz="0" w:space="0" w:color="auto"/>
        <w:bottom w:val="none" w:sz="0" w:space="0" w:color="auto"/>
        <w:right w:val="none" w:sz="0" w:space="0" w:color="auto"/>
      </w:divBdr>
    </w:div>
    <w:div w:id="210306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1842</Words>
  <Characters>10506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HAMBALEKOVA Alena</dc:creator>
  <cp:keywords/>
  <cp:lastModifiedBy>Benová Tímea</cp:lastModifiedBy>
  <cp:revision>7</cp:revision>
  <dcterms:created xsi:type="dcterms:W3CDTF">2024-12-04T10:26:00Z</dcterms:created>
  <dcterms:modified xsi:type="dcterms:W3CDTF">2024-12-06T12:36:00Z</dcterms:modified>
</cp:coreProperties>
</file>