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E1C4" w14:textId="77777777" w:rsidR="00203BA3" w:rsidRPr="00612E08" w:rsidRDefault="00203BA3" w:rsidP="00203BA3">
      <w:pPr>
        <w:spacing w:line="240" w:lineRule="auto"/>
        <w:jc w:val="center"/>
        <w:rPr>
          <w:b/>
          <w:sz w:val="28"/>
          <w:szCs w:val="28"/>
          <w:lang w:eastAsia="sk-SK"/>
        </w:rPr>
      </w:pPr>
      <w:r w:rsidRPr="00612E08">
        <w:rPr>
          <w:b/>
          <w:sz w:val="28"/>
          <w:szCs w:val="28"/>
          <w:lang w:eastAsia="sk-SK"/>
        </w:rPr>
        <w:t>Doložka vybraných vplyvov</w:t>
      </w:r>
    </w:p>
    <w:p w14:paraId="3260E077" w14:textId="77777777" w:rsidR="00203BA3" w:rsidRPr="00612E08" w:rsidRDefault="00203BA3" w:rsidP="00203BA3">
      <w:pPr>
        <w:spacing w:after="200" w:line="276" w:lineRule="auto"/>
        <w:ind w:left="426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203BA3" w:rsidRPr="00583137" w14:paraId="3399BA00" w14:textId="77777777" w:rsidTr="00A6304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98FFAEA" w14:textId="77777777" w:rsidR="00203BA3" w:rsidRPr="00583137" w:rsidRDefault="00203BA3" w:rsidP="00203BA3">
            <w:pPr>
              <w:widowControl/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Základné údaje</w:t>
            </w:r>
          </w:p>
        </w:tc>
      </w:tr>
      <w:tr w:rsidR="00203BA3" w:rsidRPr="00583137" w14:paraId="1E695069" w14:textId="77777777" w:rsidTr="00A6304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B81676B" w14:textId="77777777" w:rsidR="00203BA3" w:rsidRPr="00583137" w:rsidRDefault="00203BA3" w:rsidP="00A6304D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Názov materiálu</w:t>
            </w:r>
          </w:p>
        </w:tc>
      </w:tr>
      <w:tr w:rsidR="00203BA3" w:rsidRPr="00583137" w14:paraId="7F92D2D5" w14:textId="77777777" w:rsidTr="00A6304D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93E8C22" w14:textId="77777777" w:rsidR="00203BA3" w:rsidRPr="00583137" w:rsidRDefault="00203BA3" w:rsidP="00A6304D">
            <w:pPr>
              <w:spacing w:line="240" w:lineRule="auto"/>
              <w:rPr>
                <w:sz w:val="20"/>
                <w:lang w:eastAsia="sk-SK"/>
              </w:rPr>
            </w:pPr>
            <w:bookmarkStart w:id="0" w:name="_Hlk173843449"/>
            <w:r w:rsidRPr="00583137">
              <w:rPr>
                <w:iCs/>
                <w:sz w:val="20"/>
              </w:rPr>
              <w:t xml:space="preserve">Návrh na uzavretie </w:t>
            </w:r>
            <w:r w:rsidRPr="00D84BF0">
              <w:rPr>
                <w:sz w:val="20"/>
              </w:rPr>
              <w:t>Posilnenej dohody o partnerstve a spolupráci medzi Európskou úniou a jej členskými štátmi na jednej strane a Kirgizskou republikou na strane druhej</w:t>
            </w:r>
            <w:bookmarkEnd w:id="0"/>
          </w:p>
        </w:tc>
      </w:tr>
      <w:tr w:rsidR="00203BA3" w:rsidRPr="00583137" w14:paraId="62EF4391" w14:textId="77777777" w:rsidTr="00A6304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EAF3774" w14:textId="77777777" w:rsidR="00203BA3" w:rsidRPr="00583137" w:rsidRDefault="00203BA3" w:rsidP="00A6304D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Predkladateľ (a spolupredkladateľ)</w:t>
            </w:r>
          </w:p>
        </w:tc>
      </w:tr>
      <w:tr w:rsidR="00203BA3" w:rsidRPr="00583137" w14:paraId="69B88494" w14:textId="77777777" w:rsidTr="00A6304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FF722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</w:rPr>
              <w:t>Ministerstvo zahraničných vecí a európskych záležitostí Slovenskej republiky</w:t>
            </w:r>
          </w:p>
        </w:tc>
      </w:tr>
      <w:tr w:rsidR="00203BA3" w:rsidRPr="00583137" w14:paraId="0BE070B6" w14:textId="77777777" w:rsidTr="00A6304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6C30891" w14:textId="77777777" w:rsidR="00203BA3" w:rsidRPr="00583137" w:rsidRDefault="00203BA3" w:rsidP="00A6304D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sz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32C849B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17A9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Materiál nelegislatívnej povahy</w:t>
            </w:r>
          </w:p>
        </w:tc>
      </w:tr>
      <w:tr w:rsidR="00203BA3" w:rsidRPr="00583137" w14:paraId="4DAB81F8" w14:textId="77777777" w:rsidTr="00A6304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C50A014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</w:p>
        </w:tc>
        <w:sdt>
          <w:sdtPr>
            <w:rPr>
              <w:sz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C19EE50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9D8651B" w14:textId="77777777" w:rsidR="00203BA3" w:rsidRPr="00583137" w:rsidRDefault="00203BA3" w:rsidP="00A6304D">
            <w:pPr>
              <w:ind w:left="175" w:hanging="175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Materiál legislatívnej povahy</w:t>
            </w:r>
          </w:p>
        </w:tc>
      </w:tr>
      <w:tr w:rsidR="00203BA3" w:rsidRPr="00583137" w14:paraId="255EE461" w14:textId="77777777" w:rsidTr="00A6304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7A5D3AC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</w:p>
        </w:tc>
        <w:sdt>
          <w:sdtPr>
            <w:rPr>
              <w:sz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FB63963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CC464E1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Transpozícia/ implementácia práva EÚ</w:t>
            </w:r>
          </w:p>
        </w:tc>
      </w:tr>
      <w:tr w:rsidR="00203BA3" w:rsidRPr="00583137" w14:paraId="289A5440" w14:textId="77777777" w:rsidTr="00A6304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46C3282" w14:textId="77777777" w:rsidR="00203BA3" w:rsidRPr="00583137" w:rsidRDefault="00203BA3" w:rsidP="00A6304D">
            <w:pPr>
              <w:rPr>
                <w:i/>
                <w:sz w:val="20"/>
                <w:lang w:eastAsia="sk-SK"/>
              </w:rPr>
            </w:pPr>
            <w:r w:rsidRPr="00583137">
              <w:rPr>
                <w:i/>
                <w:sz w:val="20"/>
                <w:lang w:eastAsia="sk-SK"/>
              </w:rPr>
              <w:t>V prípade transpozície/implementácie uveďte zoznam transponovaných/implementovaných predpisov:</w:t>
            </w:r>
          </w:p>
          <w:p w14:paraId="05DA73D5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</w:p>
        </w:tc>
      </w:tr>
      <w:tr w:rsidR="00203BA3" w:rsidRPr="00583137" w14:paraId="7137B13A" w14:textId="77777777" w:rsidTr="00A6304D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39ED29F" w14:textId="77777777" w:rsidR="00203BA3" w:rsidRPr="00583137" w:rsidRDefault="00203BA3" w:rsidP="00A6304D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085" w14:textId="77777777" w:rsidR="00203BA3" w:rsidRPr="00583137" w:rsidRDefault="00203BA3" w:rsidP="00A6304D">
            <w:pPr>
              <w:rPr>
                <w:i/>
                <w:sz w:val="20"/>
                <w:lang w:eastAsia="sk-SK"/>
              </w:rPr>
            </w:pPr>
          </w:p>
        </w:tc>
      </w:tr>
      <w:tr w:rsidR="00203BA3" w:rsidRPr="00583137" w14:paraId="08638657" w14:textId="77777777" w:rsidTr="00A6304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96DFC8" w14:textId="77777777" w:rsidR="00203BA3" w:rsidRPr="00583137" w:rsidRDefault="00203BA3" w:rsidP="00A6304D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9BD" w14:textId="77777777" w:rsidR="00203BA3" w:rsidRPr="00583137" w:rsidRDefault="00203BA3" w:rsidP="00A6304D">
            <w:pPr>
              <w:rPr>
                <w:iCs/>
                <w:sz w:val="20"/>
                <w:lang w:eastAsia="sk-SK"/>
              </w:rPr>
            </w:pPr>
            <w:r>
              <w:rPr>
                <w:iCs/>
                <w:sz w:val="20"/>
                <w:lang w:eastAsia="sk-SK"/>
              </w:rPr>
              <w:t xml:space="preserve">september </w:t>
            </w:r>
            <w:r w:rsidRPr="00583137">
              <w:rPr>
                <w:iCs/>
                <w:sz w:val="20"/>
                <w:lang w:eastAsia="sk-SK"/>
              </w:rPr>
              <w:t>2024</w:t>
            </w:r>
          </w:p>
        </w:tc>
      </w:tr>
      <w:tr w:rsidR="00203BA3" w:rsidRPr="00583137" w14:paraId="32F5AE3C" w14:textId="77777777" w:rsidTr="00A6304D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256BE7" w14:textId="77777777" w:rsidR="00203BA3" w:rsidRPr="00583137" w:rsidRDefault="00203BA3" w:rsidP="00A6304D">
            <w:pPr>
              <w:spacing w:line="276" w:lineRule="auto"/>
              <w:ind w:left="142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4E1" w14:textId="77777777" w:rsidR="00203BA3" w:rsidRPr="00583137" w:rsidRDefault="00203BA3" w:rsidP="00A6304D">
            <w:pPr>
              <w:rPr>
                <w:iCs/>
                <w:sz w:val="20"/>
                <w:lang w:eastAsia="sk-SK"/>
              </w:rPr>
            </w:pPr>
          </w:p>
        </w:tc>
      </w:tr>
      <w:tr w:rsidR="00203BA3" w:rsidRPr="00583137" w14:paraId="209AB39F" w14:textId="77777777" w:rsidTr="00A6304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2A0D1D" w14:textId="77777777" w:rsidR="00203BA3" w:rsidRPr="00583137" w:rsidRDefault="00203BA3" w:rsidP="00A6304D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8CA" w14:textId="2E623E92" w:rsidR="00203BA3" w:rsidRPr="00583137" w:rsidRDefault="00203BA3" w:rsidP="00A6304D">
            <w:pPr>
              <w:rPr>
                <w:i/>
                <w:sz w:val="20"/>
                <w:lang w:eastAsia="sk-SK"/>
              </w:rPr>
            </w:pPr>
            <w:r>
              <w:rPr>
                <w:iCs/>
                <w:sz w:val="20"/>
                <w:lang w:eastAsia="sk-SK"/>
              </w:rPr>
              <w:t xml:space="preserve">január </w:t>
            </w:r>
            <w:r w:rsidRPr="00583137">
              <w:rPr>
                <w:iCs/>
                <w:sz w:val="20"/>
                <w:lang w:eastAsia="sk-SK"/>
              </w:rPr>
              <w:t>202</w:t>
            </w:r>
            <w:r>
              <w:rPr>
                <w:iCs/>
                <w:sz w:val="20"/>
                <w:lang w:eastAsia="sk-SK"/>
              </w:rPr>
              <w:t>5</w:t>
            </w:r>
          </w:p>
        </w:tc>
      </w:tr>
      <w:tr w:rsidR="00203BA3" w:rsidRPr="00583137" w14:paraId="43A02230" w14:textId="77777777" w:rsidTr="00A6304D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E9A65D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</w:p>
        </w:tc>
      </w:tr>
      <w:tr w:rsidR="00203BA3" w:rsidRPr="00583137" w14:paraId="1D208C16" w14:textId="77777777" w:rsidTr="00A6304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4C748F" w14:textId="77777777" w:rsidR="00203BA3" w:rsidRPr="00583137" w:rsidRDefault="00203BA3" w:rsidP="00203BA3">
            <w:pPr>
              <w:widowControl/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Definovanie problému</w:t>
            </w:r>
          </w:p>
        </w:tc>
      </w:tr>
      <w:tr w:rsidR="00203BA3" w:rsidRPr="00583137" w14:paraId="2A255718" w14:textId="77777777" w:rsidTr="00A6304D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ADE78" w14:textId="6F8C1D2E" w:rsidR="00203BA3" w:rsidRPr="009807F5" w:rsidRDefault="00203BA3" w:rsidP="00A6304D">
            <w:pPr>
              <w:spacing w:before="195" w:line="240" w:lineRule="auto"/>
              <w:jc w:val="both"/>
              <w:rPr>
                <w:noProof/>
                <w:color w:val="000000"/>
                <w:sz w:val="20"/>
                <w:lang w:eastAsia="sk-SK"/>
              </w:rPr>
            </w:pPr>
            <w:r w:rsidRPr="009807F5">
              <w:rPr>
                <w:noProof/>
                <w:color w:val="000000"/>
                <w:sz w:val="20"/>
                <w:lang w:eastAsia="sk-SK"/>
              </w:rPr>
              <w:t xml:space="preserve">Posilnená dohoda má nahradiť Dohodu o partnerstve a spolupráci medzi Európskymi spoločenstvami a ich členskými štátmi na jednej stane a Kirgizskou republikou na strane druhej, </w:t>
            </w:r>
            <w:r>
              <w:rPr>
                <w:noProof/>
                <w:color w:val="000000"/>
                <w:sz w:val="20"/>
                <w:lang w:eastAsia="sk-SK"/>
              </w:rPr>
              <w:t xml:space="preserve">ktorá bola </w:t>
            </w:r>
            <w:r w:rsidRPr="009807F5">
              <w:rPr>
                <w:noProof/>
                <w:color w:val="000000"/>
                <w:sz w:val="20"/>
                <w:lang w:eastAsia="sk-SK"/>
              </w:rPr>
              <w:t>podpísan</w:t>
            </w:r>
            <w:r>
              <w:rPr>
                <w:noProof/>
                <w:color w:val="000000"/>
                <w:sz w:val="20"/>
                <w:lang w:eastAsia="sk-SK"/>
              </w:rPr>
              <w:t>á</w:t>
            </w:r>
            <w:r w:rsidRPr="009807F5">
              <w:rPr>
                <w:noProof/>
                <w:color w:val="000000"/>
                <w:sz w:val="20"/>
                <w:lang w:eastAsia="sk-SK"/>
              </w:rPr>
              <w:t xml:space="preserve"> 9. februára 1995</w:t>
            </w:r>
            <w:r>
              <w:rPr>
                <w:noProof/>
                <w:color w:val="000000"/>
                <w:sz w:val="20"/>
                <w:lang w:eastAsia="sk-SK"/>
              </w:rPr>
              <w:t xml:space="preserve"> a</w:t>
            </w:r>
            <w:r w:rsidRPr="009807F5">
              <w:rPr>
                <w:noProof/>
                <w:color w:val="000000"/>
                <w:sz w:val="20"/>
                <w:lang w:eastAsia="sk-SK"/>
              </w:rPr>
              <w:t xml:space="preserve"> nadobudla platnosť 1. júla 1999.</w:t>
            </w:r>
            <w:r>
              <w:rPr>
                <w:noProof/>
                <w:color w:val="000000"/>
                <w:sz w:val="20"/>
                <w:lang w:eastAsia="sk-SK"/>
              </w:rPr>
              <w:t xml:space="preserve"> </w:t>
            </w:r>
            <w:r w:rsidRPr="009807F5">
              <w:rPr>
                <w:noProof/>
                <w:sz w:val="20"/>
              </w:rPr>
              <w:t xml:space="preserve">Od podpísania dohody o partnerstve pred viac ako 25 rokmi sa svet výrazne zmenil. </w:t>
            </w:r>
            <w:r w:rsidR="004E7BB8">
              <w:rPr>
                <w:noProof/>
                <w:sz w:val="20"/>
              </w:rPr>
              <w:t xml:space="preserve">Posilnená </w:t>
            </w:r>
            <w:r w:rsidRPr="009807F5">
              <w:rPr>
                <w:noProof/>
                <w:sz w:val="20"/>
              </w:rPr>
              <w:t>dohoda na tieto zmeny reaguje a rieši aj nové globálne výzvy.</w:t>
            </w:r>
          </w:p>
        </w:tc>
      </w:tr>
      <w:tr w:rsidR="00203BA3" w:rsidRPr="00583137" w14:paraId="70CDCD0D" w14:textId="77777777" w:rsidTr="00A6304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58B01B7" w14:textId="77777777" w:rsidR="00203BA3" w:rsidRPr="00583137" w:rsidRDefault="00203BA3" w:rsidP="00203BA3">
            <w:pPr>
              <w:widowControl/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Ciele a výsledný stav</w:t>
            </w:r>
          </w:p>
        </w:tc>
      </w:tr>
      <w:tr w:rsidR="00203BA3" w:rsidRPr="00583137" w14:paraId="1267A511" w14:textId="77777777" w:rsidTr="00A6304D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06A6E" w14:textId="6D4852B6" w:rsidR="00203BA3" w:rsidRPr="009807F5" w:rsidRDefault="00203BA3" w:rsidP="00A6304D">
            <w:pPr>
              <w:spacing w:before="195" w:line="240" w:lineRule="auto"/>
              <w:jc w:val="both"/>
              <w:rPr>
                <w:bCs/>
                <w:noProof/>
                <w:sz w:val="20"/>
              </w:rPr>
            </w:pPr>
            <w:bookmarkStart w:id="1" w:name="_Hlk173843503"/>
            <w:r>
              <w:rPr>
                <w:bCs/>
                <w:noProof/>
                <w:color w:val="000000"/>
                <w:sz w:val="20"/>
                <w:lang w:eastAsia="sk-SK"/>
              </w:rPr>
              <w:t>Posilnená d</w:t>
            </w:r>
            <w:r w:rsidRPr="009807F5">
              <w:rPr>
                <w:bCs/>
                <w:noProof/>
                <w:color w:val="000000"/>
                <w:sz w:val="20"/>
                <w:lang w:eastAsia="sk-SK"/>
              </w:rPr>
              <w:t>ohoda predstavuje dôležitý krok smerom k posilneniu politickej a hospodárskej spolupráce EÚ so Strednou Áziou. Prehĺbením politického dialógu a posilnením spolupráce v širokej škále oblastí bude základom účinnejšej spolupráce medzi EÚ a</w:t>
            </w:r>
            <w:r>
              <w:rPr>
                <w:bCs/>
                <w:noProof/>
                <w:color w:val="000000"/>
                <w:sz w:val="20"/>
                <w:lang w:eastAsia="sk-SK"/>
              </w:rPr>
              <w:t> </w:t>
            </w:r>
            <w:r w:rsidRPr="009807F5">
              <w:rPr>
                <w:bCs/>
                <w:noProof/>
                <w:color w:val="000000"/>
                <w:sz w:val="20"/>
                <w:lang w:eastAsia="sk-SK"/>
              </w:rPr>
              <w:t>Kirgizsko</w:t>
            </w:r>
            <w:r>
              <w:rPr>
                <w:bCs/>
                <w:noProof/>
                <w:color w:val="000000"/>
                <w:sz w:val="20"/>
                <w:lang w:eastAsia="sk-SK"/>
              </w:rPr>
              <w:t>u republikou</w:t>
            </w:r>
            <w:r w:rsidRPr="009807F5">
              <w:rPr>
                <w:bCs/>
                <w:noProof/>
                <w:color w:val="000000"/>
                <w:sz w:val="20"/>
                <w:lang w:eastAsia="sk-SK"/>
              </w:rPr>
              <w:t>.</w:t>
            </w:r>
            <w:r w:rsidRPr="009807F5">
              <w:rPr>
                <w:bCs/>
                <w:noProof/>
                <w:sz w:val="20"/>
              </w:rPr>
              <w:t xml:space="preserve"> </w:t>
            </w:r>
          </w:p>
          <w:p w14:paraId="1C3FB76F" w14:textId="77777777" w:rsidR="00203BA3" w:rsidRDefault="00203BA3" w:rsidP="00A6304D">
            <w:pPr>
              <w:spacing w:line="240" w:lineRule="auto"/>
              <w:jc w:val="both"/>
              <w:rPr>
                <w:bCs/>
                <w:noProof/>
                <w:color w:val="000000"/>
                <w:sz w:val="20"/>
                <w:lang w:eastAsia="sk-SK"/>
              </w:rPr>
            </w:pPr>
          </w:p>
          <w:p w14:paraId="536CDD03" w14:textId="71BF681A" w:rsidR="00203BA3" w:rsidRPr="00B258AA" w:rsidRDefault="00203BA3" w:rsidP="00A6304D">
            <w:pPr>
              <w:spacing w:line="240" w:lineRule="auto"/>
              <w:jc w:val="both"/>
              <w:rPr>
                <w:iCs/>
              </w:rPr>
            </w:pPr>
            <w:r w:rsidRPr="00B258AA">
              <w:rPr>
                <w:bCs/>
                <w:noProof/>
                <w:color w:val="000000"/>
                <w:sz w:val="20"/>
                <w:lang w:eastAsia="sk-SK"/>
              </w:rPr>
              <w:t xml:space="preserve">Dohoda upravuje spoluprácu v oblastiach ako sú obchod, energetika, vzdelávanie, veda, výskum, životné prostredie, zdravie, zamestnanosť, doprava či bezpečnosntá spolupráca. </w:t>
            </w:r>
            <w:r w:rsidRPr="00B258AA">
              <w:rPr>
                <w:noProof/>
                <w:sz w:val="20"/>
              </w:rPr>
              <w:t xml:space="preserve">Dohoda sa zaoberá aj otázkami právnej spolupráce, právneho štátu, prania špinavých peňazí a financovania terorizmu, organizovanej trestnej činnosti a korupcie. </w:t>
            </w:r>
            <w:bookmarkEnd w:id="1"/>
          </w:p>
        </w:tc>
      </w:tr>
      <w:tr w:rsidR="00203BA3" w:rsidRPr="00583137" w14:paraId="48FB88A8" w14:textId="77777777" w:rsidTr="00A6304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D344303" w14:textId="77777777" w:rsidR="00203BA3" w:rsidRPr="00583137" w:rsidRDefault="00203BA3" w:rsidP="00203BA3">
            <w:pPr>
              <w:widowControl/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Dotknuté subjekty</w:t>
            </w:r>
          </w:p>
        </w:tc>
      </w:tr>
      <w:tr w:rsidR="00203BA3" w:rsidRPr="00583137" w14:paraId="13E2688B" w14:textId="77777777" w:rsidTr="00A6304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66234" w14:textId="77777777" w:rsidR="00203BA3" w:rsidRPr="00583137" w:rsidRDefault="00203BA3" w:rsidP="00A6304D">
            <w:pPr>
              <w:spacing w:line="240" w:lineRule="auto"/>
              <w:jc w:val="both"/>
              <w:rPr>
                <w:i/>
                <w:sz w:val="20"/>
                <w:lang w:eastAsia="sk-SK"/>
              </w:rPr>
            </w:pPr>
            <w:r w:rsidRPr="00583137">
              <w:rPr>
                <w:sz w:val="20"/>
              </w:rPr>
              <w:t>Dotknutými subjektmi z pohľadu medzinárodného práva sú zmluvné strany viazané dohodou, a teda EÚ a jej členské štáty a</w:t>
            </w:r>
            <w:r>
              <w:rPr>
                <w:sz w:val="20"/>
              </w:rPr>
              <w:t> Kirgizská republika</w:t>
            </w:r>
            <w:r w:rsidRPr="00583137">
              <w:rPr>
                <w:sz w:val="20"/>
              </w:rPr>
              <w:t>.</w:t>
            </w:r>
          </w:p>
        </w:tc>
      </w:tr>
      <w:tr w:rsidR="00203BA3" w:rsidRPr="00583137" w14:paraId="4CCA8B8F" w14:textId="77777777" w:rsidTr="00A6304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D15584" w14:textId="77777777" w:rsidR="00203BA3" w:rsidRPr="00583137" w:rsidRDefault="00203BA3" w:rsidP="00203BA3">
            <w:pPr>
              <w:widowControl/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Alternatívne riešenia</w:t>
            </w:r>
          </w:p>
        </w:tc>
      </w:tr>
      <w:tr w:rsidR="00203BA3" w:rsidRPr="00583137" w14:paraId="16088279" w14:textId="77777777" w:rsidTr="00A6304D">
        <w:trPr>
          <w:trHeight w:val="54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8C84A" w14:textId="287D61C7" w:rsidR="003C1E35" w:rsidRPr="00B63480" w:rsidRDefault="00203BA3" w:rsidP="00D05D46">
            <w:pPr>
              <w:tabs>
                <w:tab w:val="left" w:pos="360"/>
              </w:tabs>
              <w:adjustRightInd w:val="0"/>
              <w:spacing w:line="240" w:lineRule="auto"/>
              <w:jc w:val="both"/>
              <w:rPr>
                <w:noProof/>
                <w:sz w:val="20"/>
              </w:rPr>
            </w:pPr>
            <w:r w:rsidRPr="002251D8">
              <w:rPr>
                <w:sz w:val="20"/>
              </w:rPr>
              <w:t>Alternatívne riešenia neboli zvažované. EÚ a jej členské štáty</w:t>
            </w:r>
            <w:r>
              <w:rPr>
                <w:sz w:val="20"/>
              </w:rPr>
              <w:t xml:space="preserve"> </w:t>
            </w:r>
            <w:r w:rsidR="00B63480">
              <w:rPr>
                <w:sz w:val="20"/>
              </w:rPr>
              <w:t>po niekoľkých rokoch</w:t>
            </w:r>
            <w:r w:rsidR="0047685C">
              <w:rPr>
                <w:sz w:val="20"/>
              </w:rPr>
              <w:t xml:space="preserve"> rokovaní</w:t>
            </w:r>
            <w:r>
              <w:rPr>
                <w:sz w:val="20"/>
              </w:rPr>
              <w:t xml:space="preserve"> dohodli</w:t>
            </w:r>
            <w:r w:rsidRPr="002251D8">
              <w:rPr>
                <w:sz w:val="20"/>
              </w:rPr>
              <w:t xml:space="preserve"> túto </w:t>
            </w:r>
            <w:r w:rsidR="00B63480">
              <w:rPr>
                <w:sz w:val="20"/>
              </w:rPr>
              <w:t xml:space="preserve">posilnenú </w:t>
            </w:r>
            <w:r w:rsidRPr="002251D8">
              <w:rPr>
                <w:sz w:val="20"/>
              </w:rPr>
              <w:t xml:space="preserve">dohodu.  </w:t>
            </w:r>
            <w:r w:rsidR="00D05D46" w:rsidRPr="00D05D46">
              <w:rPr>
                <w:noProof/>
                <w:sz w:val="20"/>
              </w:rPr>
              <w:t>Očakáva sa, že časť dohody venovaná obchodu zabezpečí lepšie regulačné prostredie pre hospodárske subjekty a tým prinesie hospodárske výhody pre podniky z EÚ.</w:t>
            </w:r>
            <w:r w:rsidR="00D05D46">
              <w:rPr>
                <w:noProof/>
                <w:sz w:val="20"/>
              </w:rPr>
              <w:t xml:space="preserve"> Posilnená dohoda nahr</w:t>
            </w:r>
            <w:r w:rsidR="008924DC">
              <w:rPr>
                <w:noProof/>
                <w:sz w:val="20"/>
              </w:rPr>
              <w:t>á</w:t>
            </w:r>
            <w:r w:rsidR="00D05D46">
              <w:rPr>
                <w:noProof/>
                <w:sz w:val="20"/>
              </w:rPr>
              <w:t>d</w:t>
            </w:r>
            <w:r w:rsidR="008924DC">
              <w:rPr>
                <w:noProof/>
                <w:sz w:val="20"/>
              </w:rPr>
              <w:t>za</w:t>
            </w:r>
            <w:r w:rsidR="00D05D46">
              <w:rPr>
                <w:noProof/>
                <w:sz w:val="20"/>
              </w:rPr>
              <w:t xml:space="preserve"> Dohodu o partners</w:t>
            </w:r>
            <w:r w:rsidR="00DB0C11">
              <w:rPr>
                <w:noProof/>
                <w:sz w:val="20"/>
              </w:rPr>
              <w:t>t</w:t>
            </w:r>
            <w:r w:rsidR="00D05D46">
              <w:rPr>
                <w:noProof/>
                <w:sz w:val="20"/>
              </w:rPr>
              <w:t xml:space="preserve">ve a spolupráci z roku 1999. </w:t>
            </w:r>
            <w:r w:rsidRPr="00724B8A">
              <w:rPr>
                <w:noProof/>
                <w:sz w:val="20"/>
              </w:rPr>
              <w:t xml:space="preserve">Dohoda je v súlade so zahraničnopolitickými záujmami, medzinárodnoprávnymi záväzkami, </w:t>
            </w:r>
            <w:r w:rsidRPr="00D05D46">
              <w:rPr>
                <w:noProof/>
                <w:sz w:val="20"/>
              </w:rPr>
              <w:t>ako aj s právnym poriadkom SR</w:t>
            </w:r>
            <w:r w:rsidR="00D05D46">
              <w:rPr>
                <w:noProof/>
                <w:sz w:val="20"/>
              </w:rPr>
              <w:t>.</w:t>
            </w:r>
          </w:p>
        </w:tc>
      </w:tr>
      <w:tr w:rsidR="00203BA3" w:rsidRPr="00583137" w14:paraId="1AAB319A" w14:textId="77777777" w:rsidTr="00A6304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F820949" w14:textId="77777777" w:rsidR="00203BA3" w:rsidRPr="00583137" w:rsidRDefault="00203BA3" w:rsidP="00203BA3">
            <w:pPr>
              <w:widowControl/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Vykonávacie predpisy</w:t>
            </w:r>
          </w:p>
        </w:tc>
      </w:tr>
      <w:tr w:rsidR="00203BA3" w:rsidRPr="00583137" w14:paraId="47CA5470" w14:textId="77777777" w:rsidTr="00A6304D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9AB2FE" w14:textId="77777777" w:rsidR="00203BA3" w:rsidRPr="00583137" w:rsidRDefault="00203BA3" w:rsidP="00A6304D">
            <w:pPr>
              <w:rPr>
                <w:i/>
                <w:sz w:val="20"/>
                <w:lang w:eastAsia="sk-SK"/>
              </w:rPr>
            </w:pPr>
            <w:r w:rsidRPr="00583137">
              <w:rPr>
                <w:i/>
                <w:sz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DD19025" w14:textId="77777777" w:rsidR="00203BA3" w:rsidRPr="00583137" w:rsidRDefault="00DB0C11" w:rsidP="00A6304D">
            <w:pPr>
              <w:jc w:val="center"/>
              <w:rPr>
                <w:b/>
                <w:sz w:val="20"/>
                <w:lang w:eastAsia="sk-SK"/>
              </w:rPr>
            </w:pPr>
            <w:sdt>
              <w:sdtPr>
                <w:rPr>
                  <w:b/>
                  <w:sz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BA3"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sdtContent>
            </w:sdt>
            <w:r w:rsidR="00203BA3" w:rsidRPr="00583137">
              <w:rPr>
                <w:b/>
                <w:sz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B93950F" w14:textId="77777777" w:rsidR="00203BA3" w:rsidRPr="00583137" w:rsidRDefault="00DB0C11" w:rsidP="00A6304D">
            <w:pPr>
              <w:jc w:val="center"/>
              <w:rPr>
                <w:b/>
                <w:sz w:val="20"/>
                <w:lang w:eastAsia="sk-SK"/>
              </w:rPr>
            </w:pPr>
            <w:sdt>
              <w:sdtPr>
                <w:rPr>
                  <w:b/>
                  <w:sz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BA3"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☒</w:t>
                </w:r>
              </w:sdtContent>
            </w:sdt>
            <w:r w:rsidR="00203BA3" w:rsidRPr="00583137">
              <w:rPr>
                <w:b/>
                <w:sz w:val="20"/>
                <w:lang w:eastAsia="sk-SK"/>
              </w:rPr>
              <w:t xml:space="preserve">  Nie</w:t>
            </w:r>
          </w:p>
        </w:tc>
      </w:tr>
      <w:tr w:rsidR="00203BA3" w:rsidRPr="00583137" w14:paraId="3CB185D0" w14:textId="77777777" w:rsidTr="00A6304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62D6C" w14:textId="77777777" w:rsidR="00203BA3" w:rsidRPr="00583137" w:rsidRDefault="00203BA3" w:rsidP="00A6304D">
            <w:pPr>
              <w:rPr>
                <w:i/>
                <w:sz w:val="20"/>
                <w:lang w:eastAsia="sk-SK"/>
              </w:rPr>
            </w:pPr>
            <w:r w:rsidRPr="00583137">
              <w:rPr>
                <w:i/>
                <w:sz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45D94ED1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</w:p>
        </w:tc>
      </w:tr>
      <w:tr w:rsidR="00203BA3" w:rsidRPr="00583137" w14:paraId="721779DC" w14:textId="77777777" w:rsidTr="00A6304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16746E5" w14:textId="77777777" w:rsidR="00203BA3" w:rsidRPr="00583137" w:rsidRDefault="00203BA3" w:rsidP="00203BA3">
            <w:pPr>
              <w:widowControl/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 xml:space="preserve">Transpozícia/implementácia práva EÚ </w:t>
            </w:r>
          </w:p>
        </w:tc>
      </w:tr>
      <w:tr w:rsidR="00203BA3" w:rsidRPr="00583137" w14:paraId="0DEEC1BE" w14:textId="77777777" w:rsidTr="00A6304D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203BA3" w:rsidRPr="00583137" w14:paraId="78E2952D" w14:textId="77777777" w:rsidTr="00A6304D">
              <w:trPr>
                <w:trHeight w:val="90"/>
              </w:trPr>
              <w:tc>
                <w:tcPr>
                  <w:tcW w:w="8643" w:type="dxa"/>
                </w:tcPr>
                <w:p w14:paraId="09AACF62" w14:textId="77777777" w:rsidR="00203BA3" w:rsidRPr="00583137" w:rsidRDefault="00203BA3" w:rsidP="00A6304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583137">
                    <w:rPr>
                      <w:i/>
                      <w:iCs/>
                      <w:color w:val="auto"/>
                      <w:sz w:val="20"/>
                      <w:szCs w:val="20"/>
                    </w:rPr>
                    <w:lastRenderedPageBreak/>
                    <w:t xml:space="preserve">Uveďte, či v predkladanom návrhu právneho predpisu dochádza ku goldplatingu podľa tabuľky zhody, resp. či ku goldplatingu dochádza pri implementácii práva EÚ. </w:t>
                  </w:r>
                </w:p>
              </w:tc>
            </w:tr>
            <w:tr w:rsidR="00203BA3" w:rsidRPr="00583137" w14:paraId="35359C61" w14:textId="77777777" w:rsidTr="00A6304D">
              <w:trPr>
                <w:trHeight w:val="296"/>
              </w:trPr>
              <w:tc>
                <w:tcPr>
                  <w:tcW w:w="8643" w:type="dxa"/>
                </w:tcPr>
                <w:p w14:paraId="2781D07E" w14:textId="77777777" w:rsidR="00203BA3" w:rsidRPr="00583137" w:rsidRDefault="00203BA3" w:rsidP="00A6304D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58313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83137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58313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58313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A28300A" w14:textId="77777777" w:rsidR="00203BA3" w:rsidRPr="00583137" w:rsidRDefault="00203BA3" w:rsidP="00A6304D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32C7C74D" w14:textId="77777777" w:rsidR="00203BA3" w:rsidRPr="00583137" w:rsidRDefault="00203BA3" w:rsidP="00A6304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58313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203BA3" w:rsidRPr="00583137" w14:paraId="44909D15" w14:textId="77777777" w:rsidTr="00A6304D">
              <w:trPr>
                <w:trHeight w:val="296"/>
              </w:trPr>
              <w:tc>
                <w:tcPr>
                  <w:tcW w:w="8643" w:type="dxa"/>
                </w:tcPr>
                <w:p w14:paraId="64BD130C" w14:textId="77777777" w:rsidR="00203BA3" w:rsidRPr="00583137" w:rsidRDefault="00203BA3" w:rsidP="00A6304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AE713C7" w14:textId="77777777" w:rsidR="00203BA3" w:rsidRPr="00583137" w:rsidRDefault="00203BA3" w:rsidP="00A6304D">
            <w:pPr>
              <w:jc w:val="both"/>
              <w:rPr>
                <w:i/>
                <w:sz w:val="20"/>
                <w:lang w:eastAsia="sk-SK"/>
              </w:rPr>
            </w:pPr>
          </w:p>
        </w:tc>
      </w:tr>
      <w:tr w:rsidR="00203BA3" w:rsidRPr="00583137" w14:paraId="483C546F" w14:textId="77777777" w:rsidTr="00A6304D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B40A9" w14:textId="77777777" w:rsidR="00203BA3" w:rsidRPr="00583137" w:rsidRDefault="00203BA3" w:rsidP="00A6304D">
            <w:pPr>
              <w:jc w:val="center"/>
              <w:rPr>
                <w:sz w:val="20"/>
                <w:lang w:eastAsia="sk-SK"/>
              </w:rPr>
            </w:pPr>
          </w:p>
        </w:tc>
      </w:tr>
      <w:tr w:rsidR="00203BA3" w:rsidRPr="00583137" w14:paraId="40A4B32D" w14:textId="77777777" w:rsidTr="00A6304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D7FF346" w14:textId="77777777" w:rsidR="00203BA3" w:rsidRPr="00583137" w:rsidRDefault="00203BA3" w:rsidP="00203BA3">
            <w:pPr>
              <w:widowControl/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Preskúmanie účelnosti</w:t>
            </w:r>
          </w:p>
        </w:tc>
      </w:tr>
      <w:tr w:rsidR="00203BA3" w:rsidRPr="00583137" w14:paraId="3D26298C" w14:textId="77777777" w:rsidTr="00A6304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8AA9" w14:textId="77777777" w:rsidR="00203BA3" w:rsidRPr="004E7A02" w:rsidRDefault="00203BA3" w:rsidP="00A6304D">
            <w:pPr>
              <w:spacing w:line="240" w:lineRule="auto"/>
              <w:jc w:val="both"/>
              <w:rPr>
                <w:noProof/>
                <w:sz w:val="20"/>
              </w:rPr>
            </w:pPr>
            <w:r w:rsidRPr="00AF328A">
              <w:rPr>
                <w:rStyle w:val="Zstupntext1"/>
                <w:noProof/>
                <w:color w:val="000000"/>
                <w:sz w:val="20"/>
              </w:rPr>
              <w:t>V súlade s  čl</w:t>
            </w:r>
            <w:r>
              <w:rPr>
                <w:rStyle w:val="Zstupntext1"/>
                <w:noProof/>
                <w:color w:val="000000"/>
                <w:sz w:val="20"/>
              </w:rPr>
              <w:t>.</w:t>
            </w:r>
            <w:r w:rsidRPr="00AF328A">
              <w:rPr>
                <w:rStyle w:val="Zstupntext1"/>
                <w:noProof/>
                <w:color w:val="000000"/>
                <w:sz w:val="20"/>
              </w:rPr>
              <w:t xml:space="preserve"> 318 ods. 1 </w:t>
            </w:r>
            <w:r>
              <w:rPr>
                <w:rStyle w:val="Zstupntext1"/>
                <w:noProof/>
                <w:color w:val="000000"/>
                <w:sz w:val="20"/>
              </w:rPr>
              <w:t xml:space="preserve">predmetná </w:t>
            </w:r>
            <w:r w:rsidRPr="00AF328A">
              <w:rPr>
                <w:rStyle w:val="Zstupntext1"/>
                <w:noProof/>
                <w:color w:val="000000"/>
                <w:sz w:val="20"/>
              </w:rPr>
              <w:t xml:space="preserve">dohoda nadobudne platnosť v prvý </w:t>
            </w:r>
            <w:r w:rsidRPr="00AF328A">
              <w:rPr>
                <w:noProof/>
                <w:sz w:val="20"/>
              </w:rPr>
              <w:t>deň druhého mesiaca nasledujúceho po dni, keď si zmluvné strany</w:t>
            </w:r>
            <w:r>
              <w:rPr>
                <w:noProof/>
                <w:sz w:val="20"/>
              </w:rPr>
              <w:t xml:space="preserve"> </w:t>
            </w:r>
            <w:r w:rsidRPr="00AF328A">
              <w:rPr>
                <w:noProof/>
                <w:sz w:val="20"/>
              </w:rPr>
              <w:t>vzájomne oznámia ukončenie svojich príslušných vnútorných postupov potrebných</w:t>
            </w:r>
            <w:r>
              <w:rPr>
                <w:noProof/>
                <w:sz w:val="20"/>
              </w:rPr>
              <w:t xml:space="preserve"> </w:t>
            </w:r>
            <w:r w:rsidRPr="00AF328A">
              <w:rPr>
                <w:noProof/>
                <w:sz w:val="20"/>
              </w:rPr>
              <w:t>na tento účel a uložia listiny vyjadrujúce ich súhlas u depozitára. Bez ohľadu na nadobudnutie platnosti dohody môžu zmluvné strany túto dohodu úplne alebo čiastočne predbežne vykonávať (čl. 318 ods. 2). Predbežné vykonávanie sa začína prvým dňom druhého mesiaca po dni</w:t>
            </w:r>
            <w:r>
              <w:rPr>
                <w:noProof/>
                <w:sz w:val="20"/>
              </w:rPr>
              <w:t>,</w:t>
            </w:r>
            <w:r w:rsidRPr="00AF328A">
              <w:rPr>
                <w:noProof/>
                <w:sz w:val="20"/>
              </w:rPr>
              <w:t xml:space="preserve"> keď si zmluvné strany navzájom oznámia ukončenie vnútorných postupov potrebných na tento účel. </w:t>
            </w:r>
          </w:p>
        </w:tc>
      </w:tr>
      <w:tr w:rsidR="00203BA3" w:rsidRPr="00583137" w14:paraId="381E3ABD" w14:textId="77777777" w:rsidTr="00A6304D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C14A384" w14:textId="77777777" w:rsidR="00203BA3" w:rsidRPr="00583137" w:rsidRDefault="00203BA3" w:rsidP="00A6304D">
            <w:pPr>
              <w:spacing w:line="240" w:lineRule="auto"/>
              <w:jc w:val="both"/>
              <w:rPr>
                <w:b/>
                <w:sz w:val="20"/>
                <w:lang w:eastAsia="sk-SK"/>
              </w:rPr>
            </w:pPr>
          </w:p>
          <w:p w14:paraId="3ED1FFFB" w14:textId="77777777" w:rsidR="00203BA3" w:rsidRPr="00583137" w:rsidRDefault="00203BA3" w:rsidP="00A6304D">
            <w:pPr>
              <w:spacing w:line="240" w:lineRule="auto"/>
              <w:jc w:val="both"/>
              <w:rPr>
                <w:b/>
                <w:sz w:val="20"/>
                <w:lang w:eastAsia="sk-SK"/>
              </w:rPr>
            </w:pPr>
          </w:p>
          <w:p w14:paraId="195611EF" w14:textId="77777777" w:rsidR="00203BA3" w:rsidRPr="00583137" w:rsidRDefault="00203BA3" w:rsidP="00A6304D">
            <w:pPr>
              <w:spacing w:line="240" w:lineRule="auto"/>
              <w:ind w:left="142" w:hanging="142"/>
              <w:jc w:val="both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15FAB7D2" w14:textId="77777777" w:rsidR="00203BA3" w:rsidRPr="00583137" w:rsidRDefault="00203BA3" w:rsidP="00A6304D">
            <w:pPr>
              <w:spacing w:line="240" w:lineRule="auto"/>
              <w:jc w:val="both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 xml:space="preserve">** vyplniť iba v prípade, ak sa záverečné posúdenie vybraných vplyvov uskutočnilo v zmysle bodu 9.1. </w:t>
            </w:r>
            <w:r>
              <w:rPr>
                <w:sz w:val="20"/>
                <w:lang w:eastAsia="sk-SK"/>
              </w:rPr>
              <w:t>J</w:t>
            </w:r>
            <w:r w:rsidRPr="00583137">
              <w:rPr>
                <w:sz w:val="20"/>
                <w:lang w:eastAsia="sk-SK"/>
              </w:rPr>
              <w:t>ednotnej metodiky.</w:t>
            </w:r>
          </w:p>
          <w:p w14:paraId="4E6ABD65" w14:textId="77777777" w:rsidR="00203BA3" w:rsidRPr="00583137" w:rsidRDefault="00203BA3" w:rsidP="00A6304D">
            <w:pPr>
              <w:spacing w:line="240" w:lineRule="auto"/>
              <w:jc w:val="both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FF097D1" w14:textId="77777777" w:rsidR="00203BA3" w:rsidRPr="00583137" w:rsidRDefault="00203BA3" w:rsidP="00A6304D">
            <w:pPr>
              <w:spacing w:line="240" w:lineRule="auto"/>
              <w:jc w:val="both"/>
              <w:rPr>
                <w:sz w:val="20"/>
                <w:lang w:eastAsia="sk-SK"/>
              </w:rPr>
            </w:pPr>
          </w:p>
          <w:p w14:paraId="7BFD1BBE" w14:textId="77777777" w:rsidR="00203BA3" w:rsidRPr="00583137" w:rsidRDefault="00203BA3" w:rsidP="00A6304D">
            <w:pPr>
              <w:spacing w:line="240" w:lineRule="auto"/>
              <w:jc w:val="both"/>
              <w:rPr>
                <w:b/>
                <w:sz w:val="20"/>
                <w:lang w:eastAsia="sk-SK"/>
              </w:rPr>
            </w:pPr>
          </w:p>
        </w:tc>
      </w:tr>
      <w:tr w:rsidR="00203BA3" w:rsidRPr="00583137" w14:paraId="3CB47FF7" w14:textId="77777777" w:rsidTr="00A6304D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AC04218" w14:textId="77777777" w:rsidR="00203BA3" w:rsidRPr="00583137" w:rsidRDefault="00203BA3" w:rsidP="00203BA3">
            <w:pPr>
              <w:widowControl/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Vybrané vplyvy  materiálu</w:t>
            </w:r>
          </w:p>
        </w:tc>
      </w:tr>
      <w:tr w:rsidR="00203BA3" w:rsidRPr="00583137" w14:paraId="32BB0FA8" w14:textId="77777777" w:rsidTr="00A6304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39DFA46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Vplyvy na rozpočet verejnej správy</w:t>
            </w:r>
          </w:p>
        </w:tc>
        <w:sdt>
          <w:sdtPr>
            <w:rPr>
              <w:b/>
              <w:sz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E973D94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B220AD7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406BD29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193ACAE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954606F" w14:textId="77777777" w:rsidR="00203BA3" w:rsidRPr="00583137" w:rsidRDefault="00203BA3" w:rsidP="00A6304D">
                <w:pPr>
                  <w:ind w:left="-107" w:right="-108"/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5045845" w14:textId="77777777" w:rsidR="00203BA3" w:rsidRPr="00583137" w:rsidRDefault="00203BA3" w:rsidP="00A6304D">
            <w:pPr>
              <w:ind w:left="34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Negatívne</w:t>
            </w:r>
          </w:p>
        </w:tc>
      </w:tr>
      <w:tr w:rsidR="00203BA3" w:rsidRPr="00583137" w14:paraId="6103F671" w14:textId="77777777" w:rsidTr="00A6304D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546989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 xml:space="preserve">    z toho rozpočtovo zabezpečené vplyvy,         </w:t>
            </w:r>
          </w:p>
          <w:p w14:paraId="3A618DE1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 xml:space="preserve">    v prípade identifikovaného negatívneho </w:t>
            </w:r>
          </w:p>
          <w:p w14:paraId="4B8CB3CC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 xml:space="preserve">    vplyvu</w:t>
            </w:r>
          </w:p>
        </w:tc>
        <w:sdt>
          <w:sdtPr>
            <w:rPr>
              <w:sz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FDA88C0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BD2051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Áno</w:t>
            </w:r>
          </w:p>
        </w:tc>
        <w:sdt>
          <w:sdtPr>
            <w:rPr>
              <w:sz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8D92ED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4A5D3A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Nie</w:t>
            </w:r>
          </w:p>
        </w:tc>
        <w:sdt>
          <w:sdtPr>
            <w:rPr>
              <w:sz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CE7265A" w14:textId="77777777" w:rsidR="00203BA3" w:rsidRPr="00583137" w:rsidRDefault="00203BA3" w:rsidP="00A6304D">
                <w:pPr>
                  <w:ind w:left="-107" w:right="-108"/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B731F1" w14:textId="77777777" w:rsidR="00203BA3" w:rsidRPr="00583137" w:rsidRDefault="00203BA3" w:rsidP="00A6304D">
            <w:pPr>
              <w:ind w:left="34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Čiastočne</w:t>
            </w:r>
          </w:p>
        </w:tc>
      </w:tr>
      <w:tr w:rsidR="00203BA3" w:rsidRPr="00583137" w14:paraId="70257AFF" w14:textId="77777777" w:rsidTr="00A6304D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122BAF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422C23A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1E30B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5EFEAC6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0E763D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5DAC080" w14:textId="77777777" w:rsidR="00203BA3" w:rsidRPr="00583137" w:rsidRDefault="00203BA3" w:rsidP="00A6304D">
                <w:pPr>
                  <w:ind w:left="-107" w:right="-108"/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417CD23" w14:textId="77777777" w:rsidR="00203BA3" w:rsidRPr="00583137" w:rsidRDefault="00203BA3" w:rsidP="00A6304D">
            <w:pPr>
              <w:ind w:left="34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Negatívne</w:t>
            </w:r>
          </w:p>
        </w:tc>
      </w:tr>
      <w:tr w:rsidR="00203BA3" w:rsidRPr="00583137" w14:paraId="6A1CF8D6" w14:textId="77777777" w:rsidTr="00A6304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8EC8D2F" w14:textId="77777777" w:rsidR="00203BA3" w:rsidRPr="00583137" w:rsidRDefault="00203BA3" w:rsidP="00A6304D">
            <w:pPr>
              <w:ind w:left="171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z toho rozpočtovo zabezpečené vplyvy,</w:t>
            </w:r>
          </w:p>
          <w:p w14:paraId="55F12A5A" w14:textId="77777777" w:rsidR="00203BA3" w:rsidRPr="00583137" w:rsidRDefault="00203BA3" w:rsidP="00A6304D">
            <w:pPr>
              <w:ind w:left="171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sz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F29637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97574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Áno</w:t>
            </w:r>
          </w:p>
        </w:tc>
        <w:sdt>
          <w:sdtPr>
            <w:rPr>
              <w:sz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9BA2D5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287FE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Nie</w:t>
            </w:r>
          </w:p>
        </w:tc>
        <w:sdt>
          <w:sdtPr>
            <w:rPr>
              <w:sz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E7E11C" w14:textId="77777777" w:rsidR="00203BA3" w:rsidRPr="00583137" w:rsidRDefault="00203BA3" w:rsidP="00A6304D">
                <w:pPr>
                  <w:ind w:left="-107" w:right="-108"/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3ADBD" w14:textId="77777777" w:rsidR="00203BA3" w:rsidRPr="00583137" w:rsidRDefault="00203BA3" w:rsidP="00A6304D">
            <w:pPr>
              <w:ind w:left="34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Čiastočne</w:t>
            </w:r>
          </w:p>
        </w:tc>
      </w:tr>
      <w:tr w:rsidR="00203BA3" w:rsidRPr="00583137" w14:paraId="6FFA9063" w14:textId="77777777" w:rsidTr="00A6304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4830706" w14:textId="77777777" w:rsidR="00203BA3" w:rsidRPr="00583137" w:rsidRDefault="00203BA3" w:rsidP="00A6304D">
            <w:pPr>
              <w:ind w:left="171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sz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B176DA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964D4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E1ED6" w14:textId="77777777" w:rsidR="00203BA3" w:rsidRPr="00583137" w:rsidRDefault="00203BA3" w:rsidP="00A6304D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C1E177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</w:p>
        </w:tc>
        <w:sdt>
          <w:sdtPr>
            <w:rPr>
              <w:sz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F37776" w14:textId="77777777" w:rsidR="00203BA3" w:rsidRPr="00583137" w:rsidRDefault="00203BA3" w:rsidP="00A6304D">
                <w:pPr>
                  <w:ind w:left="-107" w:right="-108"/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AC8E" w14:textId="77777777" w:rsidR="00203BA3" w:rsidRPr="00583137" w:rsidRDefault="00203BA3" w:rsidP="00A6304D">
            <w:pPr>
              <w:ind w:left="34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Nie</w:t>
            </w:r>
          </w:p>
        </w:tc>
      </w:tr>
      <w:tr w:rsidR="00203BA3" w:rsidRPr="00583137" w14:paraId="6B84BA39" w14:textId="77777777" w:rsidTr="00A6304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A8206C5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Vplyvy na limit verejných výdavkov</w:t>
            </w:r>
          </w:p>
        </w:tc>
        <w:sdt>
          <w:sdtPr>
            <w:rPr>
              <w:b/>
              <w:sz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4AA77A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7F385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62D59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6AF3B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0D6D09" w14:textId="77777777" w:rsidR="00203BA3" w:rsidRPr="00583137" w:rsidRDefault="00203BA3" w:rsidP="00A6304D">
                <w:pPr>
                  <w:ind w:left="-107" w:right="-108"/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BCD2" w14:textId="77777777" w:rsidR="00203BA3" w:rsidRPr="00583137" w:rsidRDefault="00203BA3" w:rsidP="00A6304D">
            <w:pPr>
              <w:ind w:left="34"/>
              <w:rPr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Negatívne</w:t>
            </w:r>
          </w:p>
        </w:tc>
      </w:tr>
      <w:tr w:rsidR="00203BA3" w:rsidRPr="00583137" w14:paraId="15806D85" w14:textId="77777777" w:rsidTr="00A6304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DE91929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Vplyvy na podnikateľské prostredie</w:t>
            </w:r>
          </w:p>
        </w:tc>
        <w:sdt>
          <w:sdtPr>
            <w:rPr>
              <w:b/>
              <w:sz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2772EDB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4D7627" w14:textId="77777777" w:rsidR="00203BA3" w:rsidRPr="00583137" w:rsidRDefault="00203BA3" w:rsidP="00A6304D">
            <w:pPr>
              <w:ind w:right="-108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BA93E7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C8E7AD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16C9AC3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79E62F" w14:textId="77777777" w:rsidR="00203BA3" w:rsidRPr="00583137" w:rsidRDefault="00203BA3" w:rsidP="00A6304D">
            <w:pPr>
              <w:ind w:left="54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Negatívne</w:t>
            </w:r>
          </w:p>
        </w:tc>
      </w:tr>
      <w:tr w:rsidR="00203BA3" w:rsidRPr="00583137" w14:paraId="10E29EDD" w14:textId="77777777" w:rsidTr="00A6304D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AF655FD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 xml:space="preserve">    z toho vplyvy na MSP</w:t>
            </w:r>
          </w:p>
          <w:p w14:paraId="574DC079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</w:p>
        </w:tc>
        <w:sdt>
          <w:sdtPr>
            <w:rPr>
              <w:sz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5CDDBBA5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74930A" w14:textId="77777777" w:rsidR="00203BA3" w:rsidRPr="00583137" w:rsidRDefault="00203BA3" w:rsidP="00A6304D">
            <w:pPr>
              <w:ind w:right="-108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Pozitívne</w:t>
            </w:r>
          </w:p>
        </w:tc>
        <w:sdt>
          <w:sdtPr>
            <w:rPr>
              <w:sz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039C844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C4A62E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Žiadne</w:t>
            </w:r>
          </w:p>
        </w:tc>
        <w:sdt>
          <w:sdtPr>
            <w:rPr>
              <w:sz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A280582" w14:textId="77777777" w:rsidR="00203BA3" w:rsidRPr="00583137" w:rsidRDefault="00203BA3" w:rsidP="00A6304D">
                <w:pPr>
                  <w:jc w:val="center"/>
                  <w:rPr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681B0E" w14:textId="77777777" w:rsidR="00203BA3" w:rsidRPr="00583137" w:rsidRDefault="00203BA3" w:rsidP="00A6304D">
            <w:pPr>
              <w:ind w:left="54"/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Negatívne</w:t>
            </w:r>
          </w:p>
        </w:tc>
      </w:tr>
      <w:tr w:rsidR="00203BA3" w:rsidRPr="00583137" w14:paraId="14B18F51" w14:textId="77777777" w:rsidTr="00A6304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0F52F4B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 xml:space="preserve">    Mechanizmus znižovania byrokracie    </w:t>
            </w:r>
          </w:p>
          <w:p w14:paraId="39243420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b/>
              <w:sz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CF08E56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1437E" w14:textId="77777777" w:rsidR="00203BA3" w:rsidRPr="00583137" w:rsidRDefault="00203BA3" w:rsidP="00A6304D">
            <w:pPr>
              <w:ind w:right="-108"/>
              <w:rPr>
                <w:b/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73934" w14:textId="77777777" w:rsidR="00203BA3" w:rsidRPr="00583137" w:rsidRDefault="00203BA3" w:rsidP="00A6304D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A4041" w14:textId="77777777" w:rsidR="00203BA3" w:rsidRPr="00583137" w:rsidRDefault="00203BA3" w:rsidP="00A6304D">
            <w:pPr>
              <w:jc w:val="center"/>
              <w:rPr>
                <w:b/>
                <w:sz w:val="20"/>
                <w:lang w:eastAsia="sk-SK"/>
              </w:rPr>
            </w:pPr>
          </w:p>
        </w:tc>
        <w:sdt>
          <w:sdtPr>
            <w:rPr>
              <w:b/>
              <w:sz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3FD893" w14:textId="7B59A7A2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6CDF" w14:textId="77777777" w:rsidR="00203BA3" w:rsidRPr="00583137" w:rsidRDefault="00203BA3" w:rsidP="00A6304D">
            <w:pPr>
              <w:ind w:left="54"/>
              <w:rPr>
                <w:b/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Nie</w:t>
            </w:r>
          </w:p>
        </w:tc>
      </w:tr>
      <w:tr w:rsidR="00203BA3" w:rsidRPr="00583137" w14:paraId="57048252" w14:textId="77777777" w:rsidTr="00A6304D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AD3C3E7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Sociálne vplyvy</w:t>
            </w:r>
          </w:p>
        </w:tc>
        <w:sdt>
          <w:sdtPr>
            <w:rPr>
              <w:b/>
              <w:sz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90F7EF0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58724" w14:textId="77777777" w:rsidR="00203BA3" w:rsidRPr="00583137" w:rsidRDefault="00203BA3" w:rsidP="00A6304D">
            <w:pPr>
              <w:ind w:right="-108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9E54A1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19B8D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4593BC0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6122F" w14:textId="77777777" w:rsidR="00203BA3" w:rsidRPr="00583137" w:rsidRDefault="00203BA3" w:rsidP="00A6304D">
            <w:pPr>
              <w:ind w:left="54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Negatívne</w:t>
            </w:r>
          </w:p>
        </w:tc>
      </w:tr>
      <w:tr w:rsidR="00203BA3" w:rsidRPr="00583137" w14:paraId="70C07339" w14:textId="77777777" w:rsidTr="00A6304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308572F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Vplyvy na životné prostredie</w:t>
            </w:r>
          </w:p>
        </w:tc>
        <w:sdt>
          <w:sdtPr>
            <w:rPr>
              <w:b/>
              <w:sz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2058648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D5AB0" w14:textId="77777777" w:rsidR="00203BA3" w:rsidRPr="00583137" w:rsidRDefault="00203BA3" w:rsidP="00A6304D">
            <w:pPr>
              <w:ind w:right="-108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8CE64E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C2C68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2F0651A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6FAF" w14:textId="77777777" w:rsidR="00203BA3" w:rsidRPr="00583137" w:rsidRDefault="00203BA3" w:rsidP="00A6304D">
            <w:pPr>
              <w:ind w:left="54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Negatívne</w:t>
            </w:r>
          </w:p>
        </w:tc>
      </w:tr>
      <w:tr w:rsidR="00203BA3" w:rsidRPr="00583137" w14:paraId="6AFF13AC" w14:textId="77777777" w:rsidTr="00A6304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114C11" w14:textId="77777777" w:rsidR="00203BA3" w:rsidRPr="00583137" w:rsidRDefault="00203BA3" w:rsidP="00A6304D">
            <w:pPr>
              <w:rPr>
                <w:sz w:val="20"/>
                <w:lang w:eastAsia="sk-SK"/>
              </w:rPr>
            </w:pPr>
          </w:p>
          <w:p w14:paraId="0C9FF37B" w14:textId="77777777" w:rsidR="00203BA3" w:rsidRPr="00583137" w:rsidRDefault="00203BA3" w:rsidP="00A6304D">
            <w:pPr>
              <w:ind w:left="164"/>
              <w:rPr>
                <w:b/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lastRenderedPageBreak/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b/>
              <w:sz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F4C7E36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2D739" w14:textId="77777777" w:rsidR="00203BA3" w:rsidRPr="00583137" w:rsidRDefault="00203BA3" w:rsidP="00A6304D">
            <w:pPr>
              <w:ind w:right="-108"/>
              <w:rPr>
                <w:b/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79E6A" w14:textId="77777777" w:rsidR="00203BA3" w:rsidRPr="00583137" w:rsidRDefault="00203BA3" w:rsidP="00A6304D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53A3F" w14:textId="77777777" w:rsidR="00203BA3" w:rsidRPr="00583137" w:rsidRDefault="00203BA3" w:rsidP="00A6304D">
            <w:pPr>
              <w:jc w:val="center"/>
              <w:rPr>
                <w:b/>
                <w:sz w:val="20"/>
                <w:lang w:eastAsia="sk-SK"/>
              </w:rPr>
            </w:pPr>
          </w:p>
        </w:tc>
        <w:sdt>
          <w:sdtPr>
            <w:rPr>
              <w:b/>
              <w:sz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7878E7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ECB0" w14:textId="77777777" w:rsidR="00203BA3" w:rsidRPr="00583137" w:rsidRDefault="00203BA3" w:rsidP="00A6304D">
            <w:pPr>
              <w:ind w:left="54"/>
              <w:rPr>
                <w:b/>
                <w:sz w:val="20"/>
                <w:lang w:eastAsia="sk-SK"/>
              </w:rPr>
            </w:pPr>
            <w:r w:rsidRPr="00583137">
              <w:rPr>
                <w:sz w:val="20"/>
                <w:lang w:eastAsia="sk-SK"/>
              </w:rPr>
              <w:t>Nie</w:t>
            </w:r>
          </w:p>
        </w:tc>
      </w:tr>
      <w:tr w:rsidR="00203BA3" w:rsidRPr="00583137" w14:paraId="5F88C74D" w14:textId="77777777" w:rsidTr="00A6304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6A2A85E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Vplyvy na informatizáciu spoločnosti</w:t>
            </w:r>
          </w:p>
        </w:tc>
        <w:sdt>
          <w:sdtPr>
            <w:rPr>
              <w:b/>
              <w:sz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921F3CB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27DD2" w14:textId="77777777" w:rsidR="00203BA3" w:rsidRPr="00583137" w:rsidRDefault="00203BA3" w:rsidP="00A6304D">
            <w:pPr>
              <w:ind w:right="-108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F1E1A5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A3031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2C77296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3B378" w14:textId="77777777" w:rsidR="00203BA3" w:rsidRPr="00583137" w:rsidRDefault="00203BA3" w:rsidP="00A6304D">
            <w:pPr>
              <w:ind w:left="54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203BA3" w:rsidRPr="00583137" w14:paraId="3A5CEB3F" w14:textId="77777777" w:rsidTr="00A6304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52C478" w14:textId="59225AD7" w:rsidR="00203BA3" w:rsidRPr="00583137" w:rsidRDefault="00203BA3" w:rsidP="00A6304D">
            <w:pPr>
              <w:spacing w:line="240" w:lineRule="auto"/>
              <w:rPr>
                <w:b/>
                <w:sz w:val="20"/>
                <w:lang w:eastAsia="sk-SK"/>
              </w:rPr>
            </w:pPr>
            <w:r w:rsidRPr="00583137">
              <w:rPr>
                <w:rFonts w:eastAsia="Calibri"/>
                <w:b/>
                <w:sz w:val="20"/>
              </w:rPr>
              <w:t>Vplyvy na služby verejnej správy pre občana, z</w:t>
            </w:r>
            <w:r w:rsidR="00D74120">
              <w:rPr>
                <w:rFonts w:eastAsia="Calibri"/>
                <w:b/>
                <w:sz w:val="20"/>
              </w:rPr>
              <w:t> </w:t>
            </w:r>
            <w:r w:rsidRPr="00583137">
              <w:rPr>
                <w:rFonts w:eastAsia="Calibri"/>
                <w:b/>
                <w:sz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47EDDD" w14:textId="77777777" w:rsidR="00203BA3" w:rsidRPr="00583137" w:rsidRDefault="00203BA3" w:rsidP="00A6304D">
            <w:pPr>
              <w:spacing w:line="240" w:lineRule="auto"/>
              <w:jc w:val="center"/>
              <w:rPr>
                <w:rFonts w:eastAsia="MS Mincho"/>
                <w:b/>
                <w:sz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7CE896" w14:textId="77777777" w:rsidR="00203BA3" w:rsidRPr="00583137" w:rsidRDefault="00203BA3" w:rsidP="00A6304D">
            <w:pPr>
              <w:spacing w:line="240" w:lineRule="auto"/>
              <w:ind w:right="-108"/>
              <w:rPr>
                <w:b/>
                <w:sz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F3B044" w14:textId="77777777" w:rsidR="00203BA3" w:rsidRPr="00583137" w:rsidRDefault="00203BA3" w:rsidP="00A6304D">
            <w:pPr>
              <w:spacing w:line="240" w:lineRule="auto"/>
              <w:jc w:val="center"/>
              <w:rPr>
                <w:rFonts w:eastAsia="MS Mincho"/>
                <w:b/>
                <w:sz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BDD827" w14:textId="77777777" w:rsidR="00203BA3" w:rsidRPr="00583137" w:rsidRDefault="00203BA3" w:rsidP="00A6304D">
            <w:pPr>
              <w:spacing w:line="240" w:lineRule="auto"/>
              <w:rPr>
                <w:b/>
                <w:sz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1A1388" w14:textId="77777777" w:rsidR="00203BA3" w:rsidRPr="00583137" w:rsidRDefault="00203BA3" w:rsidP="00A6304D">
            <w:pPr>
              <w:spacing w:line="240" w:lineRule="auto"/>
              <w:jc w:val="center"/>
              <w:rPr>
                <w:rFonts w:eastAsia="MS Mincho"/>
                <w:b/>
                <w:sz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C0732" w14:textId="77777777" w:rsidR="00203BA3" w:rsidRPr="00583137" w:rsidRDefault="00203BA3" w:rsidP="00A6304D">
            <w:pPr>
              <w:spacing w:line="240" w:lineRule="auto"/>
              <w:ind w:left="54"/>
              <w:rPr>
                <w:b/>
                <w:sz w:val="20"/>
                <w:lang w:eastAsia="sk-SK"/>
              </w:rPr>
            </w:pPr>
          </w:p>
        </w:tc>
      </w:tr>
      <w:tr w:rsidR="00203BA3" w:rsidRPr="00583137" w14:paraId="75A76A08" w14:textId="77777777" w:rsidTr="00A6304D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9B9A0D0" w14:textId="77777777" w:rsidR="00203BA3" w:rsidRPr="00583137" w:rsidRDefault="00203BA3" w:rsidP="00A6304D">
            <w:pPr>
              <w:spacing w:line="240" w:lineRule="auto"/>
              <w:ind w:left="196" w:hanging="196"/>
              <w:rPr>
                <w:rFonts w:eastAsia="Calibri"/>
                <w:b/>
                <w:sz w:val="20"/>
              </w:rPr>
            </w:pPr>
            <w:r w:rsidRPr="00583137">
              <w:rPr>
                <w:rFonts w:eastAsia="Calibri"/>
                <w:b/>
                <w:sz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15B05A3" w14:textId="77777777" w:rsidR="00203BA3" w:rsidRPr="00583137" w:rsidRDefault="00203BA3" w:rsidP="00A6304D">
                <w:pPr>
                  <w:spacing w:line="240" w:lineRule="auto"/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F3E8ED" w14:textId="77777777" w:rsidR="00203BA3" w:rsidRPr="00583137" w:rsidRDefault="00203BA3" w:rsidP="00A6304D">
            <w:pPr>
              <w:spacing w:line="240" w:lineRule="auto"/>
              <w:ind w:right="-108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73B941A" w14:textId="77777777" w:rsidR="00203BA3" w:rsidRPr="00583137" w:rsidRDefault="00203BA3" w:rsidP="00A6304D">
                <w:pPr>
                  <w:spacing w:line="240" w:lineRule="auto"/>
                  <w:jc w:val="center"/>
                  <w:rPr>
                    <w:b/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ADA424" w14:textId="77777777" w:rsidR="00203BA3" w:rsidRPr="00583137" w:rsidRDefault="00203BA3" w:rsidP="00A6304D">
            <w:pPr>
              <w:spacing w:line="240" w:lineRule="auto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77ED084" w14:textId="77777777" w:rsidR="00203BA3" w:rsidRPr="00583137" w:rsidRDefault="00203BA3" w:rsidP="00A6304D">
                <w:pPr>
                  <w:spacing w:line="240" w:lineRule="auto"/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12572E" w14:textId="77777777" w:rsidR="00203BA3" w:rsidRPr="00583137" w:rsidRDefault="00203BA3" w:rsidP="00A6304D">
            <w:pPr>
              <w:spacing w:line="240" w:lineRule="auto"/>
              <w:ind w:left="54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Negatívne</w:t>
            </w:r>
          </w:p>
        </w:tc>
      </w:tr>
      <w:tr w:rsidR="00203BA3" w:rsidRPr="00583137" w14:paraId="3ADD09EF" w14:textId="77777777" w:rsidTr="00A6304D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29BAB72" w14:textId="77777777" w:rsidR="00203BA3" w:rsidRPr="00583137" w:rsidRDefault="00203BA3" w:rsidP="00A6304D">
            <w:pPr>
              <w:spacing w:line="240" w:lineRule="auto"/>
              <w:ind w:left="168" w:hanging="168"/>
              <w:rPr>
                <w:rFonts w:eastAsia="Calibri"/>
                <w:b/>
                <w:sz w:val="20"/>
              </w:rPr>
            </w:pPr>
            <w:r w:rsidRPr="00583137">
              <w:rPr>
                <w:rFonts w:eastAsia="Calibri"/>
                <w:b/>
                <w:sz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0CF5AE" w14:textId="77777777" w:rsidR="00203BA3" w:rsidRPr="00583137" w:rsidRDefault="00203BA3" w:rsidP="00A6304D">
                <w:pPr>
                  <w:spacing w:line="240" w:lineRule="auto"/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39CFB5" w14:textId="77777777" w:rsidR="00203BA3" w:rsidRPr="00583137" w:rsidRDefault="00203BA3" w:rsidP="00A6304D">
            <w:pPr>
              <w:spacing w:line="240" w:lineRule="auto"/>
              <w:ind w:right="-108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E20EC6" w14:textId="77777777" w:rsidR="00203BA3" w:rsidRPr="00583137" w:rsidRDefault="00203BA3" w:rsidP="00A6304D">
                <w:pPr>
                  <w:spacing w:line="240" w:lineRule="auto"/>
                  <w:jc w:val="center"/>
                  <w:rPr>
                    <w:b/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5D885D" w14:textId="77777777" w:rsidR="00203BA3" w:rsidRPr="00583137" w:rsidRDefault="00203BA3" w:rsidP="00A6304D">
            <w:pPr>
              <w:spacing w:line="240" w:lineRule="auto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74527BC" w14:textId="77777777" w:rsidR="00203BA3" w:rsidRPr="00583137" w:rsidRDefault="00203BA3" w:rsidP="00A6304D">
                <w:pPr>
                  <w:spacing w:line="240" w:lineRule="auto"/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29DF" w14:textId="77777777" w:rsidR="00203BA3" w:rsidRPr="00583137" w:rsidRDefault="00203BA3" w:rsidP="00A6304D">
            <w:pPr>
              <w:spacing w:line="240" w:lineRule="auto"/>
              <w:ind w:left="54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203BA3" w:rsidRPr="00583137" w14:paraId="79F1F0DA" w14:textId="77777777" w:rsidTr="00A6304D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CD2D8F6" w14:textId="28C33520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</w:rPr>
              <w:t>Vplyvy na manželstvo, rodičovstvo a</w:t>
            </w:r>
            <w:r w:rsidR="00D74120">
              <w:rPr>
                <w:b/>
                <w:sz w:val="20"/>
              </w:rPr>
              <w:t> </w:t>
            </w:r>
            <w:r w:rsidRPr="00583137">
              <w:rPr>
                <w:b/>
                <w:sz w:val="20"/>
              </w:rPr>
              <w:t>rodinu</w:t>
            </w:r>
          </w:p>
        </w:tc>
        <w:sdt>
          <w:sdtPr>
            <w:rPr>
              <w:b/>
              <w:sz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DA259D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1E67A" w14:textId="77777777" w:rsidR="00203BA3" w:rsidRPr="00583137" w:rsidRDefault="00203BA3" w:rsidP="00A6304D">
            <w:pPr>
              <w:ind w:right="-108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53CC7C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875C2" w14:textId="77777777" w:rsidR="00203BA3" w:rsidRPr="00583137" w:rsidRDefault="00203BA3" w:rsidP="00A6304D">
            <w:pPr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2A5C9B" w14:textId="77777777" w:rsidR="00203BA3" w:rsidRPr="00583137" w:rsidRDefault="00203BA3" w:rsidP="00A6304D">
                <w:pPr>
                  <w:jc w:val="center"/>
                  <w:rPr>
                    <w:b/>
                    <w:sz w:val="20"/>
                    <w:lang w:eastAsia="sk-SK"/>
                  </w:rPr>
                </w:pPr>
                <w:r w:rsidRPr="00583137">
                  <w:rPr>
                    <w:rFonts w:ascii="Segoe UI Symbol" w:eastAsia="MS Gothic" w:hAnsi="Segoe UI Symbol" w:cs="Segoe UI Symbol"/>
                    <w:b/>
                    <w:sz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8AF0" w14:textId="77777777" w:rsidR="00203BA3" w:rsidRPr="00583137" w:rsidRDefault="00203BA3" w:rsidP="00A6304D">
            <w:pPr>
              <w:ind w:left="54"/>
              <w:rPr>
                <w:b/>
                <w:sz w:val="20"/>
                <w:lang w:eastAsia="sk-SK"/>
              </w:rPr>
            </w:pPr>
            <w:r w:rsidRPr="00583137">
              <w:rPr>
                <w:b/>
                <w:sz w:val="20"/>
                <w:lang w:eastAsia="sk-SK"/>
              </w:rPr>
              <w:t>Negatívne</w:t>
            </w:r>
          </w:p>
        </w:tc>
      </w:tr>
    </w:tbl>
    <w:p w14:paraId="51B1C8F7" w14:textId="77777777" w:rsidR="00203BA3" w:rsidRPr="00583137" w:rsidRDefault="00203BA3" w:rsidP="00203BA3">
      <w:pPr>
        <w:spacing w:line="240" w:lineRule="auto"/>
        <w:ind w:right="141"/>
        <w:rPr>
          <w:b/>
          <w:sz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203BA3" w:rsidRPr="00583137" w14:paraId="00E73CBB" w14:textId="77777777" w:rsidTr="00A6304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C77899E" w14:textId="77777777" w:rsidR="00203BA3" w:rsidRPr="00583137" w:rsidRDefault="00203BA3" w:rsidP="00203BA3">
            <w:pPr>
              <w:widowControl/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Poznámky</w:t>
            </w:r>
          </w:p>
        </w:tc>
      </w:tr>
      <w:tr w:rsidR="00203BA3" w:rsidRPr="00583137" w14:paraId="5AE09940" w14:textId="77777777" w:rsidTr="00A6304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2118C9A" w14:textId="363DE5D3" w:rsidR="00203BA3" w:rsidRDefault="00345245" w:rsidP="00A6304D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203BA3" w:rsidRPr="00E00433">
              <w:rPr>
                <w:sz w:val="20"/>
              </w:rPr>
              <w:t xml:space="preserve">ohoda môže mať </w:t>
            </w:r>
            <w:r>
              <w:rPr>
                <w:sz w:val="20"/>
              </w:rPr>
              <w:t>potencionálne</w:t>
            </w:r>
            <w:r w:rsidR="00203BA3" w:rsidRPr="00E00433">
              <w:rPr>
                <w:sz w:val="20"/>
              </w:rPr>
              <w:t xml:space="preserve"> pozitívne vplyvy na podnikateľské subjekty, ktoré však v tejto chvíli nie je možné kvantifikovať. </w:t>
            </w:r>
          </w:p>
          <w:p w14:paraId="364BD267" w14:textId="77777777" w:rsidR="00203BA3" w:rsidRPr="00F943CC" w:rsidRDefault="00203BA3" w:rsidP="00A6304D">
            <w:pPr>
              <w:spacing w:line="240" w:lineRule="auto"/>
              <w:jc w:val="both"/>
              <w:rPr>
                <w:sz w:val="20"/>
              </w:rPr>
            </w:pPr>
          </w:p>
          <w:p w14:paraId="15D39249" w14:textId="77777777" w:rsidR="00203BA3" w:rsidRPr="00F943CC" w:rsidRDefault="00203BA3" w:rsidP="00A6304D">
            <w:pPr>
              <w:spacing w:line="240" w:lineRule="auto"/>
              <w:jc w:val="both"/>
              <w:rPr>
                <w:sz w:val="20"/>
              </w:rPr>
            </w:pPr>
            <w:r w:rsidRPr="00F943CC">
              <w:rPr>
                <w:sz w:val="20"/>
              </w:rPr>
              <w:t>Môže ísť o dôsledok spolupráce v oblasti obchodu a udržateľn</w:t>
            </w:r>
            <w:r>
              <w:rPr>
                <w:sz w:val="20"/>
              </w:rPr>
              <w:t>ého</w:t>
            </w:r>
            <w:r w:rsidRPr="00F943CC">
              <w:rPr>
                <w:sz w:val="20"/>
              </w:rPr>
              <w:t xml:space="preserve"> rozvoj</w:t>
            </w:r>
            <w:r>
              <w:rPr>
                <w:sz w:val="20"/>
              </w:rPr>
              <w:t>a</w:t>
            </w:r>
            <w:r w:rsidRPr="00F943CC">
              <w:rPr>
                <w:sz w:val="20"/>
              </w:rPr>
              <w:t xml:space="preserve"> (kapitola 10), spolupráce v oblasti priemyselnej politiky a politiky podnikania (čl. 267), či podpory hospodárskej súťaže (kapitola 11).</w:t>
            </w:r>
          </w:p>
          <w:p w14:paraId="709FBE54" w14:textId="77777777" w:rsidR="00203BA3" w:rsidRPr="00E00433" w:rsidRDefault="00203BA3" w:rsidP="00A6304D">
            <w:pPr>
              <w:spacing w:line="240" w:lineRule="auto"/>
              <w:jc w:val="both"/>
              <w:rPr>
                <w:sz w:val="20"/>
              </w:rPr>
            </w:pPr>
          </w:p>
          <w:p w14:paraId="2D970AFD" w14:textId="77777777" w:rsidR="00203BA3" w:rsidRDefault="00203BA3" w:rsidP="00A6304D">
            <w:pPr>
              <w:spacing w:line="240" w:lineRule="auto"/>
              <w:jc w:val="both"/>
              <w:rPr>
                <w:sz w:val="20"/>
              </w:rPr>
            </w:pPr>
            <w:r w:rsidRPr="00E00433">
              <w:rPr>
                <w:iCs/>
                <w:sz w:val="20"/>
              </w:rPr>
              <w:t>Z</w:t>
            </w:r>
            <w:r w:rsidRPr="00E00433">
              <w:rPr>
                <w:sz w:val="20"/>
              </w:rPr>
              <w:t xml:space="preserve"> predloženého návrhu nevyplývajú zvýšené požiadavky na rozpočet verejnej správy a všetky prípadné rozpočtové dôsledky budú zabezpečené v rámci schválených limitov rozpočtov dotknutých kapitol na príslušný rozpočtový rok.</w:t>
            </w:r>
          </w:p>
          <w:p w14:paraId="3B55851E" w14:textId="7FA69389" w:rsidR="002B38CE" w:rsidRPr="00583137" w:rsidRDefault="002B38CE" w:rsidP="00A6304D">
            <w:pPr>
              <w:spacing w:line="240" w:lineRule="auto"/>
              <w:jc w:val="both"/>
              <w:rPr>
                <w:rFonts w:eastAsia="Calibri"/>
                <w:b/>
              </w:rPr>
            </w:pP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203BA3" w:rsidRPr="00583137" w14:paraId="1E0A5B53" w14:textId="77777777" w:rsidTr="00A6304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56425C8" w14:textId="77777777" w:rsidR="00203BA3" w:rsidRPr="00583137" w:rsidRDefault="00203BA3" w:rsidP="00A6304D">
            <w:pPr>
              <w:spacing w:line="240" w:lineRule="auto"/>
              <w:ind w:left="6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11. Kontakt na spracovateľa</w:t>
            </w:r>
          </w:p>
        </w:tc>
      </w:tr>
      <w:tr w:rsidR="00203BA3" w:rsidRPr="00583137" w14:paraId="62D2C3AB" w14:textId="77777777" w:rsidTr="00A6304D">
        <w:trPr>
          <w:trHeight w:val="586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E47C3" w14:textId="77777777" w:rsidR="00203BA3" w:rsidRPr="00583137" w:rsidRDefault="00203BA3" w:rsidP="00A6304D">
            <w:pPr>
              <w:spacing w:line="240" w:lineRule="auto"/>
              <w:rPr>
                <w:sz w:val="20"/>
              </w:rPr>
            </w:pPr>
            <w:r w:rsidRPr="00583137">
              <w:rPr>
                <w:sz w:val="20"/>
              </w:rPr>
              <w:t>JUDr. Marek Brenčič</w:t>
            </w:r>
            <w:r>
              <w:rPr>
                <w:sz w:val="20"/>
              </w:rPr>
              <w:t>, MA</w:t>
            </w:r>
          </w:p>
          <w:p w14:paraId="51F3B7B1" w14:textId="77777777" w:rsidR="00203BA3" w:rsidRPr="00583137" w:rsidRDefault="00203BA3" w:rsidP="00A6304D">
            <w:pPr>
              <w:spacing w:line="240" w:lineRule="auto"/>
              <w:rPr>
                <w:sz w:val="20"/>
              </w:rPr>
            </w:pPr>
            <w:r w:rsidRPr="00583137">
              <w:rPr>
                <w:sz w:val="20"/>
              </w:rPr>
              <w:t xml:space="preserve">Ministerstvo zahraničných vecí a európskych záležitostí SR </w:t>
            </w:r>
          </w:p>
          <w:p w14:paraId="0DDACF74" w14:textId="77777777" w:rsidR="00203BA3" w:rsidRPr="00583137" w:rsidRDefault="00203BA3" w:rsidP="00A6304D">
            <w:pPr>
              <w:spacing w:line="240" w:lineRule="auto"/>
              <w:rPr>
                <w:sz w:val="20"/>
              </w:rPr>
            </w:pPr>
            <w:r w:rsidRPr="00583137">
              <w:rPr>
                <w:sz w:val="20"/>
              </w:rPr>
              <w:t xml:space="preserve">Sekcia konzulárna a medzinárodnoprávna  </w:t>
            </w:r>
          </w:p>
          <w:p w14:paraId="1E5559ED" w14:textId="77777777" w:rsidR="00203BA3" w:rsidRPr="00583137" w:rsidRDefault="00203BA3" w:rsidP="00A6304D">
            <w:pPr>
              <w:spacing w:line="240" w:lineRule="auto"/>
              <w:rPr>
                <w:sz w:val="20"/>
              </w:rPr>
            </w:pPr>
            <w:r w:rsidRPr="00583137">
              <w:rPr>
                <w:sz w:val="20"/>
              </w:rPr>
              <w:t xml:space="preserve">Odbor medzinárodného a európskeho práva  </w:t>
            </w:r>
          </w:p>
          <w:p w14:paraId="4B67A932" w14:textId="77777777" w:rsidR="00203BA3" w:rsidRPr="00583137" w:rsidRDefault="00203BA3" w:rsidP="00A6304D">
            <w:pPr>
              <w:spacing w:line="240" w:lineRule="auto"/>
              <w:rPr>
                <w:i/>
                <w:sz w:val="20"/>
              </w:rPr>
            </w:pPr>
            <w:r w:rsidRPr="00583137">
              <w:rPr>
                <w:sz w:val="20"/>
              </w:rPr>
              <w:t xml:space="preserve">t. č.: 02/5978 3537; e-mail: marek.brencic@mzv.sk </w:t>
            </w:r>
          </w:p>
        </w:tc>
      </w:tr>
      <w:tr w:rsidR="00203BA3" w:rsidRPr="00583137" w14:paraId="620E7FED" w14:textId="77777777" w:rsidTr="00A6304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AA97586" w14:textId="77777777" w:rsidR="00203BA3" w:rsidRPr="00583137" w:rsidRDefault="00203BA3" w:rsidP="00A6304D">
            <w:pPr>
              <w:spacing w:line="240" w:lineRule="auto"/>
              <w:ind w:left="66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12. Zdroje</w:t>
            </w:r>
          </w:p>
        </w:tc>
      </w:tr>
      <w:tr w:rsidR="00203BA3" w:rsidRPr="00583137" w14:paraId="1EF6E35B" w14:textId="77777777" w:rsidTr="00A6304D">
        <w:trPr>
          <w:trHeight w:val="401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E96AA" w14:textId="77777777" w:rsidR="00203BA3" w:rsidRPr="00583137" w:rsidRDefault="00203BA3" w:rsidP="00A6304D">
            <w:pPr>
              <w:rPr>
                <w:b/>
                <w:sz w:val="20"/>
              </w:rPr>
            </w:pPr>
            <w:r w:rsidRPr="00583137">
              <w:rPr>
                <w:sz w:val="20"/>
              </w:rPr>
              <w:t>Úradný vestník Európskej únie</w:t>
            </w:r>
          </w:p>
        </w:tc>
      </w:tr>
      <w:tr w:rsidR="00203BA3" w:rsidRPr="00583137" w14:paraId="3F801BA5" w14:textId="77777777" w:rsidTr="00A6304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7CED9C" w14:textId="77777777" w:rsidR="00203BA3" w:rsidRPr="00583137" w:rsidRDefault="00203BA3" w:rsidP="00A6304D">
            <w:pPr>
              <w:spacing w:line="240" w:lineRule="auto"/>
              <w:contextualSpacing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13. Stanovisko Komisie na posudzovanie vybraných vplyvov z PPK č. ..........</w:t>
            </w:r>
            <w:r w:rsidRPr="00583137">
              <w:rPr>
                <w:rFonts w:eastAsia="Calibri"/>
              </w:rPr>
              <w:t xml:space="preserve"> </w:t>
            </w:r>
          </w:p>
          <w:p w14:paraId="53B41B17" w14:textId="77777777" w:rsidR="00203BA3" w:rsidRPr="00583137" w:rsidRDefault="00203BA3" w:rsidP="00A6304D">
            <w:pPr>
              <w:ind w:left="502"/>
              <w:rPr>
                <w:b/>
                <w:sz w:val="20"/>
              </w:rPr>
            </w:pPr>
            <w:r w:rsidRPr="00583137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203BA3" w:rsidRPr="00583137" w14:paraId="212A18B1" w14:textId="77777777" w:rsidTr="00A6304D">
        <w:trPr>
          <w:trHeight w:val="70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16986" w14:textId="77777777" w:rsidR="00203BA3" w:rsidRPr="00583137" w:rsidRDefault="00203BA3" w:rsidP="00A6304D">
            <w:pPr>
              <w:spacing w:line="240" w:lineRule="auto"/>
              <w:jc w:val="both"/>
              <w:rPr>
                <w:b/>
                <w:sz w:val="20"/>
              </w:rPr>
            </w:pPr>
            <w:r w:rsidRPr="00583137">
              <w:rPr>
                <w:sz w:val="20"/>
              </w:rPr>
              <w:t>Keďže nebol identifikovaný žiadny z vybraných vplyvov, v súlade s bodom 6.1 Jednotnej metodiky na posudzovanie vybraných vplyvov materiál nie je predkladaný na PPK.</w:t>
            </w:r>
          </w:p>
        </w:tc>
      </w:tr>
      <w:tr w:rsidR="00203BA3" w:rsidRPr="00583137" w14:paraId="527C9BC1" w14:textId="77777777" w:rsidTr="00A6304D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80" w:type="dxa"/>
            <w:tcBorders>
              <w:top w:val="single" w:sz="4" w:space="0" w:color="auto"/>
            </w:tcBorders>
            <w:shd w:val="clear" w:color="auto" w:fill="E2E2E2"/>
          </w:tcPr>
          <w:p w14:paraId="6701FE10" w14:textId="77777777" w:rsidR="00203BA3" w:rsidRPr="00583137" w:rsidRDefault="00203BA3" w:rsidP="00A6304D">
            <w:pPr>
              <w:spacing w:line="240" w:lineRule="auto"/>
              <w:contextualSpacing/>
              <w:jc w:val="both"/>
              <w:rPr>
                <w:rFonts w:eastAsia="Calibri"/>
                <w:b/>
              </w:rPr>
            </w:pPr>
            <w:r w:rsidRPr="00583137">
              <w:rPr>
                <w:rFonts w:eastAsia="Calibri"/>
                <w:b/>
              </w:rPr>
              <w:t>14. Stanovisko Komisie na posudzovanie vybraných vplyvov zo záverečného posúdenia č. ..........</w:t>
            </w:r>
            <w:r w:rsidRPr="00583137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203BA3" w:rsidRPr="00583137" w14:paraId="1602CDBE" w14:textId="77777777" w:rsidTr="00A6304D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80" w:type="dxa"/>
            <w:shd w:val="clear" w:color="auto" w:fill="FFFFFF"/>
          </w:tcPr>
          <w:p w14:paraId="11702331" w14:textId="77777777" w:rsidR="00203BA3" w:rsidRPr="00583137" w:rsidRDefault="00203BA3" w:rsidP="00A6304D">
            <w:pPr>
              <w:rPr>
                <w:bCs/>
                <w:sz w:val="20"/>
              </w:rPr>
            </w:pPr>
          </w:p>
        </w:tc>
      </w:tr>
    </w:tbl>
    <w:p w14:paraId="049BBBAF" w14:textId="77777777" w:rsidR="00203BA3" w:rsidRPr="00583137" w:rsidRDefault="00203BA3" w:rsidP="00203BA3">
      <w:pPr>
        <w:spacing w:line="240" w:lineRule="auto"/>
        <w:ind w:left="142" w:hanging="142"/>
        <w:jc w:val="both"/>
        <w:rPr>
          <w:sz w:val="20"/>
        </w:rPr>
      </w:pPr>
      <w:r w:rsidRPr="00583137">
        <w:rPr>
          <w:sz w:val="20"/>
        </w:rPr>
        <w:t xml:space="preserve">* vyplniť iba v prípade, ak materiál nie je zahrnutý do Plánu práce vlády Slovenskej republiky alebo Plánu legislatívnych úloh vlády Slovenskej republiky. </w:t>
      </w:r>
    </w:p>
    <w:p w14:paraId="657BCAE4" w14:textId="77777777" w:rsidR="00203BA3" w:rsidRPr="00583137" w:rsidRDefault="00203BA3" w:rsidP="00203BA3">
      <w:pPr>
        <w:spacing w:line="240" w:lineRule="auto"/>
        <w:jc w:val="both"/>
        <w:rPr>
          <w:sz w:val="20"/>
        </w:rPr>
      </w:pPr>
      <w:r w:rsidRPr="00583137">
        <w:rPr>
          <w:sz w:val="20"/>
        </w:rPr>
        <w:t xml:space="preserve">** vyplniť iba v prípade, ak sa záverečné posúdenie vybraných vplyvov uskutočnilo v zmysle bodu 9.1. </w:t>
      </w:r>
      <w:r>
        <w:rPr>
          <w:sz w:val="20"/>
        </w:rPr>
        <w:t>J</w:t>
      </w:r>
      <w:r w:rsidRPr="00583137">
        <w:rPr>
          <w:sz w:val="20"/>
        </w:rPr>
        <w:t>ednotnej metodiky.</w:t>
      </w:r>
    </w:p>
    <w:p w14:paraId="59236E02" w14:textId="77777777" w:rsidR="00203BA3" w:rsidRPr="00583137" w:rsidRDefault="00203BA3" w:rsidP="00203BA3">
      <w:pPr>
        <w:spacing w:line="240" w:lineRule="auto"/>
        <w:jc w:val="both"/>
        <w:rPr>
          <w:sz w:val="20"/>
        </w:rPr>
      </w:pPr>
      <w:r w:rsidRPr="00583137">
        <w:rPr>
          <w:sz w:val="20"/>
        </w:rPr>
        <w:t>*** posudzovanie sa týka len zmien v I. a II. pilieri univerzálneho systému dôchodkového zabezpečenia s identifikovaným dopadom od 0,1 % HDP (vrátane) na dlhodobom horizonte.</w:t>
      </w:r>
    </w:p>
    <w:p w14:paraId="3F40331F" w14:textId="77777777" w:rsidR="00203BA3" w:rsidRDefault="00203BA3" w:rsidP="00203BA3">
      <w:pPr>
        <w:adjustRightInd w:val="0"/>
        <w:spacing w:line="240" w:lineRule="auto"/>
        <w:jc w:val="center"/>
        <w:rPr>
          <w:b/>
          <w:caps/>
          <w:spacing w:val="30"/>
          <w:sz w:val="25"/>
          <w:szCs w:val="25"/>
        </w:rPr>
      </w:pPr>
    </w:p>
    <w:p w14:paraId="1CF5F16C" w14:textId="77777777" w:rsidR="00203BA3" w:rsidRDefault="00203BA3" w:rsidP="00203BA3">
      <w:pPr>
        <w:adjustRightInd w:val="0"/>
        <w:spacing w:line="240" w:lineRule="auto"/>
        <w:jc w:val="center"/>
        <w:rPr>
          <w:b/>
          <w:caps/>
          <w:spacing w:val="30"/>
          <w:sz w:val="25"/>
          <w:szCs w:val="25"/>
        </w:rPr>
      </w:pPr>
    </w:p>
    <w:p w14:paraId="223B88D0" w14:textId="77777777" w:rsidR="00203BA3" w:rsidRDefault="00203BA3" w:rsidP="00203BA3">
      <w:pPr>
        <w:adjustRightInd w:val="0"/>
        <w:spacing w:line="240" w:lineRule="auto"/>
        <w:jc w:val="center"/>
        <w:rPr>
          <w:b/>
          <w:caps/>
          <w:spacing w:val="30"/>
          <w:sz w:val="25"/>
          <w:szCs w:val="25"/>
        </w:rPr>
      </w:pPr>
    </w:p>
    <w:p w14:paraId="185F12ED" w14:textId="77777777" w:rsidR="00203BA3" w:rsidRDefault="00203BA3"/>
    <w:sectPr w:rsidR="00203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8FC3" w14:textId="77777777" w:rsidR="00203BA3" w:rsidRDefault="00203BA3" w:rsidP="00203BA3">
      <w:pPr>
        <w:spacing w:line="240" w:lineRule="auto"/>
      </w:pPr>
      <w:r>
        <w:separator/>
      </w:r>
    </w:p>
  </w:endnote>
  <w:endnote w:type="continuationSeparator" w:id="0">
    <w:p w14:paraId="3E4F00C6" w14:textId="77777777" w:rsidR="00203BA3" w:rsidRDefault="00203BA3" w:rsidP="00203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B014" w14:textId="27B5D8B9" w:rsidR="00203BA3" w:rsidRDefault="00203B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681D" w14:textId="332EDBDF" w:rsidR="00203BA3" w:rsidRDefault="00203BA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6CC4" w14:textId="37C59D43" w:rsidR="00203BA3" w:rsidRDefault="00203B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0F30" w14:textId="77777777" w:rsidR="00203BA3" w:rsidRDefault="00203BA3" w:rsidP="00203BA3">
      <w:pPr>
        <w:spacing w:line="240" w:lineRule="auto"/>
      </w:pPr>
      <w:r>
        <w:separator/>
      </w:r>
    </w:p>
  </w:footnote>
  <w:footnote w:type="continuationSeparator" w:id="0">
    <w:p w14:paraId="5102074D" w14:textId="77777777" w:rsidR="00203BA3" w:rsidRDefault="00203BA3" w:rsidP="00203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C38E4" w14:textId="0176707A" w:rsidR="00203BA3" w:rsidRDefault="00203B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B028" w14:textId="678C03B0" w:rsidR="00203BA3" w:rsidRDefault="00203B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A2CE6" w14:textId="32B5124E" w:rsidR="00203BA3" w:rsidRDefault="00203B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5590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A3"/>
    <w:rsid w:val="00055323"/>
    <w:rsid w:val="00106E5E"/>
    <w:rsid w:val="00157B87"/>
    <w:rsid w:val="00196267"/>
    <w:rsid w:val="001C7D54"/>
    <w:rsid w:val="00203BA3"/>
    <w:rsid w:val="0027393F"/>
    <w:rsid w:val="002B38CE"/>
    <w:rsid w:val="00345245"/>
    <w:rsid w:val="003A4EC8"/>
    <w:rsid w:val="003C1E35"/>
    <w:rsid w:val="0047685C"/>
    <w:rsid w:val="004D182E"/>
    <w:rsid w:val="004E7BB8"/>
    <w:rsid w:val="00567445"/>
    <w:rsid w:val="00707291"/>
    <w:rsid w:val="008924DC"/>
    <w:rsid w:val="0089323B"/>
    <w:rsid w:val="00981BB5"/>
    <w:rsid w:val="00AC3A40"/>
    <w:rsid w:val="00B63480"/>
    <w:rsid w:val="00CA7E1B"/>
    <w:rsid w:val="00D05D46"/>
    <w:rsid w:val="00D74120"/>
    <w:rsid w:val="00D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29DAC3"/>
  <w15:chartTrackingRefBased/>
  <w15:docId w15:val="{38FF19E7-3AEE-4258-A67D-FE6AA0A5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3BA3"/>
    <w:pPr>
      <w:widowControl w:val="0"/>
      <w:spacing w:after="0" w:line="360" w:lineRule="auto"/>
    </w:pPr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0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0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03B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03B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03B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03B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03B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03B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03B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03B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03B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03BA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0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0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0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0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0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03BA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03BA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03BA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0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03BA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03BA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lny"/>
    <w:rsid w:val="00203BA3"/>
    <w:pPr>
      <w:widowControl/>
      <w:autoSpaceDE w:val="0"/>
      <w:autoSpaceDN w:val="0"/>
      <w:spacing w:line="240" w:lineRule="auto"/>
    </w:pPr>
    <w:rPr>
      <w:rFonts w:eastAsia="Calibri"/>
      <w:color w:val="000000"/>
      <w:szCs w:val="24"/>
      <w:lang w:eastAsia="en-GB"/>
    </w:rPr>
  </w:style>
  <w:style w:type="table" w:customStyle="1" w:styleId="Mriekatabuky1">
    <w:name w:val="Mriežka tabuľky1"/>
    <w:basedOn w:val="Normlnatabuka"/>
    <w:next w:val="Mriekatabuky"/>
    <w:uiPriority w:val="59"/>
    <w:rsid w:val="00203BA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basedOn w:val="Normlny"/>
    <w:rsid w:val="00203BA3"/>
    <w:pPr>
      <w:widowControl/>
      <w:spacing w:before="100" w:beforeAutospacing="1" w:after="100" w:afterAutospacing="1" w:line="240" w:lineRule="auto"/>
    </w:pPr>
    <w:rPr>
      <w:szCs w:val="24"/>
      <w:lang w:eastAsia="sk-SK"/>
    </w:rPr>
  </w:style>
  <w:style w:type="character" w:customStyle="1" w:styleId="Zstupntext1">
    <w:name w:val="Zástupný text1"/>
    <w:rsid w:val="00203BA3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39"/>
    <w:rsid w:val="0020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03BA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BA3"/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03BA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BA3"/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5_Doložka-vybraných-vplyvov"/>
    <f:field ref="objsubject" par="" edit="true" text=""/>
    <f:field ref="objcreatedby" par="" text="Brenčič, Marek, JUDr."/>
    <f:field ref="objcreatedat" par="" text="4.9.2024 8:35:53"/>
    <f:field ref="objchangedby" par="" text="Administrator, System"/>
    <f:field ref="objmodifiedat" par="" text="4.9.2024 8:35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Brencic Marek /MEPO/MZV</dc:creator>
  <cp:keywords/>
  <dc:description/>
  <cp:lastModifiedBy>Brencic Marek /MEPO/MZV</cp:lastModifiedBy>
  <cp:revision>9</cp:revision>
  <dcterms:created xsi:type="dcterms:W3CDTF">2024-09-05T06:42:00Z</dcterms:created>
  <dcterms:modified xsi:type="dcterms:W3CDTF">2024-09-27T06:50:00Z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Brenčič</vt:lpwstr>
  </property>
  <property fmtid="{D5CDD505-2E9C-101B-9397-08002B2CF9AE}" pid="12" name="FSC#SKEDITIONSLOVLEX@103.510:zodppredkladatel">
    <vt:lpwstr>Juraj Blanár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uzavretie Posilnenej dohody o partnerstve a spolupráci medzi Európskou úniou a jej členskými štátmi na jednej strane a Kirgizskou republikou na strane druhej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zahraničných vecí a európskych záležitostí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</vt:lpwstr>
  </property>
  <property fmtid="{D5CDD505-2E9C-101B-9397-08002B2CF9AE}" pid="23" name="FSC#SKEDITIONSLOVLEX@103.510:plnynazovpredpis">
    <vt:lpwstr> Návrh na uzavretie Posilnenej dohody o partnerstve a spolupráci medzi Európskou úniou a jej členskými štátmi na jednej strane a Kirgizskou republikou na strane druhej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039101/2024-MEPO-15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LP/2024/469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zahraničných vecí a európskych záležitosti Slovenskej republiky</vt:lpwstr>
  </property>
  <property fmtid="{D5CDD505-2E9C-101B-9397-08002B2CF9AE}" pid="142" name="FSC#SKEDITIONSLOVLEX@103.510:funkciaZodpPredAkuzativ">
    <vt:lpwstr>Ministra zahraničných vecí a európskych záležitostí Slovenskej republiky</vt:lpwstr>
  </property>
  <property fmtid="{D5CDD505-2E9C-101B-9397-08002B2CF9AE}" pid="143" name="FSC#SKEDITIONSLOVLEX@103.510:funkciaZodpPredDativ">
    <vt:lpwstr>Ministrovi zahraničných vecí a európskych záležitostí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Juraj Blanár_x000d_
Minister zahraničných vecí a európskych záležitosti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4. 9. 2024</vt:lpwstr>
  </property>
  <property fmtid="{D5CDD505-2E9C-101B-9397-08002B2CF9AE}" pid="151" name="FSC#COOSYSTEM@1.1:Container">
    <vt:lpwstr>COO.2145.1000.3.6337434</vt:lpwstr>
  </property>
  <property fmtid="{D5CDD505-2E9C-101B-9397-08002B2CF9AE}" pid="152" name="FSC#FSCFOLIO@1.1001:docpropproject">
    <vt:lpwstr/>
  </property>
  <property fmtid="{D5CDD505-2E9C-101B-9397-08002B2CF9AE}" pid="153" name="MSIP_Label_80c7a067-241f-4283-a795-648c046fe564_Enabled">
    <vt:lpwstr>true</vt:lpwstr>
  </property>
  <property fmtid="{D5CDD505-2E9C-101B-9397-08002B2CF9AE}" pid="154" name="MSIP_Label_80c7a067-241f-4283-a795-648c046fe564_SetDate">
    <vt:lpwstr>2024-09-27T06:25:20Z</vt:lpwstr>
  </property>
  <property fmtid="{D5CDD505-2E9C-101B-9397-08002B2CF9AE}" pid="155" name="MSIP_Label_80c7a067-241f-4283-a795-648c046fe564_Method">
    <vt:lpwstr>Privileged</vt:lpwstr>
  </property>
  <property fmtid="{D5CDD505-2E9C-101B-9397-08002B2CF9AE}" pid="156" name="MSIP_Label_80c7a067-241f-4283-a795-648c046fe564_Name">
    <vt:lpwstr>Bez označenia</vt:lpwstr>
  </property>
  <property fmtid="{D5CDD505-2E9C-101B-9397-08002B2CF9AE}" pid="157" name="MSIP_Label_80c7a067-241f-4283-a795-648c046fe564_SiteId">
    <vt:lpwstr>8fe5905d-1a8a-4469-a0d9-11f2c367f0ac</vt:lpwstr>
  </property>
  <property fmtid="{D5CDD505-2E9C-101B-9397-08002B2CF9AE}" pid="158" name="MSIP_Label_80c7a067-241f-4283-a795-648c046fe564_ActionId">
    <vt:lpwstr>85d1ab19-88b3-4033-9e38-4694df0ecc15</vt:lpwstr>
  </property>
  <property fmtid="{D5CDD505-2E9C-101B-9397-08002B2CF9AE}" pid="159" name="MSIP_Label_80c7a067-241f-4283-a795-648c046fe564_ContentBits">
    <vt:lpwstr>0</vt:lpwstr>
  </property>
</Properties>
</file>