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FB" w:rsidRPr="006E0B8D" w:rsidRDefault="006E0B8D" w:rsidP="006E0B8D">
      <w:pPr>
        <w:numPr>
          <w:ilvl w:val="0"/>
          <w:numId w:val="0"/>
        </w:numPr>
        <w:spacing w:after="0"/>
        <w:jc w:val="center"/>
        <w:rPr>
          <w:b/>
        </w:rPr>
      </w:pPr>
      <w:r w:rsidRPr="006E0B8D">
        <w:rPr>
          <w:b/>
        </w:rPr>
        <w:t>TABUĽKA ZHODY</w:t>
      </w:r>
    </w:p>
    <w:p w:rsidR="006E0B8D" w:rsidRPr="006E0B8D" w:rsidRDefault="00EB23C9" w:rsidP="006E0B8D">
      <w:pPr>
        <w:numPr>
          <w:ilvl w:val="0"/>
          <w:numId w:val="0"/>
        </w:numPr>
        <w:jc w:val="center"/>
        <w:rPr>
          <w:b/>
        </w:rPr>
      </w:pPr>
      <w:r>
        <w:rPr>
          <w:b/>
        </w:rPr>
        <w:t>n</w:t>
      </w:r>
      <w:r w:rsidR="006E0B8D" w:rsidRPr="006E0B8D">
        <w:rPr>
          <w:b/>
        </w:rPr>
        <w:t>ávrhu právneho predpisu s právom Európskej únie</w:t>
      </w:r>
    </w:p>
    <w:tbl>
      <w:tblPr>
        <w:tblStyle w:val="Mriekatabuky"/>
        <w:tblW w:w="15019" w:type="dxa"/>
        <w:tblLayout w:type="fixed"/>
        <w:tblLook w:val="04A0" w:firstRow="1" w:lastRow="0" w:firstColumn="1" w:lastColumn="0" w:noHBand="0" w:noVBand="1"/>
      </w:tblPr>
      <w:tblGrid>
        <w:gridCol w:w="846"/>
        <w:gridCol w:w="2410"/>
        <w:gridCol w:w="992"/>
        <w:gridCol w:w="1134"/>
        <w:gridCol w:w="954"/>
        <w:gridCol w:w="3298"/>
        <w:gridCol w:w="851"/>
        <w:gridCol w:w="1530"/>
        <w:gridCol w:w="776"/>
        <w:gridCol w:w="2228"/>
      </w:tblGrid>
      <w:tr w:rsidR="006E0B8D" w:rsidRPr="00843CC8" w:rsidTr="00DC0D77">
        <w:trPr>
          <w:trHeight w:val="789"/>
        </w:trPr>
        <w:tc>
          <w:tcPr>
            <w:tcW w:w="4248" w:type="dxa"/>
            <w:gridSpan w:val="3"/>
            <w:vAlign w:val="center"/>
          </w:tcPr>
          <w:p w:rsidR="006E0B8D" w:rsidRPr="007252CC" w:rsidRDefault="007252CC" w:rsidP="00843CC8">
            <w:pPr>
              <w:numPr>
                <w:ilvl w:val="0"/>
                <w:numId w:val="0"/>
              </w:numPr>
              <w:rPr>
                <w:szCs w:val="24"/>
              </w:rPr>
            </w:pPr>
            <w:r w:rsidRPr="007252CC">
              <w:rPr>
                <w:szCs w:val="24"/>
              </w:rPr>
              <w:t>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(Ú. v. ES L 212, 7.8.2001)</w:t>
            </w:r>
          </w:p>
        </w:tc>
        <w:tc>
          <w:tcPr>
            <w:tcW w:w="10771" w:type="dxa"/>
            <w:gridSpan w:val="7"/>
            <w:vAlign w:val="center"/>
          </w:tcPr>
          <w:p w:rsidR="00C21804" w:rsidRDefault="00C21804" w:rsidP="007252CC">
            <w:r w:rsidRPr="007252CC">
              <w:t>Návrh z</w:t>
            </w:r>
            <w:r w:rsidRPr="007252CC">
              <w:rPr>
                <w:bCs/>
              </w:rPr>
              <w:t>ákona, ktorým sa mení a dopĺňa zákon č. 153/2013 Z. z. o národnom zdravotníckom informačnom systéme a o zmene a doplnení niektorých zákonov v znení neskorších predpisov a ktorým sa menia a dopĺňajú niektoré zákony</w:t>
            </w:r>
          </w:p>
          <w:p w:rsidR="007252CC" w:rsidRDefault="007252CC" w:rsidP="007252CC">
            <w:r w:rsidRPr="00F20E89">
              <w:t>Z</w:t>
            </w:r>
            <w:r w:rsidR="00116B2D">
              <w:t>á</w:t>
            </w:r>
            <w:r w:rsidRPr="00F20E89">
              <w:t xml:space="preserve">kon č. 576/2004 Z. z. o zdravotnej starostlivosti, službách súvisiacich s poskytovaním zdravotnej starostlivosti a o zmene a doplnení niektorých zákonov v znení </w:t>
            </w:r>
            <w:r w:rsidRPr="00957C0D">
              <w:t xml:space="preserve">neskorších predpisov </w:t>
            </w:r>
          </w:p>
          <w:p w:rsidR="00747A1F" w:rsidRPr="007252CC" w:rsidRDefault="00747A1F" w:rsidP="00C21804">
            <w:pPr>
              <w:numPr>
                <w:ilvl w:val="0"/>
                <w:numId w:val="0"/>
              </w:numPr>
              <w:ind w:left="720" w:hanging="360"/>
            </w:pPr>
            <w:bookmarkStart w:id="0" w:name="_GoBack"/>
            <w:bookmarkEnd w:id="0"/>
          </w:p>
        </w:tc>
      </w:tr>
      <w:tr w:rsidR="006E0B8D" w:rsidRPr="00843CC8" w:rsidTr="007252CC">
        <w:trPr>
          <w:trHeight w:val="275"/>
        </w:trPr>
        <w:tc>
          <w:tcPr>
            <w:tcW w:w="846"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1</w:t>
            </w:r>
          </w:p>
        </w:tc>
        <w:tc>
          <w:tcPr>
            <w:tcW w:w="2410"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2</w:t>
            </w:r>
          </w:p>
        </w:tc>
        <w:tc>
          <w:tcPr>
            <w:tcW w:w="992"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3</w:t>
            </w:r>
          </w:p>
        </w:tc>
        <w:tc>
          <w:tcPr>
            <w:tcW w:w="1134"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4</w:t>
            </w:r>
          </w:p>
        </w:tc>
        <w:tc>
          <w:tcPr>
            <w:tcW w:w="954"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5</w:t>
            </w:r>
          </w:p>
        </w:tc>
        <w:tc>
          <w:tcPr>
            <w:tcW w:w="3298"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6</w:t>
            </w:r>
          </w:p>
        </w:tc>
        <w:tc>
          <w:tcPr>
            <w:tcW w:w="851"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7</w:t>
            </w:r>
          </w:p>
        </w:tc>
        <w:tc>
          <w:tcPr>
            <w:tcW w:w="1530"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8</w:t>
            </w:r>
          </w:p>
        </w:tc>
        <w:tc>
          <w:tcPr>
            <w:tcW w:w="776"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9</w:t>
            </w:r>
          </w:p>
        </w:tc>
        <w:tc>
          <w:tcPr>
            <w:tcW w:w="2228"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10</w:t>
            </w:r>
          </w:p>
        </w:tc>
      </w:tr>
      <w:tr w:rsidR="006E0B8D" w:rsidRPr="00843CC8" w:rsidTr="007252CC">
        <w:tc>
          <w:tcPr>
            <w:tcW w:w="846" w:type="dxa"/>
          </w:tcPr>
          <w:p w:rsidR="006E0B8D" w:rsidRPr="00843CC8" w:rsidRDefault="001A2C99" w:rsidP="001A2C99">
            <w:pPr>
              <w:numPr>
                <w:ilvl w:val="0"/>
                <w:numId w:val="0"/>
              </w:numPr>
              <w:spacing w:after="0" w:line="240" w:lineRule="auto"/>
              <w:rPr>
                <w:sz w:val="20"/>
                <w:szCs w:val="20"/>
              </w:rPr>
            </w:pPr>
            <w:r w:rsidRPr="00843CC8">
              <w:rPr>
                <w:sz w:val="20"/>
                <w:szCs w:val="20"/>
              </w:rPr>
              <w:t>Článok (Č, O, V, P)</w:t>
            </w:r>
          </w:p>
        </w:tc>
        <w:tc>
          <w:tcPr>
            <w:tcW w:w="2410" w:type="dxa"/>
          </w:tcPr>
          <w:p w:rsidR="006E0B8D" w:rsidRPr="00843CC8" w:rsidRDefault="001A2C99" w:rsidP="001A2C99">
            <w:pPr>
              <w:numPr>
                <w:ilvl w:val="0"/>
                <w:numId w:val="0"/>
              </w:numPr>
              <w:spacing w:after="0" w:line="240" w:lineRule="auto"/>
              <w:rPr>
                <w:sz w:val="20"/>
                <w:szCs w:val="20"/>
              </w:rPr>
            </w:pPr>
            <w:r w:rsidRPr="00843CC8">
              <w:rPr>
                <w:sz w:val="20"/>
                <w:szCs w:val="20"/>
              </w:rPr>
              <w:t>Text</w:t>
            </w:r>
          </w:p>
        </w:tc>
        <w:tc>
          <w:tcPr>
            <w:tcW w:w="992" w:type="dxa"/>
          </w:tcPr>
          <w:p w:rsidR="006E0B8D" w:rsidRPr="00843CC8" w:rsidRDefault="001A2C99" w:rsidP="001A2C99">
            <w:pPr>
              <w:numPr>
                <w:ilvl w:val="0"/>
                <w:numId w:val="0"/>
              </w:numPr>
              <w:spacing w:after="0" w:line="240" w:lineRule="auto"/>
              <w:rPr>
                <w:sz w:val="20"/>
                <w:szCs w:val="20"/>
              </w:rPr>
            </w:pPr>
            <w:r w:rsidRPr="00843CC8">
              <w:rPr>
                <w:sz w:val="20"/>
                <w:szCs w:val="20"/>
              </w:rPr>
              <w:t>Spôsob transpozície</w:t>
            </w:r>
          </w:p>
        </w:tc>
        <w:tc>
          <w:tcPr>
            <w:tcW w:w="1134" w:type="dxa"/>
          </w:tcPr>
          <w:p w:rsidR="006E0B8D" w:rsidRPr="00843CC8" w:rsidRDefault="001A2C99" w:rsidP="001A2C99">
            <w:pPr>
              <w:numPr>
                <w:ilvl w:val="0"/>
                <w:numId w:val="0"/>
              </w:numPr>
              <w:spacing w:after="0" w:line="240" w:lineRule="auto"/>
              <w:rPr>
                <w:sz w:val="20"/>
                <w:szCs w:val="20"/>
              </w:rPr>
            </w:pPr>
            <w:r w:rsidRPr="00843CC8">
              <w:rPr>
                <w:sz w:val="20"/>
                <w:szCs w:val="20"/>
              </w:rPr>
              <w:t>Číslo</w:t>
            </w:r>
          </w:p>
        </w:tc>
        <w:tc>
          <w:tcPr>
            <w:tcW w:w="954" w:type="dxa"/>
          </w:tcPr>
          <w:p w:rsidR="006E0B8D" w:rsidRPr="00843CC8" w:rsidRDefault="001A2C99" w:rsidP="001A2C99">
            <w:pPr>
              <w:numPr>
                <w:ilvl w:val="0"/>
                <w:numId w:val="0"/>
              </w:numPr>
              <w:spacing w:after="0" w:line="240" w:lineRule="auto"/>
              <w:rPr>
                <w:sz w:val="20"/>
                <w:szCs w:val="20"/>
              </w:rPr>
            </w:pPr>
            <w:r w:rsidRPr="00843CC8">
              <w:rPr>
                <w:sz w:val="20"/>
                <w:szCs w:val="20"/>
              </w:rPr>
              <w:t>Článok (Č, §, O, V, P)</w:t>
            </w:r>
          </w:p>
        </w:tc>
        <w:tc>
          <w:tcPr>
            <w:tcW w:w="3298" w:type="dxa"/>
          </w:tcPr>
          <w:p w:rsidR="006E0B8D" w:rsidRPr="00843CC8" w:rsidRDefault="001A2C99" w:rsidP="001A2C99">
            <w:pPr>
              <w:numPr>
                <w:ilvl w:val="0"/>
                <w:numId w:val="0"/>
              </w:numPr>
              <w:spacing w:after="0" w:line="240" w:lineRule="auto"/>
              <w:rPr>
                <w:sz w:val="20"/>
                <w:szCs w:val="20"/>
              </w:rPr>
            </w:pPr>
            <w:r w:rsidRPr="00843CC8">
              <w:rPr>
                <w:sz w:val="20"/>
                <w:szCs w:val="20"/>
              </w:rPr>
              <w:t>Text</w:t>
            </w:r>
          </w:p>
        </w:tc>
        <w:tc>
          <w:tcPr>
            <w:tcW w:w="851" w:type="dxa"/>
          </w:tcPr>
          <w:p w:rsidR="006E0B8D" w:rsidRPr="00843CC8" w:rsidRDefault="001A2C99" w:rsidP="001A2C99">
            <w:pPr>
              <w:numPr>
                <w:ilvl w:val="0"/>
                <w:numId w:val="0"/>
              </w:numPr>
              <w:spacing w:after="0" w:line="240" w:lineRule="auto"/>
              <w:rPr>
                <w:sz w:val="20"/>
                <w:szCs w:val="20"/>
              </w:rPr>
            </w:pPr>
            <w:r w:rsidRPr="00843CC8">
              <w:rPr>
                <w:sz w:val="20"/>
                <w:szCs w:val="20"/>
              </w:rPr>
              <w:t>Zhoda</w:t>
            </w:r>
          </w:p>
        </w:tc>
        <w:tc>
          <w:tcPr>
            <w:tcW w:w="1530" w:type="dxa"/>
          </w:tcPr>
          <w:p w:rsidR="006E0B8D" w:rsidRPr="00843CC8" w:rsidRDefault="001A2C99" w:rsidP="001A2C99">
            <w:pPr>
              <w:numPr>
                <w:ilvl w:val="0"/>
                <w:numId w:val="0"/>
              </w:numPr>
              <w:spacing w:after="0" w:line="240" w:lineRule="auto"/>
              <w:rPr>
                <w:sz w:val="20"/>
                <w:szCs w:val="20"/>
              </w:rPr>
            </w:pPr>
            <w:r w:rsidRPr="00843CC8">
              <w:rPr>
                <w:sz w:val="20"/>
                <w:szCs w:val="20"/>
              </w:rPr>
              <w:t>Poznámky</w:t>
            </w:r>
          </w:p>
        </w:tc>
        <w:tc>
          <w:tcPr>
            <w:tcW w:w="776" w:type="dxa"/>
          </w:tcPr>
          <w:p w:rsidR="006E0B8D" w:rsidRPr="00843CC8" w:rsidRDefault="001A2C99" w:rsidP="001A2C99">
            <w:pPr>
              <w:numPr>
                <w:ilvl w:val="0"/>
                <w:numId w:val="0"/>
              </w:numPr>
              <w:spacing w:after="0" w:line="240" w:lineRule="auto"/>
              <w:rPr>
                <w:sz w:val="20"/>
                <w:szCs w:val="20"/>
              </w:rPr>
            </w:pPr>
            <w:r w:rsidRPr="00843CC8">
              <w:rPr>
                <w:sz w:val="20"/>
                <w:szCs w:val="20"/>
              </w:rPr>
              <w:t>Identifikácia goldplatingu</w:t>
            </w:r>
          </w:p>
        </w:tc>
        <w:tc>
          <w:tcPr>
            <w:tcW w:w="2228" w:type="dxa"/>
          </w:tcPr>
          <w:p w:rsidR="006E0B8D" w:rsidRPr="00843CC8" w:rsidRDefault="001A2C99" w:rsidP="001A2C99">
            <w:pPr>
              <w:numPr>
                <w:ilvl w:val="0"/>
                <w:numId w:val="0"/>
              </w:numPr>
              <w:spacing w:after="0" w:line="240" w:lineRule="auto"/>
              <w:rPr>
                <w:sz w:val="20"/>
                <w:szCs w:val="20"/>
              </w:rPr>
            </w:pPr>
            <w:r w:rsidRPr="00843CC8">
              <w:rPr>
                <w:sz w:val="20"/>
                <w:szCs w:val="20"/>
              </w:rPr>
              <w:t>Identifikácia oblasti goldplatingu a vyjadrenie k opodstatnenosti goldplatingu</w:t>
            </w:r>
          </w:p>
        </w:tc>
      </w:tr>
      <w:tr w:rsidR="007252CC" w:rsidRPr="00843CC8" w:rsidTr="007252CC">
        <w:tc>
          <w:tcPr>
            <w:tcW w:w="846" w:type="dxa"/>
          </w:tcPr>
          <w:p w:rsidR="007252CC" w:rsidRPr="007252CC" w:rsidRDefault="007252CC" w:rsidP="007252CC">
            <w:pPr>
              <w:numPr>
                <w:ilvl w:val="0"/>
                <w:numId w:val="0"/>
              </w:numPr>
              <w:spacing w:after="0" w:line="240" w:lineRule="auto"/>
              <w:rPr>
                <w:sz w:val="20"/>
                <w:szCs w:val="20"/>
              </w:rPr>
            </w:pPr>
            <w:r w:rsidRPr="007252CC">
              <w:rPr>
                <w:sz w:val="20"/>
                <w:szCs w:val="20"/>
              </w:rPr>
              <w:t>Č 13</w:t>
            </w:r>
          </w:p>
          <w:p w:rsidR="007252CC" w:rsidRPr="00843CC8" w:rsidRDefault="007252CC" w:rsidP="007252CC">
            <w:pPr>
              <w:numPr>
                <w:ilvl w:val="0"/>
                <w:numId w:val="0"/>
              </w:numPr>
              <w:spacing w:after="0" w:line="240" w:lineRule="auto"/>
              <w:rPr>
                <w:sz w:val="20"/>
                <w:szCs w:val="20"/>
              </w:rPr>
            </w:pPr>
            <w:r w:rsidRPr="007252CC">
              <w:rPr>
                <w:sz w:val="20"/>
                <w:szCs w:val="20"/>
              </w:rPr>
              <w:t>O 2</w:t>
            </w:r>
          </w:p>
        </w:tc>
        <w:tc>
          <w:tcPr>
            <w:tcW w:w="2410" w:type="dxa"/>
          </w:tcPr>
          <w:p w:rsidR="007252CC" w:rsidRPr="00843CC8" w:rsidRDefault="007252CC" w:rsidP="007252CC">
            <w:pPr>
              <w:numPr>
                <w:ilvl w:val="0"/>
                <w:numId w:val="0"/>
              </w:numPr>
              <w:spacing w:after="0" w:line="240" w:lineRule="auto"/>
              <w:rPr>
                <w:sz w:val="20"/>
                <w:szCs w:val="20"/>
              </w:rPr>
            </w:pPr>
            <w:r w:rsidRPr="007252CC">
              <w:rPr>
                <w:sz w:val="20"/>
                <w:szCs w:val="20"/>
              </w:rPr>
              <w:t>Členské štáty vydajú opatrenie, aby osoby požívajúce dočasnú ochranu dostali potrebnú pomoc pokiaľ ide o sociálnu starostlivosť a existenčné prostriedky, ak nemajú dostatok prostriedkov, a taktiež pokiaľ ide o lekársku starostlivosť. Bez toho, aby bol dotknutý odsek 4, bude lekárska starostlivosti zahrnovať prinajmenšom akútne ošetrenie a základnú liečbu ochorenia.</w:t>
            </w:r>
          </w:p>
        </w:tc>
        <w:tc>
          <w:tcPr>
            <w:tcW w:w="992" w:type="dxa"/>
          </w:tcPr>
          <w:p w:rsidR="007252CC" w:rsidRPr="00843CC8" w:rsidRDefault="007252CC" w:rsidP="007252CC">
            <w:pPr>
              <w:numPr>
                <w:ilvl w:val="0"/>
                <w:numId w:val="0"/>
              </w:numPr>
              <w:spacing w:after="0" w:line="240" w:lineRule="auto"/>
              <w:jc w:val="center"/>
              <w:rPr>
                <w:sz w:val="20"/>
                <w:szCs w:val="20"/>
              </w:rPr>
            </w:pPr>
            <w:r w:rsidRPr="00843CC8">
              <w:rPr>
                <w:sz w:val="20"/>
                <w:szCs w:val="20"/>
              </w:rPr>
              <w:t>N</w:t>
            </w: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tc>
        <w:tc>
          <w:tcPr>
            <w:tcW w:w="1134" w:type="dxa"/>
          </w:tcPr>
          <w:p w:rsidR="007252CC" w:rsidRPr="00DA68BB" w:rsidRDefault="00116B2D" w:rsidP="00C21804">
            <w:pPr>
              <w:numPr>
                <w:ilvl w:val="0"/>
                <w:numId w:val="0"/>
              </w:numPr>
              <w:spacing w:after="0" w:line="240" w:lineRule="auto"/>
              <w:rPr>
                <w:sz w:val="20"/>
                <w:szCs w:val="20"/>
              </w:rPr>
            </w:pPr>
            <w:r w:rsidRPr="00DA68BB">
              <w:rPr>
                <w:sz w:val="20"/>
                <w:szCs w:val="20"/>
              </w:rPr>
              <w:t xml:space="preserve">Návrh zákona, ktorým sa mení a dopĺňa zákon č. 153/2013 Z. z. </w:t>
            </w:r>
            <w:r w:rsidR="00C21804">
              <w:rPr>
                <w:sz w:val="20"/>
                <w:szCs w:val="20"/>
              </w:rPr>
              <w:t xml:space="preserve">a </w:t>
            </w:r>
            <w:r w:rsidR="00DA68BB" w:rsidRPr="00DA68BB">
              <w:rPr>
                <w:sz w:val="20"/>
                <w:szCs w:val="20"/>
              </w:rPr>
              <w:t xml:space="preserve">Zákon č. 576/2004 Z. z. </w:t>
            </w:r>
          </w:p>
        </w:tc>
        <w:tc>
          <w:tcPr>
            <w:tcW w:w="954" w:type="dxa"/>
          </w:tcPr>
          <w:p w:rsidR="00037DC2" w:rsidRDefault="00037DC2" w:rsidP="007252CC">
            <w:pPr>
              <w:numPr>
                <w:ilvl w:val="0"/>
                <w:numId w:val="0"/>
              </w:numPr>
              <w:spacing w:after="0" w:line="240" w:lineRule="auto"/>
              <w:rPr>
                <w:sz w:val="20"/>
                <w:szCs w:val="20"/>
              </w:rPr>
            </w:pPr>
            <w:r>
              <w:rPr>
                <w:sz w:val="20"/>
                <w:szCs w:val="20"/>
              </w:rPr>
              <w:t>Č 4</w:t>
            </w:r>
          </w:p>
          <w:p w:rsidR="007252CC" w:rsidRPr="007252CC" w:rsidRDefault="007252CC" w:rsidP="007252CC">
            <w:pPr>
              <w:numPr>
                <w:ilvl w:val="0"/>
                <w:numId w:val="0"/>
              </w:numPr>
              <w:spacing w:after="0" w:line="240" w:lineRule="auto"/>
              <w:rPr>
                <w:sz w:val="20"/>
                <w:szCs w:val="20"/>
              </w:rPr>
            </w:pPr>
            <w:r w:rsidRPr="007252CC">
              <w:rPr>
                <w:sz w:val="20"/>
                <w:szCs w:val="20"/>
              </w:rPr>
              <w:t xml:space="preserve">§ 12 </w:t>
            </w:r>
          </w:p>
          <w:p w:rsidR="007252CC" w:rsidRPr="00843CC8" w:rsidRDefault="007252CC" w:rsidP="007252CC">
            <w:pPr>
              <w:numPr>
                <w:ilvl w:val="0"/>
                <w:numId w:val="0"/>
              </w:numPr>
              <w:spacing w:after="0" w:line="240" w:lineRule="auto"/>
              <w:rPr>
                <w:sz w:val="20"/>
                <w:szCs w:val="20"/>
              </w:rPr>
            </w:pPr>
            <w:r w:rsidRPr="007252CC">
              <w:rPr>
                <w:sz w:val="20"/>
                <w:szCs w:val="20"/>
              </w:rPr>
              <w:t>O 11</w:t>
            </w: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tc>
        <w:tc>
          <w:tcPr>
            <w:tcW w:w="3298" w:type="dxa"/>
          </w:tcPr>
          <w:p w:rsidR="007252CC" w:rsidRPr="00843CC8" w:rsidRDefault="007252CC" w:rsidP="007252CC">
            <w:pPr>
              <w:numPr>
                <w:ilvl w:val="0"/>
                <w:numId w:val="0"/>
              </w:numPr>
              <w:spacing w:after="0" w:line="240" w:lineRule="auto"/>
              <w:rPr>
                <w:sz w:val="20"/>
                <w:szCs w:val="20"/>
              </w:rPr>
            </w:pPr>
            <w:r w:rsidRPr="007252CC">
              <w:rPr>
                <w:sz w:val="20"/>
                <w:szCs w:val="20"/>
              </w:rPr>
              <w:t>Dôvod ustanovený v odseku 9 písm. a) sa nevzťahuje na osobu, ktorá má trvalý pobyt, prechodný pobyt, tolerovaný pobyt, alebo ak osoba preukáže poskytovateľovi užívacie právo k nehnuteľnosti, v určenom zdravotnom obvode poskytovateľa ambulantnej starostlivosti podľa § 7 ods. 1 písm. a) bodov jeden a dva. Tento dôvod sa nevzťahuje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w:t>
            </w:r>
          </w:p>
        </w:tc>
        <w:tc>
          <w:tcPr>
            <w:tcW w:w="851" w:type="dxa"/>
          </w:tcPr>
          <w:p w:rsidR="007252CC" w:rsidRPr="00843CC8" w:rsidRDefault="007252CC" w:rsidP="007252CC">
            <w:pPr>
              <w:numPr>
                <w:ilvl w:val="0"/>
                <w:numId w:val="0"/>
              </w:numPr>
              <w:spacing w:after="0" w:line="240" w:lineRule="auto"/>
              <w:jc w:val="center"/>
              <w:rPr>
                <w:sz w:val="20"/>
                <w:szCs w:val="20"/>
              </w:rPr>
            </w:pPr>
            <w:r>
              <w:rPr>
                <w:sz w:val="20"/>
                <w:szCs w:val="20"/>
              </w:rPr>
              <w:t>Ú</w:t>
            </w:r>
          </w:p>
        </w:tc>
        <w:tc>
          <w:tcPr>
            <w:tcW w:w="1530" w:type="dxa"/>
          </w:tcPr>
          <w:p w:rsidR="007252CC" w:rsidRPr="00843CC8" w:rsidRDefault="007252CC" w:rsidP="007252CC">
            <w:pPr>
              <w:numPr>
                <w:ilvl w:val="0"/>
                <w:numId w:val="0"/>
              </w:numPr>
              <w:spacing w:after="0" w:line="240" w:lineRule="auto"/>
              <w:rPr>
                <w:sz w:val="20"/>
                <w:szCs w:val="20"/>
              </w:rPr>
            </w:pPr>
          </w:p>
        </w:tc>
        <w:tc>
          <w:tcPr>
            <w:tcW w:w="776" w:type="dxa"/>
          </w:tcPr>
          <w:p w:rsidR="007252CC" w:rsidRPr="00843CC8" w:rsidRDefault="007252CC" w:rsidP="007252CC">
            <w:pPr>
              <w:numPr>
                <w:ilvl w:val="0"/>
                <w:numId w:val="0"/>
              </w:numPr>
              <w:spacing w:after="0" w:line="240" w:lineRule="auto"/>
              <w:rPr>
                <w:sz w:val="20"/>
                <w:szCs w:val="20"/>
              </w:rPr>
            </w:pPr>
            <w:r>
              <w:rPr>
                <w:sz w:val="20"/>
                <w:szCs w:val="20"/>
              </w:rPr>
              <w:t>GP - N</w:t>
            </w:r>
          </w:p>
        </w:tc>
        <w:tc>
          <w:tcPr>
            <w:tcW w:w="2228" w:type="dxa"/>
          </w:tcPr>
          <w:p w:rsidR="007252CC" w:rsidRPr="00843CC8" w:rsidRDefault="007252CC" w:rsidP="007252CC">
            <w:pPr>
              <w:numPr>
                <w:ilvl w:val="0"/>
                <w:numId w:val="0"/>
              </w:numPr>
              <w:spacing w:after="0" w:line="240" w:lineRule="auto"/>
              <w:rPr>
                <w:sz w:val="20"/>
                <w:szCs w:val="20"/>
              </w:rPr>
            </w:pPr>
          </w:p>
        </w:tc>
      </w:tr>
      <w:tr w:rsidR="00116B2D" w:rsidRPr="00843CC8" w:rsidTr="007252CC">
        <w:tc>
          <w:tcPr>
            <w:tcW w:w="846" w:type="dxa"/>
          </w:tcPr>
          <w:p w:rsidR="00116B2D" w:rsidRPr="007252CC" w:rsidRDefault="00116B2D" w:rsidP="00116B2D">
            <w:pPr>
              <w:numPr>
                <w:ilvl w:val="0"/>
                <w:numId w:val="0"/>
              </w:numPr>
              <w:spacing w:after="0" w:line="240" w:lineRule="auto"/>
              <w:rPr>
                <w:sz w:val="20"/>
                <w:szCs w:val="20"/>
              </w:rPr>
            </w:pPr>
            <w:r w:rsidRPr="007252CC">
              <w:rPr>
                <w:sz w:val="20"/>
                <w:szCs w:val="20"/>
              </w:rPr>
              <w:t>Č.13</w:t>
            </w:r>
          </w:p>
          <w:p w:rsidR="00116B2D" w:rsidRPr="007252CC" w:rsidRDefault="00116B2D" w:rsidP="00116B2D">
            <w:pPr>
              <w:numPr>
                <w:ilvl w:val="0"/>
                <w:numId w:val="0"/>
              </w:numPr>
              <w:spacing w:after="0" w:line="240" w:lineRule="auto"/>
              <w:rPr>
                <w:sz w:val="20"/>
                <w:szCs w:val="20"/>
              </w:rPr>
            </w:pPr>
            <w:r w:rsidRPr="007252CC">
              <w:rPr>
                <w:sz w:val="20"/>
                <w:szCs w:val="20"/>
              </w:rPr>
              <w:t>O 4</w:t>
            </w:r>
          </w:p>
        </w:tc>
        <w:tc>
          <w:tcPr>
            <w:tcW w:w="2410" w:type="dxa"/>
          </w:tcPr>
          <w:p w:rsidR="00116B2D" w:rsidRPr="007252CC" w:rsidRDefault="00116B2D" w:rsidP="00116B2D">
            <w:pPr>
              <w:numPr>
                <w:ilvl w:val="0"/>
                <w:numId w:val="0"/>
              </w:numPr>
              <w:spacing w:after="0" w:line="240" w:lineRule="auto"/>
              <w:rPr>
                <w:sz w:val="20"/>
                <w:szCs w:val="20"/>
              </w:rPr>
            </w:pPr>
            <w:r w:rsidRPr="007252CC">
              <w:rPr>
                <w:sz w:val="20"/>
                <w:szCs w:val="20"/>
              </w:rPr>
              <w:t>Členské štáty poskytnú nevyhnutnú lekársku alebo inú pomoc osobám požívajúcim dočasnú ochranu, ktoré majú špecifické potreby, ako sú neplnoletí bez sprievodu alebo osoby, ktoré sa stali obeťami mučenia, znásilnenia, alebo inej vážnej formy psychického, fyzického alebo sexuálneho násilia.</w:t>
            </w:r>
          </w:p>
        </w:tc>
        <w:tc>
          <w:tcPr>
            <w:tcW w:w="992" w:type="dxa"/>
          </w:tcPr>
          <w:p w:rsidR="00116B2D" w:rsidRPr="00843CC8" w:rsidRDefault="00116B2D" w:rsidP="00116B2D">
            <w:pPr>
              <w:numPr>
                <w:ilvl w:val="0"/>
                <w:numId w:val="0"/>
              </w:numPr>
              <w:spacing w:after="0" w:line="240" w:lineRule="auto"/>
              <w:jc w:val="center"/>
              <w:rPr>
                <w:sz w:val="20"/>
                <w:szCs w:val="20"/>
              </w:rPr>
            </w:pPr>
            <w:r w:rsidRPr="007252CC">
              <w:rPr>
                <w:sz w:val="20"/>
                <w:szCs w:val="20"/>
              </w:rPr>
              <w:t>N</w:t>
            </w:r>
          </w:p>
        </w:tc>
        <w:tc>
          <w:tcPr>
            <w:tcW w:w="1134" w:type="dxa"/>
          </w:tcPr>
          <w:p w:rsidR="00116B2D" w:rsidRPr="00DA68BB" w:rsidRDefault="00C21804" w:rsidP="00116B2D">
            <w:pPr>
              <w:numPr>
                <w:ilvl w:val="0"/>
                <w:numId w:val="0"/>
              </w:numPr>
              <w:spacing w:after="0" w:line="240" w:lineRule="auto"/>
              <w:rPr>
                <w:sz w:val="20"/>
                <w:szCs w:val="20"/>
              </w:rPr>
            </w:pPr>
            <w:r w:rsidRPr="00DA68BB">
              <w:rPr>
                <w:sz w:val="20"/>
                <w:szCs w:val="20"/>
              </w:rPr>
              <w:t xml:space="preserve">Návrh zákona, ktorým sa mení a dopĺňa zákon č. 153/2013 Z. z. </w:t>
            </w:r>
            <w:r>
              <w:rPr>
                <w:sz w:val="20"/>
                <w:szCs w:val="20"/>
              </w:rPr>
              <w:t xml:space="preserve">a </w:t>
            </w:r>
            <w:r w:rsidRPr="00DA68BB">
              <w:rPr>
                <w:sz w:val="20"/>
                <w:szCs w:val="20"/>
              </w:rPr>
              <w:t>Zákon č. 576/2004 Z. z.</w:t>
            </w:r>
          </w:p>
        </w:tc>
        <w:tc>
          <w:tcPr>
            <w:tcW w:w="954" w:type="dxa"/>
          </w:tcPr>
          <w:p w:rsidR="00DA68BB" w:rsidRDefault="00DA68BB" w:rsidP="00116B2D">
            <w:pPr>
              <w:numPr>
                <w:ilvl w:val="0"/>
                <w:numId w:val="0"/>
              </w:numPr>
              <w:spacing w:after="0" w:line="240" w:lineRule="auto"/>
              <w:rPr>
                <w:sz w:val="20"/>
                <w:szCs w:val="20"/>
              </w:rPr>
            </w:pPr>
            <w:r>
              <w:rPr>
                <w:sz w:val="20"/>
                <w:szCs w:val="20"/>
              </w:rPr>
              <w:t>Č 4</w:t>
            </w:r>
          </w:p>
          <w:p w:rsidR="00116B2D" w:rsidRPr="00116B2D" w:rsidRDefault="00116B2D" w:rsidP="00116B2D">
            <w:pPr>
              <w:numPr>
                <w:ilvl w:val="0"/>
                <w:numId w:val="0"/>
              </w:numPr>
              <w:spacing w:after="0" w:line="240" w:lineRule="auto"/>
              <w:rPr>
                <w:sz w:val="20"/>
                <w:szCs w:val="20"/>
              </w:rPr>
            </w:pPr>
            <w:r w:rsidRPr="00116B2D">
              <w:rPr>
                <w:sz w:val="20"/>
                <w:szCs w:val="20"/>
              </w:rPr>
              <w:t xml:space="preserve">§ 12 </w:t>
            </w:r>
          </w:p>
          <w:p w:rsidR="00116B2D" w:rsidRPr="007252CC" w:rsidRDefault="00116B2D" w:rsidP="00116B2D">
            <w:pPr>
              <w:numPr>
                <w:ilvl w:val="0"/>
                <w:numId w:val="0"/>
              </w:numPr>
              <w:spacing w:after="0" w:line="240" w:lineRule="auto"/>
              <w:rPr>
                <w:sz w:val="20"/>
                <w:szCs w:val="20"/>
              </w:rPr>
            </w:pPr>
            <w:r w:rsidRPr="00116B2D">
              <w:rPr>
                <w:sz w:val="20"/>
                <w:szCs w:val="20"/>
              </w:rPr>
              <w:t>O 11</w:t>
            </w:r>
          </w:p>
        </w:tc>
        <w:tc>
          <w:tcPr>
            <w:tcW w:w="3298" w:type="dxa"/>
          </w:tcPr>
          <w:p w:rsidR="00116B2D" w:rsidRPr="00843CC8" w:rsidRDefault="00116B2D" w:rsidP="00116B2D">
            <w:pPr>
              <w:numPr>
                <w:ilvl w:val="0"/>
                <w:numId w:val="0"/>
              </w:numPr>
              <w:spacing w:after="0" w:line="240" w:lineRule="auto"/>
              <w:rPr>
                <w:sz w:val="20"/>
                <w:szCs w:val="20"/>
              </w:rPr>
            </w:pPr>
            <w:r w:rsidRPr="007252CC">
              <w:rPr>
                <w:sz w:val="20"/>
                <w:szCs w:val="20"/>
              </w:rPr>
              <w:t>Dôvod ustanovený v odseku 9 písm. a) sa nevzťahuje na osobu, ktorá má trvalý pobyt, prechodný pobyt, tolerovaný pobyt, alebo ak osoba preukáže poskytovateľovi užívacie právo k nehnuteľnosti, v určenom zdravotnom obvode poskytovateľa ambulantnej starostlivosti podľa § 7 ods. 1 písm. a) bodov jeden a dva. Tento dôvod sa nevzťahuje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w:t>
            </w:r>
          </w:p>
        </w:tc>
        <w:tc>
          <w:tcPr>
            <w:tcW w:w="851" w:type="dxa"/>
          </w:tcPr>
          <w:p w:rsidR="00116B2D" w:rsidRPr="00843CC8" w:rsidRDefault="00116B2D" w:rsidP="00116B2D">
            <w:pPr>
              <w:numPr>
                <w:ilvl w:val="0"/>
                <w:numId w:val="0"/>
              </w:numPr>
              <w:spacing w:after="0" w:line="240" w:lineRule="auto"/>
              <w:jc w:val="center"/>
              <w:rPr>
                <w:sz w:val="20"/>
                <w:szCs w:val="20"/>
              </w:rPr>
            </w:pPr>
            <w:r>
              <w:rPr>
                <w:sz w:val="20"/>
                <w:szCs w:val="20"/>
              </w:rPr>
              <w:t>Ú</w:t>
            </w:r>
          </w:p>
        </w:tc>
        <w:tc>
          <w:tcPr>
            <w:tcW w:w="1530" w:type="dxa"/>
          </w:tcPr>
          <w:p w:rsidR="00116B2D" w:rsidRPr="007252CC" w:rsidRDefault="00116B2D" w:rsidP="00116B2D">
            <w:pPr>
              <w:numPr>
                <w:ilvl w:val="0"/>
                <w:numId w:val="0"/>
              </w:numPr>
              <w:spacing w:after="0" w:line="240" w:lineRule="auto"/>
              <w:rPr>
                <w:sz w:val="20"/>
                <w:szCs w:val="20"/>
              </w:rPr>
            </w:pPr>
          </w:p>
        </w:tc>
        <w:tc>
          <w:tcPr>
            <w:tcW w:w="776" w:type="dxa"/>
          </w:tcPr>
          <w:p w:rsidR="00116B2D" w:rsidRPr="00843CC8" w:rsidRDefault="00116B2D" w:rsidP="00116B2D">
            <w:pPr>
              <w:numPr>
                <w:ilvl w:val="0"/>
                <w:numId w:val="0"/>
              </w:numPr>
              <w:spacing w:after="0" w:line="240" w:lineRule="auto"/>
              <w:rPr>
                <w:sz w:val="20"/>
                <w:szCs w:val="20"/>
              </w:rPr>
            </w:pPr>
            <w:r>
              <w:rPr>
                <w:sz w:val="20"/>
                <w:szCs w:val="20"/>
              </w:rPr>
              <w:t>GP  - N</w:t>
            </w:r>
          </w:p>
        </w:tc>
        <w:tc>
          <w:tcPr>
            <w:tcW w:w="2228" w:type="dxa"/>
          </w:tcPr>
          <w:p w:rsidR="00116B2D" w:rsidRPr="00843CC8" w:rsidRDefault="00116B2D" w:rsidP="00116B2D">
            <w:pPr>
              <w:numPr>
                <w:ilvl w:val="0"/>
                <w:numId w:val="0"/>
              </w:numPr>
              <w:spacing w:after="0" w:line="240" w:lineRule="auto"/>
              <w:rPr>
                <w:sz w:val="20"/>
                <w:szCs w:val="20"/>
              </w:rPr>
            </w:pPr>
          </w:p>
        </w:tc>
      </w:tr>
    </w:tbl>
    <w:p w:rsidR="006E0B8D" w:rsidRPr="00843CC8" w:rsidRDefault="006E0B8D" w:rsidP="006D5697">
      <w:pPr>
        <w:numPr>
          <w:ilvl w:val="0"/>
          <w:numId w:val="0"/>
        </w:numPr>
        <w:spacing w:after="0"/>
        <w:rPr>
          <w:sz w:val="20"/>
          <w:szCs w:val="20"/>
        </w:rPr>
      </w:pPr>
    </w:p>
    <w:sectPr w:rsidR="006E0B8D" w:rsidRPr="00843CC8" w:rsidSect="006E0B8D">
      <w:pgSz w:w="16839" w:h="11907" w:orient="landscape"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70" w:rsidRDefault="00005070" w:rsidP="00627D80">
      <w:pPr>
        <w:spacing w:after="0" w:line="240" w:lineRule="auto"/>
      </w:pPr>
      <w:r>
        <w:separator/>
      </w:r>
    </w:p>
  </w:endnote>
  <w:endnote w:type="continuationSeparator" w:id="0">
    <w:p w:rsidR="00005070" w:rsidRDefault="00005070" w:rsidP="0062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70" w:rsidRDefault="00005070" w:rsidP="00627D80">
      <w:pPr>
        <w:spacing w:after="0" w:line="240" w:lineRule="auto"/>
      </w:pPr>
      <w:r>
        <w:separator/>
      </w:r>
    </w:p>
  </w:footnote>
  <w:footnote w:type="continuationSeparator" w:id="0">
    <w:p w:rsidR="00005070" w:rsidRDefault="00005070" w:rsidP="0062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E60"/>
    <w:multiLevelType w:val="hybridMultilevel"/>
    <w:tmpl w:val="96641D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6F476A"/>
    <w:multiLevelType w:val="hybridMultilevel"/>
    <w:tmpl w:val="2C7CF7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BE4B46"/>
    <w:multiLevelType w:val="hybridMultilevel"/>
    <w:tmpl w:val="E380607A"/>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 w15:restartNumberingAfterBreak="0">
    <w:nsid w:val="14262AA8"/>
    <w:multiLevelType w:val="hybridMultilevel"/>
    <w:tmpl w:val="5596B3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C84886"/>
    <w:multiLevelType w:val="hybridMultilevel"/>
    <w:tmpl w:val="20A4AFC4"/>
    <w:lvl w:ilvl="0" w:tplc="A5287448">
      <w:start w:val="1"/>
      <w:numFmt w:val="lowerLetter"/>
      <w:lvlText w:val="%1)"/>
      <w:lvlJc w:val="left"/>
      <w:pPr>
        <w:ind w:left="786" w:hanging="360"/>
      </w:pPr>
      <w:rPr>
        <w:rFonts w:hint="default"/>
        <w:i w:val="0"/>
        <w:color w:val="49494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E850442"/>
    <w:multiLevelType w:val="hybridMultilevel"/>
    <w:tmpl w:val="37424BB0"/>
    <w:lvl w:ilvl="0" w:tplc="8460EA72">
      <w:start w:val="1"/>
      <w:numFmt w:val="lowerLetter"/>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E74A8"/>
    <w:multiLevelType w:val="hybridMultilevel"/>
    <w:tmpl w:val="8DBA8D32"/>
    <w:lvl w:ilvl="0" w:tplc="417CB6B8">
      <w:start w:val="1"/>
      <w:numFmt w:val="decimal"/>
      <w:lvlText w:val="(%1)"/>
      <w:lvlJc w:val="left"/>
      <w:pPr>
        <w:ind w:left="720" w:hanging="360"/>
      </w:pPr>
      <w:rPr>
        <w:rFonts w:hint="default"/>
        <w:color w:val="auto"/>
      </w:rPr>
    </w:lvl>
    <w:lvl w:ilvl="1" w:tplc="C102F376">
      <w:start w:val="1"/>
      <w:numFmt w:val="lowerLetter"/>
      <w:lvlText w:val="%2)"/>
      <w:lvlJc w:val="left"/>
      <w:pPr>
        <w:ind w:left="644"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3A1D67"/>
    <w:multiLevelType w:val="hybridMultilevel"/>
    <w:tmpl w:val="21C28C7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28F8146E">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3D3425C9"/>
    <w:multiLevelType w:val="hybridMultilevel"/>
    <w:tmpl w:val="99B40580"/>
    <w:lvl w:ilvl="0" w:tplc="584014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0867530"/>
    <w:multiLevelType w:val="hybridMultilevel"/>
    <w:tmpl w:val="96641D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0E522E"/>
    <w:multiLevelType w:val="hybridMultilevel"/>
    <w:tmpl w:val="2A3C97B4"/>
    <w:lvl w:ilvl="0" w:tplc="A2A65AEC">
      <w:start w:val="1"/>
      <w:numFmt w:val="decimal"/>
      <w:lvlText w:val="%1."/>
      <w:lvlJc w:val="left"/>
      <w:pPr>
        <w:tabs>
          <w:tab w:val="num" w:pos="502"/>
        </w:tabs>
        <w:ind w:left="502" w:hanging="360"/>
      </w:pPr>
      <w:rPr>
        <w:rFonts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11" w15:restartNumberingAfterBreak="0">
    <w:nsid w:val="5482350C"/>
    <w:multiLevelType w:val="hybridMultilevel"/>
    <w:tmpl w:val="189C7D7E"/>
    <w:lvl w:ilvl="0" w:tplc="EB164EC8">
      <w:start w:val="1"/>
      <w:numFmt w:val="decimal"/>
      <w:pStyle w:val="Normlny"/>
      <w:lvlText w:val="%1."/>
      <w:lvlJc w:val="righ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FB3262"/>
    <w:multiLevelType w:val="hybridMultilevel"/>
    <w:tmpl w:val="48020A30"/>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0F">
      <w:start w:val="1"/>
      <w:numFmt w:val="decimal"/>
      <w:lvlText w:val="%3."/>
      <w:lvlJc w:val="lef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3" w15:restartNumberingAfterBreak="0">
    <w:nsid w:val="58F90A54"/>
    <w:multiLevelType w:val="hybridMultilevel"/>
    <w:tmpl w:val="B502BF46"/>
    <w:lvl w:ilvl="0" w:tplc="041B000F">
      <w:start w:val="1"/>
      <w:numFmt w:val="decimal"/>
      <w:lvlText w:val="%1."/>
      <w:lvlJc w:val="left"/>
      <w:pPr>
        <w:ind w:left="358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97495E"/>
    <w:multiLevelType w:val="hybridMultilevel"/>
    <w:tmpl w:val="CB4EF6C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60F02E87"/>
    <w:multiLevelType w:val="hybridMultilevel"/>
    <w:tmpl w:val="9AEE016C"/>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68CC2463"/>
    <w:multiLevelType w:val="hybridMultilevel"/>
    <w:tmpl w:val="BEF8D836"/>
    <w:lvl w:ilvl="0" w:tplc="0494ED7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6EF626DC"/>
    <w:multiLevelType w:val="hybridMultilevel"/>
    <w:tmpl w:val="7B0AC11C"/>
    <w:lvl w:ilvl="0" w:tplc="584014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9A6CD0"/>
    <w:multiLevelType w:val="hybridMultilevel"/>
    <w:tmpl w:val="E5E043EC"/>
    <w:lvl w:ilvl="0" w:tplc="D838647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6961A2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7AEC04F4"/>
    <w:multiLevelType w:val="hybridMultilevel"/>
    <w:tmpl w:val="F416A6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705C7F"/>
    <w:multiLevelType w:val="hybridMultilevel"/>
    <w:tmpl w:val="626EB2C0"/>
    <w:lvl w:ilvl="0" w:tplc="BEE01EDE">
      <w:start w:val="1"/>
      <w:numFmt w:val="lowerLetter"/>
      <w:lvlText w:val="%1)"/>
      <w:lvlJc w:val="left"/>
      <w:pPr>
        <w:tabs>
          <w:tab w:val="num" w:pos="1380"/>
        </w:tabs>
        <w:ind w:left="138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A16AFC"/>
    <w:multiLevelType w:val="hybridMultilevel"/>
    <w:tmpl w:val="32E8703C"/>
    <w:lvl w:ilvl="0" w:tplc="3984093A">
      <w:start w:val="1"/>
      <w:numFmt w:val="lowerLetter"/>
      <w:lvlText w:val="%1)"/>
      <w:lvlJc w:val="left"/>
      <w:pPr>
        <w:ind w:left="1146" w:hanging="360"/>
      </w:pPr>
      <w:rPr>
        <w:rFonts w:ascii="Times New Roman"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1"/>
  </w:num>
  <w:num w:numId="2">
    <w:abstractNumId w:val="11"/>
  </w:num>
  <w:num w:numId="3">
    <w:abstractNumId w:val="3"/>
  </w:num>
  <w:num w:numId="4">
    <w:abstractNumId w:val="17"/>
  </w:num>
  <w:num w:numId="5">
    <w:abstractNumId w:val="8"/>
  </w:num>
  <w:num w:numId="6">
    <w:abstractNumId w:val="10"/>
  </w:num>
  <w:num w:numId="7">
    <w:abstractNumId w:val="18"/>
  </w:num>
  <w:num w:numId="8">
    <w:abstractNumId w:val="5"/>
  </w:num>
  <w:num w:numId="9">
    <w:abstractNumId w:val="16"/>
  </w:num>
  <w:num w:numId="10">
    <w:abstractNumId w:val="2"/>
  </w:num>
  <w:num w:numId="11">
    <w:abstractNumId w:val="20"/>
  </w:num>
  <w:num w:numId="12">
    <w:abstractNumId w:val="22"/>
  </w:num>
  <w:num w:numId="13">
    <w:abstractNumId w:val="0"/>
  </w:num>
  <w:num w:numId="14">
    <w:abstractNumId w:val="14"/>
  </w:num>
  <w:num w:numId="15">
    <w:abstractNumId w:val="13"/>
  </w:num>
  <w:num w:numId="16">
    <w:abstractNumId w:val="21"/>
  </w:num>
  <w:num w:numId="17">
    <w:abstractNumId w:val="9"/>
  </w:num>
  <w:num w:numId="18">
    <w:abstractNumId w:val="1"/>
  </w:num>
  <w:num w:numId="19">
    <w:abstractNumId w:val="6"/>
  </w:num>
  <w:num w:numId="20">
    <w:abstractNumId w:val="4"/>
  </w:num>
  <w:num w:numId="21">
    <w:abstractNumId w:val="15"/>
  </w:num>
  <w:num w:numId="22">
    <w:abstractNumId w:val="7"/>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inkAnnotation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8D"/>
    <w:rsid w:val="00005070"/>
    <w:rsid w:val="000327C3"/>
    <w:rsid w:val="00037DC2"/>
    <w:rsid w:val="001059E1"/>
    <w:rsid w:val="00116B2D"/>
    <w:rsid w:val="00142ED8"/>
    <w:rsid w:val="001A2C99"/>
    <w:rsid w:val="001B217D"/>
    <w:rsid w:val="002236BF"/>
    <w:rsid w:val="00230075"/>
    <w:rsid w:val="004462C5"/>
    <w:rsid w:val="004E19B8"/>
    <w:rsid w:val="005D4EC3"/>
    <w:rsid w:val="00627D80"/>
    <w:rsid w:val="006A1245"/>
    <w:rsid w:val="006D5697"/>
    <w:rsid w:val="006E0B8D"/>
    <w:rsid w:val="00701242"/>
    <w:rsid w:val="007146BD"/>
    <w:rsid w:val="007252CC"/>
    <w:rsid w:val="00747A1F"/>
    <w:rsid w:val="007610A8"/>
    <w:rsid w:val="00776016"/>
    <w:rsid w:val="00790BFB"/>
    <w:rsid w:val="007A014B"/>
    <w:rsid w:val="00843CC8"/>
    <w:rsid w:val="00884C14"/>
    <w:rsid w:val="008A37D8"/>
    <w:rsid w:val="00904C99"/>
    <w:rsid w:val="0091212A"/>
    <w:rsid w:val="00B009FE"/>
    <w:rsid w:val="00B958FE"/>
    <w:rsid w:val="00C16E95"/>
    <w:rsid w:val="00C21804"/>
    <w:rsid w:val="00C234B6"/>
    <w:rsid w:val="00C32F28"/>
    <w:rsid w:val="00DA68BB"/>
    <w:rsid w:val="00DC0D77"/>
    <w:rsid w:val="00EB23C9"/>
    <w:rsid w:val="00F912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3479"/>
  <w15:docId w15:val="{DBB8FE95-DC94-4A4B-9807-3BC62DE3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E95"/>
    <w:pPr>
      <w:numPr>
        <w:numId w:val="2"/>
      </w:numPr>
      <w:spacing w:after="120" w:line="276" w:lineRule="auto"/>
      <w:jc w:val="both"/>
    </w:pPr>
    <w:rPr>
      <w:rFonts w:ascii="Times New Roman" w:hAnsi="Times New Roman"/>
      <w:sz w:val="24"/>
    </w:rPr>
  </w:style>
  <w:style w:type="paragraph" w:styleId="Nadpis1">
    <w:name w:val="heading 1"/>
    <w:basedOn w:val="Normlny"/>
    <w:next w:val="Normlny"/>
    <w:link w:val="Nadpis1Char"/>
    <w:uiPriority w:val="9"/>
    <w:qFormat/>
    <w:rsid w:val="002236BF"/>
    <w:pPr>
      <w:keepNext/>
      <w:keepLines/>
      <w:numPr>
        <w:numId w:val="0"/>
      </w:numPr>
      <w:spacing w:before="240" w:after="0"/>
      <w:jc w:val="center"/>
      <w:outlineLvl w:val="0"/>
    </w:pPr>
    <w:rPr>
      <w:rFonts w:eastAsiaTheme="majorEastAsia" w:cstheme="majorBidi"/>
      <w:b/>
      <w:szCs w:val="32"/>
    </w:rPr>
  </w:style>
  <w:style w:type="paragraph" w:styleId="Nadpis2">
    <w:name w:val="heading 2"/>
    <w:basedOn w:val="Normlny"/>
    <w:next w:val="Normlny"/>
    <w:link w:val="Nadpis2Char"/>
    <w:uiPriority w:val="9"/>
    <w:qFormat/>
    <w:rsid w:val="007252CC"/>
    <w:pPr>
      <w:keepNext/>
      <w:numPr>
        <w:numId w:val="0"/>
      </w:numPr>
      <w:autoSpaceDE w:val="0"/>
      <w:autoSpaceDN w:val="0"/>
      <w:spacing w:after="0" w:line="240" w:lineRule="auto"/>
      <w:jc w:val="center"/>
      <w:outlineLvl w:val="1"/>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236BF"/>
    <w:rPr>
      <w:rFonts w:ascii="Times New Roman" w:eastAsiaTheme="majorEastAsia" w:hAnsi="Times New Roman" w:cstheme="majorBidi"/>
      <w:b/>
      <w:sz w:val="24"/>
      <w:szCs w:val="32"/>
    </w:rPr>
  </w:style>
  <w:style w:type="table" w:styleId="Mriekatabuky">
    <w:name w:val="Table Grid"/>
    <w:basedOn w:val="Normlnatabuka"/>
    <w:uiPriority w:val="39"/>
    <w:rsid w:val="006E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B23C9"/>
    <w:pPr>
      <w:contextualSpacing/>
    </w:pPr>
  </w:style>
  <w:style w:type="paragraph" w:styleId="Textbubliny">
    <w:name w:val="Balloon Text"/>
    <w:basedOn w:val="Normlny"/>
    <w:link w:val="TextbublinyChar"/>
    <w:uiPriority w:val="99"/>
    <w:semiHidden/>
    <w:unhideWhenUsed/>
    <w:rsid w:val="00EB23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3C9"/>
    <w:rPr>
      <w:rFonts w:ascii="Segoe UI" w:hAnsi="Segoe UI" w:cs="Segoe UI"/>
      <w:sz w:val="18"/>
      <w:szCs w:val="18"/>
    </w:rPr>
  </w:style>
  <w:style w:type="character" w:styleId="Hypertextovprepojenie">
    <w:name w:val="Hyperlink"/>
    <w:basedOn w:val="Predvolenpsmoodseku"/>
    <w:uiPriority w:val="99"/>
    <w:unhideWhenUsed/>
    <w:rsid w:val="00884C14"/>
    <w:rPr>
      <w:color w:val="0000FF"/>
      <w:u w:val="single"/>
    </w:rPr>
  </w:style>
  <w:style w:type="paragraph" w:styleId="Hlavika">
    <w:name w:val="header"/>
    <w:basedOn w:val="Normlny"/>
    <w:link w:val="HlavikaChar"/>
    <w:uiPriority w:val="99"/>
    <w:unhideWhenUsed/>
    <w:rsid w:val="00627D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D80"/>
    <w:rPr>
      <w:rFonts w:ascii="Times New Roman" w:hAnsi="Times New Roman"/>
      <w:sz w:val="24"/>
    </w:rPr>
  </w:style>
  <w:style w:type="paragraph" w:styleId="Pta">
    <w:name w:val="footer"/>
    <w:basedOn w:val="Normlny"/>
    <w:link w:val="PtaChar"/>
    <w:uiPriority w:val="99"/>
    <w:unhideWhenUsed/>
    <w:rsid w:val="00627D80"/>
    <w:pPr>
      <w:tabs>
        <w:tab w:val="center" w:pos="4536"/>
        <w:tab w:val="right" w:pos="9072"/>
      </w:tabs>
      <w:spacing w:after="0" w:line="240" w:lineRule="auto"/>
    </w:pPr>
  </w:style>
  <w:style w:type="character" w:customStyle="1" w:styleId="PtaChar">
    <w:name w:val="Päta Char"/>
    <w:basedOn w:val="Predvolenpsmoodseku"/>
    <w:link w:val="Pta"/>
    <w:uiPriority w:val="99"/>
    <w:rsid w:val="00627D80"/>
    <w:rPr>
      <w:rFonts w:ascii="Times New Roman" w:hAnsi="Times New Roman"/>
      <w:sz w:val="24"/>
    </w:rPr>
  </w:style>
  <w:style w:type="character" w:customStyle="1" w:styleId="markedcontent">
    <w:name w:val="markedcontent"/>
    <w:rsid w:val="007252CC"/>
  </w:style>
  <w:style w:type="paragraph" w:styleId="Zkladntext2">
    <w:name w:val="Body Text 2"/>
    <w:basedOn w:val="Normlny"/>
    <w:link w:val="Zkladntext2Char"/>
    <w:uiPriority w:val="99"/>
    <w:rsid w:val="007252CC"/>
    <w:pPr>
      <w:numPr>
        <w:numId w:val="0"/>
      </w:numPr>
      <w:autoSpaceDE w:val="0"/>
      <w:autoSpaceDN w:val="0"/>
      <w:spacing w:after="0" w:line="240" w:lineRule="auto"/>
      <w:ind w:right="-516"/>
    </w:pPr>
    <w:rPr>
      <w:rFonts w:eastAsia="Times New Roman" w:cs="Times New Roman"/>
      <w:szCs w:val="24"/>
      <w:lang w:eastAsia="sk-SK"/>
    </w:rPr>
  </w:style>
  <w:style w:type="character" w:customStyle="1" w:styleId="Zkladntext2Char">
    <w:name w:val="Základný text 2 Char"/>
    <w:basedOn w:val="Predvolenpsmoodseku"/>
    <w:link w:val="Zkladntext2"/>
    <w:uiPriority w:val="99"/>
    <w:rsid w:val="007252CC"/>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7252CC"/>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rsid w:val="007252CC"/>
    <w:pPr>
      <w:numPr>
        <w:numId w:val="0"/>
      </w:numPr>
      <w:autoSpaceDE w:val="0"/>
      <w:autoSpaceDN w:val="0"/>
      <w:spacing w:after="0" w:line="240" w:lineRule="auto"/>
    </w:pPr>
    <w:rPr>
      <w:rFonts w:eastAsia="Times New Roman" w:cs="Times New Roman"/>
      <w:szCs w:val="24"/>
      <w:lang w:eastAsia="sk-SK"/>
    </w:rPr>
  </w:style>
  <w:style w:type="character" w:customStyle="1" w:styleId="ZkladntextChar">
    <w:name w:val="Základný text Char"/>
    <w:basedOn w:val="Predvolenpsmoodseku"/>
    <w:link w:val="Zkladntext"/>
    <w:uiPriority w:val="99"/>
    <w:rsid w:val="007252CC"/>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2726</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Bradáčová</dc:creator>
  <cp:keywords/>
  <dc:description/>
  <cp:lastModifiedBy>Stacho Marek, Mgr.</cp:lastModifiedBy>
  <cp:revision>5</cp:revision>
  <cp:lastPrinted>2024-05-30T08:11:00Z</cp:lastPrinted>
  <dcterms:created xsi:type="dcterms:W3CDTF">2024-09-23T13:21:00Z</dcterms:created>
  <dcterms:modified xsi:type="dcterms:W3CDTF">2024-09-23T13:34:00Z</dcterms:modified>
</cp:coreProperties>
</file>