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1E47E5" w:rsidRDefault="00054C41" w:rsidP="00054C41">
      <w:pPr>
        <w:jc w:val="center"/>
        <w:rPr>
          <w:rFonts w:ascii="Times New Roman" w:eastAsia="Calibri" w:hAnsi="Times New Roman" w:cs="Times New Roman"/>
          <w:b/>
          <w:sz w:val="28"/>
          <w:szCs w:val="28"/>
        </w:rPr>
      </w:pPr>
      <w:r w:rsidRPr="001E47E5">
        <w:rPr>
          <w:rFonts w:ascii="Times New Roman" w:eastAsia="Calibri" w:hAnsi="Times New Roman" w:cs="Times New Roman"/>
          <w:b/>
          <w:sz w:val="28"/>
          <w:szCs w:val="28"/>
        </w:rPr>
        <w:t>Analýza vplyvov na podnikateľské prostredie</w:t>
      </w:r>
    </w:p>
    <w:p w14:paraId="7AF84A90" w14:textId="77777777" w:rsidR="00054C41" w:rsidRPr="001E47E5" w:rsidRDefault="00054C41" w:rsidP="00054C41">
      <w:pPr>
        <w:jc w:val="both"/>
        <w:rPr>
          <w:rFonts w:ascii="Times New Roman" w:eastAsia="Calibri" w:hAnsi="Times New Roman" w:cs="Times New Roman"/>
          <w:b/>
          <w:sz w:val="24"/>
          <w:szCs w:val="24"/>
          <w:highlight w:val="yellow"/>
        </w:rPr>
      </w:pPr>
    </w:p>
    <w:p w14:paraId="22516163" w14:textId="1C64B076" w:rsidR="00054C41" w:rsidRPr="001E47E5" w:rsidRDefault="00054C41" w:rsidP="002228DF">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Názov materiálu:</w:t>
      </w:r>
      <w:r w:rsidR="002228DF" w:rsidRPr="001E47E5">
        <w:rPr>
          <w:rFonts w:ascii="Times New Roman" w:eastAsia="Calibri" w:hAnsi="Times New Roman" w:cs="Times New Roman"/>
          <w:b/>
          <w:sz w:val="24"/>
          <w:szCs w:val="24"/>
        </w:rPr>
        <w:t xml:space="preserve"> </w:t>
      </w:r>
      <w:r w:rsidR="006D34EC" w:rsidRPr="006D34EC">
        <w:rPr>
          <w:rFonts w:ascii="Times New Roman" w:eastAsia="Calibri" w:hAnsi="Times New Roman" w:cs="Times New Roman"/>
          <w:sz w:val="24"/>
          <w:szCs w:val="24"/>
        </w:rPr>
        <w:t>Návrh zákona</w:t>
      </w:r>
      <w:r w:rsidR="002228DF" w:rsidRPr="006D34EC">
        <w:rPr>
          <w:rFonts w:ascii="Times New Roman" w:eastAsia="Calibri" w:hAnsi="Times New Roman" w:cs="Times New Roman"/>
          <w:sz w:val="24"/>
          <w:szCs w:val="24"/>
        </w:rPr>
        <w:t>, ktorým sa mení a dopĺňa zákon č. 69/2018 Z. z. o</w:t>
      </w:r>
      <w:r w:rsidR="006D34EC">
        <w:rPr>
          <w:rFonts w:ascii="Times New Roman" w:eastAsia="Calibri" w:hAnsi="Times New Roman" w:cs="Times New Roman"/>
          <w:sz w:val="24"/>
          <w:szCs w:val="24"/>
        </w:rPr>
        <w:t> </w:t>
      </w:r>
      <w:r w:rsidR="002228DF" w:rsidRPr="006D34EC">
        <w:rPr>
          <w:rFonts w:ascii="Times New Roman" w:eastAsia="Calibri" w:hAnsi="Times New Roman" w:cs="Times New Roman"/>
          <w:sz w:val="24"/>
          <w:szCs w:val="24"/>
        </w:rPr>
        <w:t>kybernetickej bezpečnosti a o zmene a doplnení niektorých zákonov v znení neskorších predpisov a o zmene a doplnení niektorých zákonov</w:t>
      </w:r>
    </w:p>
    <w:p w14:paraId="2711DC2C" w14:textId="627BE528" w:rsidR="00054C41" w:rsidRPr="001E47E5" w:rsidRDefault="00054C41" w:rsidP="00054C41">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Predkladateľ:</w:t>
      </w:r>
      <w:r w:rsidR="00660454" w:rsidRPr="001E47E5">
        <w:rPr>
          <w:rFonts w:ascii="Times New Roman" w:eastAsia="Calibri" w:hAnsi="Times New Roman" w:cs="Times New Roman"/>
          <w:b/>
          <w:sz w:val="24"/>
          <w:szCs w:val="24"/>
        </w:rPr>
        <w:t xml:space="preserve"> </w:t>
      </w:r>
      <w:r w:rsidR="00660454" w:rsidRPr="006D34EC">
        <w:rPr>
          <w:rFonts w:ascii="Times New Roman" w:eastAsia="Calibri" w:hAnsi="Times New Roman" w:cs="Times New Roman"/>
          <w:sz w:val="24"/>
          <w:szCs w:val="24"/>
        </w:rPr>
        <w:t>Národný bezpečnostný úrad</w:t>
      </w:r>
    </w:p>
    <w:p w14:paraId="73384937" w14:textId="77777777" w:rsidR="00054C41" w:rsidRPr="001E47E5" w:rsidRDefault="00054C41" w:rsidP="00054C41">
      <w:pPr>
        <w:jc w:val="both"/>
        <w:rPr>
          <w:rFonts w:ascii="Times New Roman" w:eastAsia="Calibri" w:hAnsi="Times New Roman" w:cs="Times New Roman"/>
          <w:b/>
          <w:sz w:val="24"/>
          <w:szCs w:val="24"/>
          <w:highlight w:val="yellow"/>
        </w:rPr>
      </w:pPr>
    </w:p>
    <w:p w14:paraId="515DBCE3" w14:textId="77777777" w:rsidR="00054C41" w:rsidRPr="001E47E5" w:rsidRDefault="00054C41" w:rsidP="00054C41">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3.1 Náklady regulácie</w:t>
      </w:r>
    </w:p>
    <w:p w14:paraId="14243EB0" w14:textId="77777777" w:rsidR="00054C41" w:rsidRPr="001E47E5" w:rsidRDefault="00054C41" w:rsidP="00C21399">
      <w:pPr>
        <w:tabs>
          <w:tab w:val="left" w:pos="8025"/>
        </w:tabs>
        <w:rPr>
          <w:rFonts w:ascii="Times New Roman" w:eastAsia="Calibri" w:hAnsi="Times New Roman" w:cs="Times New Roman"/>
          <w:bCs/>
          <w:i/>
          <w:iCs/>
          <w:sz w:val="24"/>
          <w:szCs w:val="24"/>
        </w:rPr>
      </w:pPr>
      <w:r w:rsidRPr="001E47E5">
        <w:rPr>
          <w:rFonts w:ascii="Times New Roman" w:eastAsia="Calibri" w:hAnsi="Times New Roman" w:cs="Times New Roman"/>
          <w:b/>
          <w:i/>
          <w:iCs/>
          <w:sz w:val="24"/>
          <w:szCs w:val="24"/>
        </w:rPr>
        <w:t xml:space="preserve">3.1.1 Súhrnná tabuľka nákladov regulácie </w:t>
      </w:r>
      <w:r w:rsidR="00C21399" w:rsidRPr="001E47E5">
        <w:rPr>
          <w:rFonts w:ascii="Times New Roman" w:eastAsia="Calibri" w:hAnsi="Times New Roman" w:cs="Times New Roman"/>
          <w:b/>
          <w:i/>
          <w:iCs/>
          <w:sz w:val="24"/>
          <w:szCs w:val="24"/>
        </w:rPr>
        <w:tab/>
      </w:r>
    </w:p>
    <w:p w14:paraId="1A77DC61" w14:textId="5390CE25" w:rsidR="00054C41" w:rsidRPr="001E47E5" w:rsidRDefault="00054C41" w:rsidP="00054C41">
      <w:pPr>
        <w:jc w:val="both"/>
        <w:rPr>
          <w:rFonts w:ascii="Times New Roman" w:eastAsia="Calibri" w:hAnsi="Times New Roman" w:cs="Times New Roman"/>
          <w:i/>
          <w:sz w:val="24"/>
          <w:szCs w:val="24"/>
        </w:rPr>
      </w:pPr>
      <w:r w:rsidRPr="001E47E5">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sidRPr="001E47E5">
        <w:rPr>
          <w:rFonts w:ascii="Times New Roman" w:eastAsia="Calibri" w:hAnsi="Times New Roman" w:cs="Times New Roman"/>
          <w:i/>
          <w:sz w:val="24"/>
          <w:szCs w:val="24"/>
        </w:rPr>
        <w:t>v</w:t>
      </w:r>
      <w:r w:rsidR="00C929AE" w:rsidRPr="001E47E5">
        <w:rPr>
          <w:rFonts w:ascii="Times New Roman" w:eastAsia="Calibri" w:hAnsi="Times New Roman" w:cs="Times New Roman"/>
          <w:i/>
          <w:sz w:val="24"/>
          <w:szCs w:val="24"/>
        </w:rPr>
        <w:t>, náklady goldplatingu</w:t>
      </w:r>
      <w:r w:rsidR="00C929AE" w:rsidRPr="001E47E5">
        <w:rPr>
          <w:rStyle w:val="Odkaznapoznmkupodiarou"/>
          <w:rFonts w:ascii="Times New Roman" w:eastAsia="Calibri" w:hAnsi="Times New Roman" w:cs="Times New Roman"/>
          <w:i/>
          <w:sz w:val="24"/>
          <w:szCs w:val="24"/>
        </w:rPr>
        <w:footnoteReference w:id="1"/>
      </w:r>
      <w:r w:rsidR="000A6B7F" w:rsidRPr="001E47E5">
        <w:rPr>
          <w:rFonts w:ascii="Times New Roman" w:eastAsia="Calibri" w:hAnsi="Times New Roman" w:cs="Times New Roman"/>
          <w:i/>
          <w:sz w:val="24"/>
          <w:szCs w:val="24"/>
        </w:rPr>
        <w:t xml:space="preserve"> </w:t>
      </w:r>
      <w:r w:rsidR="00C929AE" w:rsidRPr="001E47E5">
        <w:rPr>
          <w:rFonts w:ascii="Times New Roman" w:eastAsia="Calibri" w:hAnsi="Times New Roman" w:cs="Times New Roman"/>
          <w:i/>
          <w:sz w:val="24"/>
          <w:szCs w:val="24"/>
        </w:rPr>
        <w:t>na podnikateľské prostredie</w:t>
      </w:r>
      <w:r w:rsidRPr="001E47E5">
        <w:rPr>
          <w:rFonts w:ascii="Times New Roman" w:eastAsia="Calibri" w:hAnsi="Times New Roman" w:cs="Times New Roman"/>
          <w:i/>
          <w:sz w:val="24"/>
          <w:szCs w:val="24"/>
        </w:rPr>
        <w:t xml:space="preserve">. </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1E47E5"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1E47E5"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1E47E5"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1E47E5"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1E47E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1E47E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Zníženie nákladov v € na PP</w:t>
            </w:r>
          </w:p>
        </w:tc>
      </w:tr>
      <w:tr w:rsidR="002228DF" w:rsidRPr="001E47E5" w14:paraId="0F790483" w14:textId="77777777" w:rsidTr="002228DF">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6A3B4682"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2CB1BAA7"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2228DF" w:rsidRPr="001E47E5" w14:paraId="37B64D12" w14:textId="77777777" w:rsidTr="002228DF">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28FA4E2E"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05BCA3A5"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2228DF" w:rsidRPr="001E47E5" w14:paraId="21231540" w14:textId="77777777" w:rsidTr="002228DF">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693C6432"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4B0419E9"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2228DF" w:rsidRPr="001E47E5" w14:paraId="280383DA" w14:textId="77777777" w:rsidTr="002228DF">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27E7A895"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13 211 090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5E56B908"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2228DF" w:rsidRPr="001E47E5" w14:paraId="547BC8DA" w14:textId="77777777" w:rsidTr="002228DF">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4005438B"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616 303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24FD0AF5"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2228DF" w:rsidRPr="001E47E5" w14:paraId="10B7BDC5" w14:textId="77777777" w:rsidTr="002228DF">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25394133"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13 827 393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6EA5C95" w:rsidR="002228DF" w:rsidRPr="001E47E5" w:rsidRDefault="002228DF" w:rsidP="002228D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C929AE" w:rsidRPr="001E47E5"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1E47E5"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1E47E5" w:rsidRDefault="00C929AE" w:rsidP="00C929AE">
            <w:pPr>
              <w:spacing w:after="0" w:line="240" w:lineRule="auto"/>
              <w:rPr>
                <w:rFonts w:ascii="Times New Roman" w:eastAsia="Times New Roman" w:hAnsi="Times New Roman" w:cs="Times New Roman"/>
                <w:i/>
                <w:iCs/>
                <w:color w:val="000000"/>
                <w:lang w:eastAsia="sk-SK"/>
              </w:rPr>
            </w:pPr>
            <w:r w:rsidRPr="001E47E5">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1E47E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1E47E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Zníženie nákladov v € na PP</w:t>
            </w:r>
          </w:p>
        </w:tc>
      </w:tr>
      <w:tr w:rsidR="002228DF" w:rsidRPr="001E47E5"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F. Úplná harmonizácia práva EÚ</w:t>
            </w:r>
            <w:r w:rsidRPr="001E47E5">
              <w:rPr>
                <w:rFonts w:ascii="Times New Roman" w:eastAsia="Times New Roman" w:hAnsi="Times New Roman" w:cs="Times New Roman"/>
                <w:b/>
                <w:bCs/>
                <w:i/>
                <w:iCs/>
                <w:color w:val="000000"/>
                <w:sz w:val="20"/>
                <w:szCs w:val="20"/>
                <w:lang w:eastAsia="sk-SK"/>
              </w:rPr>
              <w:br/>
            </w:r>
            <w:r w:rsidRPr="001E47E5">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5242CA5" w:rsidR="002228DF" w:rsidRPr="001E47E5" w:rsidRDefault="002228DF" w:rsidP="002228D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13 827 393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1425B11B" w:rsidR="002228DF" w:rsidRPr="001E47E5" w:rsidRDefault="002228DF" w:rsidP="002228D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0</w:t>
            </w:r>
          </w:p>
        </w:tc>
      </w:tr>
      <w:tr w:rsidR="002228DF" w:rsidRPr="001E47E5"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2228DF" w:rsidRPr="001E47E5" w:rsidRDefault="002228DF" w:rsidP="002228D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2228DF" w:rsidRPr="001E47E5" w:rsidRDefault="002228DF" w:rsidP="002228D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1F988C08" w:rsidR="002228DF" w:rsidRPr="001E47E5" w:rsidRDefault="002228DF" w:rsidP="002228D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6433FB54" w:rsidR="002228DF" w:rsidRPr="001E47E5" w:rsidRDefault="002228DF" w:rsidP="002228D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0</w:t>
            </w:r>
          </w:p>
        </w:tc>
      </w:tr>
      <w:tr w:rsidR="00C929AE" w:rsidRPr="001E47E5"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1E47E5"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1E47E5" w:rsidRDefault="00C929AE" w:rsidP="00C929AE">
            <w:pPr>
              <w:spacing w:after="0" w:line="240" w:lineRule="auto"/>
              <w:rPr>
                <w:rFonts w:ascii="Times New Roman" w:eastAsia="Times New Roman" w:hAnsi="Times New Roman" w:cs="Times New Roman"/>
                <w:i/>
                <w:iCs/>
                <w:color w:val="000000"/>
                <w:sz w:val="20"/>
                <w:szCs w:val="20"/>
                <w:lang w:eastAsia="sk-SK"/>
              </w:rPr>
            </w:pPr>
            <w:r w:rsidRPr="001E47E5">
              <w:rPr>
                <w:rFonts w:ascii="Times New Roman" w:eastAsia="Times New Roman" w:hAnsi="Times New Roman" w:cs="Times New Roman"/>
                <w:i/>
                <w:iCs/>
                <w:color w:val="000000"/>
                <w:sz w:val="20"/>
                <w:szCs w:val="20"/>
                <w:lang w:eastAsia="sk-SK"/>
              </w:rPr>
              <w:t>VÝPOČET PRAVIDLA 1in</w:t>
            </w:r>
            <w:r w:rsidR="00FC121B" w:rsidRPr="001E47E5">
              <w:rPr>
                <w:rFonts w:ascii="Times New Roman" w:eastAsia="Times New Roman" w:hAnsi="Times New Roman" w:cs="Times New Roman"/>
                <w:i/>
                <w:iCs/>
                <w:color w:val="000000"/>
                <w:sz w:val="20"/>
                <w:szCs w:val="20"/>
                <w:lang w:eastAsia="sk-SK"/>
              </w:rPr>
              <w:t xml:space="preserve"> </w:t>
            </w:r>
            <w:r w:rsidRPr="001E47E5">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1E47E5"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1E47E5"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OUT</w:t>
            </w:r>
          </w:p>
        </w:tc>
      </w:tr>
      <w:tr w:rsidR="00C929AE" w:rsidRPr="001E47E5"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1E47E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1E47E5" w:rsidRDefault="006A4E85" w:rsidP="00C929AE">
            <w:pPr>
              <w:spacing w:after="0" w:line="240" w:lineRule="auto"/>
              <w:rPr>
                <w:rFonts w:ascii="Times New Roman" w:eastAsia="Times New Roman" w:hAnsi="Times New Roman" w:cs="Times New Roman"/>
                <w:i/>
                <w:iCs/>
                <w:color w:val="000000"/>
                <w:sz w:val="20"/>
                <w:szCs w:val="20"/>
                <w:lang w:eastAsia="sk-SK"/>
              </w:rPr>
            </w:pPr>
            <w:r w:rsidRPr="001E47E5">
              <w:rPr>
                <w:rFonts w:ascii="Times New Roman" w:eastAsia="Times New Roman" w:hAnsi="Times New Roman" w:cs="Times New Roman"/>
                <w:b/>
                <w:i/>
                <w:iCs/>
                <w:color w:val="000000"/>
                <w:sz w:val="20"/>
                <w:szCs w:val="20"/>
                <w:lang w:eastAsia="sk-SK"/>
              </w:rPr>
              <w:t>H</w:t>
            </w:r>
            <w:r w:rsidR="00C929AE" w:rsidRPr="001E47E5">
              <w:rPr>
                <w:rFonts w:ascii="Times New Roman" w:eastAsia="Times New Roman" w:hAnsi="Times New Roman" w:cs="Times New Roman"/>
                <w:b/>
                <w:i/>
                <w:iCs/>
                <w:color w:val="000000"/>
                <w:sz w:val="20"/>
                <w:szCs w:val="20"/>
                <w:lang w:eastAsia="sk-SK"/>
              </w:rPr>
              <w:t>.</w:t>
            </w:r>
            <w:r w:rsidR="009F4175" w:rsidRPr="001E47E5">
              <w:rPr>
                <w:rFonts w:ascii="Times New Roman" w:eastAsia="Times New Roman" w:hAnsi="Times New Roman" w:cs="Times New Roman"/>
                <w:i/>
                <w:iCs/>
                <w:color w:val="000000"/>
                <w:sz w:val="20"/>
                <w:szCs w:val="20"/>
                <w:lang w:eastAsia="sk-SK"/>
              </w:rPr>
              <w:t xml:space="preserve"> Náklady okrem výnimiek = B+D</w:t>
            </w:r>
            <w:r w:rsidRPr="001E47E5">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55909A5C" w:rsidR="00C929AE" w:rsidRPr="001E47E5" w:rsidRDefault="002228DF" w:rsidP="00C929AE">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0</w:t>
            </w:r>
            <w:r w:rsidR="00C929AE" w:rsidRPr="001E47E5">
              <w:rPr>
                <w:rFonts w:ascii="Times New Roman" w:eastAsia="Times New Roman" w:hAnsi="Times New Roman" w:cs="Times New Roman"/>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277E8EE5" w:rsidR="00C929AE" w:rsidRPr="001E47E5"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 </w:t>
            </w:r>
            <w:r w:rsidR="002228DF" w:rsidRPr="001E47E5">
              <w:rPr>
                <w:rFonts w:ascii="Times New Roman" w:eastAsia="Times New Roman" w:hAnsi="Times New Roman" w:cs="Times New Roman"/>
                <w:color w:val="000000"/>
                <w:sz w:val="20"/>
                <w:szCs w:val="20"/>
                <w:lang w:eastAsia="sk-SK"/>
              </w:rPr>
              <w:t>0</w:t>
            </w:r>
          </w:p>
        </w:tc>
      </w:tr>
    </w:tbl>
    <w:p w14:paraId="0C4E1024" w14:textId="77777777" w:rsidR="00054C41" w:rsidRPr="001E47E5" w:rsidRDefault="00054C41" w:rsidP="00054C41">
      <w:pPr>
        <w:rPr>
          <w:rFonts w:ascii="Times New Roman" w:eastAsia="Calibri" w:hAnsi="Times New Roman" w:cs="Times New Roman"/>
          <w:b/>
          <w:sz w:val="24"/>
          <w:szCs w:val="24"/>
          <w:highlight w:val="yellow"/>
        </w:rPr>
        <w:sectPr w:rsidR="00054C41" w:rsidRPr="001E47E5" w:rsidSect="00142154">
          <w:headerReference w:type="default" r:id="rId9"/>
          <w:footerReference w:type="default" r:id="rId10"/>
          <w:pgSz w:w="11906" w:h="16838"/>
          <w:pgMar w:top="993" w:right="1417" w:bottom="1417" w:left="1417" w:header="708" w:footer="708" w:gutter="0"/>
          <w:pgNumType w:start="1"/>
          <w:cols w:space="708"/>
          <w:docGrid w:linePitch="360"/>
        </w:sectPr>
      </w:pPr>
    </w:p>
    <w:p w14:paraId="29CDFA2A" w14:textId="77777777" w:rsidR="00054C41" w:rsidRPr="001E47E5" w:rsidRDefault="00054C41" w:rsidP="00054C41">
      <w:pPr>
        <w:rPr>
          <w:rFonts w:ascii="Times New Roman" w:eastAsia="Calibri" w:hAnsi="Times New Roman" w:cs="Times New Roman"/>
          <w:b/>
          <w:i/>
          <w:iCs/>
          <w:sz w:val="24"/>
          <w:szCs w:val="24"/>
        </w:rPr>
      </w:pPr>
      <w:r w:rsidRPr="001E47E5">
        <w:rPr>
          <w:rFonts w:ascii="Times New Roman" w:eastAsia="Calibri" w:hAnsi="Times New Roman" w:cs="Times New Roman"/>
          <w:b/>
          <w:i/>
          <w:iCs/>
          <w:sz w:val="24"/>
          <w:szCs w:val="24"/>
        </w:rPr>
        <w:lastRenderedPageBreak/>
        <w:t>3.1.2 Výpočty vplyvov jednotlivých regulácií na zmeny v nákladoch podnikateľov</w:t>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p>
    <w:p w14:paraId="5E02E2DD" w14:textId="77777777" w:rsidR="00054C41" w:rsidRPr="001E47E5" w:rsidRDefault="00054C41" w:rsidP="00054C41">
      <w:pPr>
        <w:jc w:val="both"/>
        <w:rPr>
          <w:rFonts w:ascii="Times New Roman" w:eastAsia="Calibri" w:hAnsi="Times New Roman" w:cs="Times New Roman"/>
          <w:i/>
          <w:sz w:val="24"/>
          <w:szCs w:val="24"/>
        </w:rPr>
      </w:pPr>
      <w:r w:rsidRPr="001E47E5">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1E47E5"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 xml:space="preserve">Zrozumiteľný a stručný opis regulácie </w:t>
            </w:r>
            <w:r w:rsidRPr="001E47E5">
              <w:rPr>
                <w:rFonts w:ascii="Times New Roman" w:eastAsia="Times New Roman" w:hAnsi="Times New Roman" w:cs="Times New Roman"/>
                <w:b/>
                <w:bCs/>
                <w:color w:val="000000"/>
                <w:sz w:val="20"/>
                <w:szCs w:val="20"/>
                <w:lang w:eastAsia="sk-SK"/>
              </w:rPr>
              <w:br/>
              <w:t>(dôvod zvýšenia/zníženia nákladov na PP a dôvod ponechania nákladov na PP, ktoré sú goldplatngom)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Číslo normy</w:t>
            </w:r>
            <w:r w:rsidRPr="001E47E5">
              <w:rPr>
                <w:rFonts w:ascii="Times New Roman" w:eastAsia="Times New Roman" w:hAnsi="Times New Roman" w:cs="Times New Roman"/>
                <w:b/>
                <w:bCs/>
                <w:color w:val="000000"/>
                <w:sz w:val="20"/>
                <w:szCs w:val="20"/>
                <w:lang w:eastAsia="sk-SK"/>
              </w:rPr>
              <w:br/>
            </w:r>
            <w:r w:rsidRPr="001E47E5">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Lokalizácia</w:t>
            </w:r>
            <w:r w:rsidRPr="001E47E5">
              <w:rPr>
                <w:rFonts w:ascii="Times New Roman" w:eastAsia="Times New Roman" w:hAnsi="Times New Roman" w:cs="Times New Roman"/>
                <w:b/>
                <w:bCs/>
                <w:color w:val="000000"/>
                <w:sz w:val="20"/>
                <w:szCs w:val="20"/>
                <w:lang w:eastAsia="sk-SK"/>
              </w:rPr>
              <w:br/>
              <w:t>(§, ods.</w:t>
            </w:r>
            <w:r w:rsidR="00D114ED" w:rsidRPr="001E47E5">
              <w:rPr>
                <w:rFonts w:ascii="Times New Roman" w:eastAsia="Times New Roman" w:hAnsi="Times New Roman" w:cs="Times New Roman"/>
                <w:b/>
                <w:bCs/>
                <w:color w:val="000000"/>
                <w:sz w:val="20"/>
                <w:szCs w:val="20"/>
                <w:lang w:eastAsia="sk-SK"/>
              </w:rPr>
              <w:t>, čl.,...</w:t>
            </w:r>
            <w:r w:rsidRPr="001E47E5">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Pr="001E47E5"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b/>
                <w:bCs/>
                <w:color w:val="000000"/>
                <w:sz w:val="20"/>
                <w:szCs w:val="20"/>
                <w:lang w:eastAsia="sk-SK"/>
              </w:rPr>
              <w:t xml:space="preserve">Pôvod regulácie: </w:t>
            </w:r>
            <w:r w:rsidRPr="001E47E5">
              <w:rPr>
                <w:rFonts w:ascii="Times New Roman" w:eastAsia="Times New Roman" w:hAnsi="Times New Roman" w:cs="Times New Roman"/>
                <w:b/>
                <w:bCs/>
                <w:color w:val="000000"/>
                <w:sz w:val="20"/>
                <w:szCs w:val="20"/>
                <w:lang w:eastAsia="sk-SK"/>
              </w:rPr>
              <w:br/>
            </w:r>
            <w:r w:rsidRPr="001E47E5">
              <w:rPr>
                <w:rFonts w:ascii="Times New Roman" w:eastAsia="Times New Roman" w:hAnsi="Times New Roman" w:cs="Times New Roman"/>
                <w:color w:val="000000"/>
                <w:sz w:val="20"/>
                <w:szCs w:val="20"/>
                <w:lang w:eastAsia="sk-SK"/>
              </w:rPr>
              <w:t>SK/EÚ úplná harm./</w:t>
            </w:r>
          </w:p>
          <w:p w14:paraId="3EFBCFFC" w14:textId="77777777" w:rsidR="00DE6ACB" w:rsidRPr="001E47E5"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color w:val="000000"/>
                <w:sz w:val="20"/>
                <w:szCs w:val="20"/>
                <w:lang w:eastAsia="sk-SK"/>
              </w:rPr>
              <w:t>G</w:t>
            </w:r>
            <w:r w:rsidR="00DE6ACB" w:rsidRPr="001E47E5">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Pr="001E47E5"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 xml:space="preserve">Počet </w:t>
            </w:r>
          </w:p>
          <w:p w14:paraId="7A177F6E" w14:textId="6CE16312" w:rsidR="00DE6ACB" w:rsidRPr="001E47E5"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dotk.</w:t>
            </w:r>
            <w:r w:rsidR="00DE6ACB" w:rsidRPr="001E47E5">
              <w:rPr>
                <w:rFonts w:ascii="Times New Roman" w:eastAsia="Times New Roman" w:hAnsi="Times New Roman" w:cs="Times New Roman"/>
                <w:b/>
                <w:bCs/>
                <w:color w:val="000000"/>
                <w:sz w:val="20"/>
                <w:szCs w:val="20"/>
                <w:lang w:eastAsia="sk-SK"/>
              </w:rPr>
              <w:t xml:space="preserve"> subjektov </w:t>
            </w:r>
            <w:r w:rsidR="00047C70" w:rsidRPr="001E47E5">
              <w:rPr>
                <w:rFonts w:ascii="Times New Roman" w:eastAsia="Times New Roman" w:hAnsi="Times New Roman" w:cs="Times New Roman"/>
                <w:b/>
                <w:bCs/>
                <w:color w:val="000000"/>
                <w:sz w:val="20"/>
                <w:szCs w:val="20"/>
                <w:lang w:eastAsia="sk-SK"/>
              </w:rPr>
              <w:t>spolu</w:t>
            </w:r>
            <w:r w:rsidR="00DE6ACB" w:rsidRPr="001E47E5">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Vplyv na kateg. dotk.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1E47E5"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1E47E5">
              <w:rPr>
                <w:rFonts w:ascii="Times New Roman" w:eastAsia="Times New Roman" w:hAnsi="Times New Roman" w:cs="Times New Roman"/>
                <w:b/>
                <w:bCs/>
                <w:color w:val="000000"/>
                <w:sz w:val="20"/>
                <w:szCs w:val="20"/>
                <w:lang w:eastAsia="sk-SK"/>
              </w:rPr>
              <w:t>Druh vplyvu</w:t>
            </w:r>
            <w:r w:rsidRPr="001E47E5">
              <w:rPr>
                <w:rFonts w:ascii="Times New Roman" w:eastAsia="Times New Roman" w:hAnsi="Times New Roman" w:cs="Times New Roman"/>
                <w:b/>
                <w:bCs/>
                <w:color w:val="000000"/>
                <w:sz w:val="20"/>
                <w:szCs w:val="20"/>
                <w:lang w:eastAsia="sk-SK"/>
              </w:rPr>
              <w:br/>
            </w:r>
            <w:r w:rsidRPr="001E47E5">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1E47E5"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Cs/>
                <w:color w:val="000000"/>
                <w:sz w:val="20"/>
                <w:szCs w:val="20"/>
                <w:lang w:eastAsia="sk-SK"/>
              </w:rPr>
              <w:t>Out (znižuje náklady</w:t>
            </w:r>
            <w:r w:rsidRPr="001E47E5">
              <w:rPr>
                <w:rFonts w:ascii="Times New Roman" w:eastAsia="Times New Roman" w:hAnsi="Times New Roman" w:cs="Times New Roman"/>
                <w:b/>
                <w:bCs/>
                <w:color w:val="000000"/>
                <w:sz w:val="20"/>
                <w:szCs w:val="20"/>
                <w:lang w:eastAsia="sk-SK"/>
              </w:rPr>
              <w:t>)</w:t>
            </w:r>
          </w:p>
          <w:p w14:paraId="70438D04"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1E47E5">
              <w:rPr>
                <w:rFonts w:ascii="Times New Roman" w:eastAsia="Times New Roman" w:hAnsi="Times New Roman" w:cs="Times New Roman"/>
                <w:b/>
                <w:bCs/>
                <w:color w:val="000000"/>
                <w:sz w:val="18"/>
                <w:szCs w:val="18"/>
                <w:lang w:eastAsia="sk-SK"/>
              </w:rPr>
              <w:t>1in</w:t>
            </w:r>
          </w:p>
          <w:p w14:paraId="29F533F5"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1E47E5">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1E47E5"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1E47E5">
              <w:rPr>
                <w:rFonts w:ascii="Times New Roman" w:eastAsia="Times New Roman" w:hAnsi="Times New Roman" w:cs="Times New Roman"/>
                <w:b/>
                <w:bCs/>
                <w:color w:val="000000"/>
                <w:sz w:val="18"/>
                <w:szCs w:val="18"/>
                <w:lang w:eastAsia="sk-SK"/>
              </w:rPr>
              <w:t>Goldplating celkom</w:t>
            </w:r>
          </w:p>
        </w:tc>
      </w:tr>
      <w:tr w:rsidR="008B7A38" w:rsidRPr="001E47E5" w14:paraId="4AAC3DCC"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4735694A" w14:textId="1494B3B0"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w:t>
            </w:r>
          </w:p>
        </w:tc>
        <w:tc>
          <w:tcPr>
            <w:tcW w:w="1740" w:type="dxa"/>
            <w:shd w:val="clear" w:color="auto" w:fill="auto"/>
          </w:tcPr>
          <w:p w14:paraId="67152019" w14:textId="2037B317"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307D4A02" w14:textId="197F0B77" w:rsidR="008B7A38" w:rsidRPr="001E47E5" w:rsidRDefault="00DE024B"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008B7A38" w:rsidRPr="001E47E5">
              <w:rPr>
                <w:rFonts w:ascii="Times New Roman" w:hAnsi="Times New Roman" w:cs="Times New Roman"/>
                <w:sz w:val="24"/>
                <w:szCs w:val="24"/>
              </w:rPr>
              <w:t>69/2018 Z.</w:t>
            </w:r>
            <w:r>
              <w:rPr>
                <w:rFonts w:ascii="Times New Roman" w:hAnsi="Times New Roman" w:cs="Times New Roman"/>
                <w:sz w:val="24"/>
                <w:szCs w:val="24"/>
              </w:rPr>
              <w:t> </w:t>
            </w:r>
            <w:r w:rsidR="008B7A38" w:rsidRPr="001E47E5">
              <w:rPr>
                <w:rFonts w:ascii="Times New Roman" w:hAnsi="Times New Roman" w:cs="Times New Roman"/>
                <w:sz w:val="24"/>
                <w:szCs w:val="24"/>
              </w:rPr>
              <w:t>z.</w:t>
            </w:r>
          </w:p>
        </w:tc>
        <w:tc>
          <w:tcPr>
            <w:tcW w:w="1134" w:type="dxa"/>
          </w:tcPr>
          <w:p w14:paraId="518CE9EB" w14:textId="2E9A7156"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25F6C93E" w14:textId="75FAC116" w:rsidR="008B7A38" w:rsidRPr="001E47E5"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07932672" w14:textId="2FCE68D2"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33368B80" w14:textId="1C98157C"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 Typ 1</w:t>
            </w:r>
          </w:p>
        </w:tc>
        <w:tc>
          <w:tcPr>
            <w:tcW w:w="1108" w:type="dxa"/>
          </w:tcPr>
          <w:p w14:paraId="4E928E28" w14:textId="117CFDA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1 099 </w:t>
            </w:r>
          </w:p>
        </w:tc>
        <w:tc>
          <w:tcPr>
            <w:tcW w:w="851" w:type="dxa"/>
            <w:shd w:val="clear" w:color="auto" w:fill="auto"/>
            <w:noWrap/>
          </w:tcPr>
          <w:p w14:paraId="67647A82" w14:textId="031CC891"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6 250</w:t>
            </w:r>
          </w:p>
        </w:tc>
        <w:tc>
          <w:tcPr>
            <w:tcW w:w="843" w:type="dxa"/>
            <w:shd w:val="clear" w:color="auto" w:fill="auto"/>
            <w:noWrap/>
          </w:tcPr>
          <w:p w14:paraId="14BCAF3C" w14:textId="024719AD"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6 868 750</w:t>
            </w:r>
          </w:p>
        </w:tc>
        <w:tc>
          <w:tcPr>
            <w:tcW w:w="1000" w:type="dxa"/>
            <w:shd w:val="clear" w:color="auto" w:fill="auto"/>
            <w:noWrap/>
          </w:tcPr>
          <w:p w14:paraId="259B5AC1" w14:textId="7CB0C1C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53F55C4E" w14:textId="6197018B"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06E2ED0A" w14:textId="502357AA"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2D733C2A"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4CCB988B" w14:textId="2406445B"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2</w:t>
            </w:r>
          </w:p>
        </w:tc>
        <w:tc>
          <w:tcPr>
            <w:tcW w:w="1740" w:type="dxa"/>
            <w:shd w:val="clear" w:color="auto" w:fill="auto"/>
          </w:tcPr>
          <w:p w14:paraId="39A7F9BE" w14:textId="257F032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7C24C16A" w14:textId="5B68CF97" w:rsidR="008B7A38" w:rsidRPr="001E47E5" w:rsidRDefault="00DE024B"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008B7A38" w:rsidRPr="001E47E5">
              <w:rPr>
                <w:rFonts w:ascii="Times New Roman" w:hAnsi="Times New Roman" w:cs="Times New Roman"/>
                <w:sz w:val="24"/>
                <w:szCs w:val="24"/>
              </w:rPr>
              <w:t>69/2018 Z.</w:t>
            </w:r>
            <w:r>
              <w:rPr>
                <w:rFonts w:ascii="Times New Roman" w:hAnsi="Times New Roman" w:cs="Times New Roman"/>
                <w:sz w:val="24"/>
                <w:szCs w:val="24"/>
              </w:rPr>
              <w:t> </w:t>
            </w:r>
            <w:r w:rsidR="008B7A38" w:rsidRPr="001E47E5">
              <w:rPr>
                <w:rFonts w:ascii="Times New Roman" w:hAnsi="Times New Roman" w:cs="Times New Roman"/>
                <w:sz w:val="24"/>
                <w:szCs w:val="24"/>
              </w:rPr>
              <w:t>z.</w:t>
            </w:r>
          </w:p>
        </w:tc>
        <w:tc>
          <w:tcPr>
            <w:tcW w:w="1134" w:type="dxa"/>
          </w:tcPr>
          <w:p w14:paraId="291D0615" w14:textId="53A102FC"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597F0FCC" w14:textId="62FC634C"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7A8DD97A" w14:textId="077A4E14"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2EDD0B64" w14:textId="3E018C04"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 Typ 4</w:t>
            </w:r>
          </w:p>
        </w:tc>
        <w:tc>
          <w:tcPr>
            <w:tcW w:w="1108" w:type="dxa"/>
          </w:tcPr>
          <w:p w14:paraId="710ACEB8" w14:textId="205F18C7"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263 </w:t>
            </w:r>
          </w:p>
        </w:tc>
        <w:tc>
          <w:tcPr>
            <w:tcW w:w="851" w:type="dxa"/>
            <w:shd w:val="clear" w:color="auto" w:fill="auto"/>
            <w:noWrap/>
          </w:tcPr>
          <w:p w14:paraId="46A96F6A" w14:textId="7B463F44"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11 250</w:t>
            </w:r>
          </w:p>
        </w:tc>
        <w:tc>
          <w:tcPr>
            <w:tcW w:w="843" w:type="dxa"/>
            <w:shd w:val="clear" w:color="auto" w:fill="auto"/>
            <w:noWrap/>
          </w:tcPr>
          <w:p w14:paraId="6D241809" w14:textId="50F5FDA7"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2 958 750</w:t>
            </w:r>
          </w:p>
        </w:tc>
        <w:tc>
          <w:tcPr>
            <w:tcW w:w="1000" w:type="dxa"/>
            <w:shd w:val="clear" w:color="auto" w:fill="auto"/>
            <w:noWrap/>
          </w:tcPr>
          <w:p w14:paraId="1CBB0C01" w14:textId="0810C35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4EC84A12" w14:textId="14F76E46"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74CE67DB" w14:textId="194B578A"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463DAA36"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38D7D79F" w14:textId="06239C82"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lastRenderedPageBreak/>
              <w:t>3</w:t>
            </w:r>
          </w:p>
        </w:tc>
        <w:tc>
          <w:tcPr>
            <w:tcW w:w="1740" w:type="dxa"/>
            <w:shd w:val="clear" w:color="auto" w:fill="auto"/>
          </w:tcPr>
          <w:p w14:paraId="4B77C9B9" w14:textId="6722542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4D82ABAD" w14:textId="5CE61F79" w:rsidR="008B7A38" w:rsidRPr="001E47E5" w:rsidRDefault="00DE024B"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008B7A38" w:rsidRPr="001E47E5">
              <w:rPr>
                <w:rFonts w:ascii="Times New Roman" w:hAnsi="Times New Roman" w:cs="Times New Roman"/>
                <w:sz w:val="24"/>
                <w:szCs w:val="24"/>
              </w:rPr>
              <w:t>69/2018 Z.</w:t>
            </w:r>
            <w:r>
              <w:rPr>
                <w:rFonts w:ascii="Times New Roman" w:hAnsi="Times New Roman" w:cs="Times New Roman"/>
                <w:sz w:val="24"/>
                <w:szCs w:val="24"/>
              </w:rPr>
              <w:t> </w:t>
            </w:r>
            <w:r w:rsidR="008B7A38" w:rsidRPr="001E47E5">
              <w:rPr>
                <w:rFonts w:ascii="Times New Roman" w:hAnsi="Times New Roman" w:cs="Times New Roman"/>
                <w:sz w:val="24"/>
                <w:szCs w:val="24"/>
              </w:rPr>
              <w:t>z.</w:t>
            </w:r>
          </w:p>
        </w:tc>
        <w:tc>
          <w:tcPr>
            <w:tcW w:w="1134" w:type="dxa"/>
          </w:tcPr>
          <w:p w14:paraId="2900F426" w14:textId="78D72392"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24A329A7" w14:textId="707C8C07"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2281A8F6" w14:textId="7514C946"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633BAF2B" w14:textId="397A6F73"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 Typ 2</w:t>
            </w:r>
          </w:p>
        </w:tc>
        <w:tc>
          <w:tcPr>
            <w:tcW w:w="1108" w:type="dxa"/>
          </w:tcPr>
          <w:p w14:paraId="03BC019B" w14:textId="291273B5"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852 </w:t>
            </w:r>
          </w:p>
        </w:tc>
        <w:tc>
          <w:tcPr>
            <w:tcW w:w="851" w:type="dxa"/>
            <w:shd w:val="clear" w:color="auto" w:fill="auto"/>
            <w:noWrap/>
          </w:tcPr>
          <w:p w14:paraId="5E9649E2" w14:textId="43EDB3E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c>
          <w:tcPr>
            <w:tcW w:w="843" w:type="dxa"/>
            <w:shd w:val="clear" w:color="auto" w:fill="auto"/>
            <w:noWrap/>
          </w:tcPr>
          <w:p w14:paraId="469D543E" w14:textId="111C8EC0"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000" w:type="dxa"/>
            <w:shd w:val="clear" w:color="auto" w:fill="auto"/>
            <w:noWrap/>
          </w:tcPr>
          <w:p w14:paraId="1CB5B301" w14:textId="0F9D14B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01A0F719" w14:textId="52EF5199"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1734235F" w14:textId="015170CF"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4A6C76D9"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46B7AF86" w14:textId="182FCC4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4</w:t>
            </w:r>
          </w:p>
        </w:tc>
        <w:tc>
          <w:tcPr>
            <w:tcW w:w="1740" w:type="dxa"/>
            <w:shd w:val="clear" w:color="auto" w:fill="auto"/>
          </w:tcPr>
          <w:p w14:paraId="0FD57802" w14:textId="3EF7617A"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0B698D6B" w14:textId="7C365821"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008B7A38" w:rsidRPr="001E47E5">
              <w:rPr>
                <w:rFonts w:ascii="Times New Roman" w:hAnsi="Times New Roman" w:cs="Times New Roman"/>
                <w:sz w:val="24"/>
                <w:szCs w:val="24"/>
              </w:rPr>
              <w:t>69/2018 Z.</w:t>
            </w:r>
            <w:r>
              <w:rPr>
                <w:rFonts w:ascii="Times New Roman" w:hAnsi="Times New Roman" w:cs="Times New Roman"/>
                <w:sz w:val="24"/>
                <w:szCs w:val="24"/>
              </w:rPr>
              <w:t> </w:t>
            </w:r>
            <w:r w:rsidR="008B7A38" w:rsidRPr="001E47E5">
              <w:rPr>
                <w:rFonts w:ascii="Times New Roman" w:hAnsi="Times New Roman" w:cs="Times New Roman"/>
                <w:sz w:val="24"/>
                <w:szCs w:val="24"/>
              </w:rPr>
              <w:t>z.</w:t>
            </w:r>
          </w:p>
        </w:tc>
        <w:tc>
          <w:tcPr>
            <w:tcW w:w="1134" w:type="dxa"/>
          </w:tcPr>
          <w:p w14:paraId="6B62E72F" w14:textId="68CB7D0F"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4C4BE172" w14:textId="618999BD"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1614B77F" w14:textId="76DBDA13"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33D037E3" w14:textId="6B49F2C0"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 xml:space="preserve"> veľké podniky Typ 5</w:t>
            </w:r>
          </w:p>
        </w:tc>
        <w:tc>
          <w:tcPr>
            <w:tcW w:w="1108" w:type="dxa"/>
          </w:tcPr>
          <w:p w14:paraId="55FCD482" w14:textId="0EF2A684"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203 </w:t>
            </w:r>
          </w:p>
        </w:tc>
        <w:tc>
          <w:tcPr>
            <w:tcW w:w="851" w:type="dxa"/>
            <w:shd w:val="clear" w:color="auto" w:fill="auto"/>
            <w:noWrap/>
          </w:tcPr>
          <w:p w14:paraId="5F715F48" w14:textId="0DEAC5B0"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c>
          <w:tcPr>
            <w:tcW w:w="843" w:type="dxa"/>
            <w:shd w:val="clear" w:color="auto" w:fill="auto"/>
            <w:noWrap/>
          </w:tcPr>
          <w:p w14:paraId="1B61481E" w14:textId="02AE991A"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000" w:type="dxa"/>
            <w:shd w:val="clear" w:color="auto" w:fill="auto"/>
            <w:noWrap/>
          </w:tcPr>
          <w:p w14:paraId="7E185D25" w14:textId="7F343BB4"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07BA41C4" w14:textId="2F3BCF0F"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0F79B048" w14:textId="587EFDB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7FFF1F1B"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3E18419E" w14:textId="11E3709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5</w:t>
            </w:r>
          </w:p>
        </w:tc>
        <w:tc>
          <w:tcPr>
            <w:tcW w:w="1740" w:type="dxa"/>
            <w:shd w:val="clear" w:color="auto" w:fill="auto"/>
          </w:tcPr>
          <w:p w14:paraId="439A1B9F" w14:textId="1D6C78EF"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0A2278B5" w14:textId="610CB0CE"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677D7857" w14:textId="5FAD1EC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537E9179" w14:textId="0F83BD53"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399FB011" w14:textId="4C02CFA0"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3E323F3D" w14:textId="22E408FD"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 Typ 3</w:t>
            </w:r>
          </w:p>
        </w:tc>
        <w:tc>
          <w:tcPr>
            <w:tcW w:w="1108" w:type="dxa"/>
          </w:tcPr>
          <w:p w14:paraId="28B0D071" w14:textId="21399FEA"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796 </w:t>
            </w:r>
          </w:p>
        </w:tc>
        <w:tc>
          <w:tcPr>
            <w:tcW w:w="851" w:type="dxa"/>
            <w:shd w:val="clear" w:color="auto" w:fill="auto"/>
            <w:noWrap/>
          </w:tcPr>
          <w:p w14:paraId="22394B41" w14:textId="3AB88ADB"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c>
          <w:tcPr>
            <w:tcW w:w="843" w:type="dxa"/>
            <w:shd w:val="clear" w:color="auto" w:fill="auto"/>
            <w:noWrap/>
          </w:tcPr>
          <w:p w14:paraId="0B08CC0A" w14:textId="54B3CBE6"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000" w:type="dxa"/>
            <w:shd w:val="clear" w:color="auto" w:fill="auto"/>
            <w:noWrap/>
          </w:tcPr>
          <w:p w14:paraId="6B8863C9" w14:textId="10A21651"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6A691326" w14:textId="1EE3C081"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5C107FAE" w14:textId="5F24E4C1"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27874527"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79595A66" w14:textId="353EDA26"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6</w:t>
            </w:r>
          </w:p>
        </w:tc>
        <w:tc>
          <w:tcPr>
            <w:tcW w:w="1740" w:type="dxa"/>
            <w:shd w:val="clear" w:color="auto" w:fill="auto"/>
          </w:tcPr>
          <w:p w14:paraId="73EDE42D" w14:textId="39828A14"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Zavedenie povinnosti prevádzkovateľa základnej služby pre nové </w:t>
            </w:r>
            <w:r w:rsidRPr="001E47E5">
              <w:rPr>
                <w:rFonts w:ascii="Times New Roman" w:hAnsi="Times New Roman" w:cs="Times New Roman"/>
                <w:sz w:val="24"/>
                <w:szCs w:val="24"/>
              </w:rPr>
              <w:lastRenderedPageBreak/>
              <w:t>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08578C8F" w14:textId="20655F90"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lastRenderedPageBreak/>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21B80751" w14:textId="2BFECA4F"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2BFD7F33" w14:textId="68A3F41D"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37059A06" w14:textId="74D8FE4F"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6CF2B17E" w14:textId="540117E1"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 Typ 6</w:t>
            </w:r>
          </w:p>
        </w:tc>
        <w:tc>
          <w:tcPr>
            <w:tcW w:w="1108" w:type="dxa"/>
          </w:tcPr>
          <w:p w14:paraId="35901C65" w14:textId="1494360D"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190 </w:t>
            </w:r>
          </w:p>
        </w:tc>
        <w:tc>
          <w:tcPr>
            <w:tcW w:w="851" w:type="dxa"/>
            <w:shd w:val="clear" w:color="auto" w:fill="auto"/>
            <w:noWrap/>
          </w:tcPr>
          <w:p w14:paraId="749E1EA3" w14:textId="14EA476C"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1 125</w:t>
            </w:r>
          </w:p>
        </w:tc>
        <w:tc>
          <w:tcPr>
            <w:tcW w:w="843" w:type="dxa"/>
            <w:shd w:val="clear" w:color="auto" w:fill="auto"/>
            <w:noWrap/>
          </w:tcPr>
          <w:p w14:paraId="710A4C25" w14:textId="7AC2C4A3"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213 750</w:t>
            </w:r>
          </w:p>
        </w:tc>
        <w:tc>
          <w:tcPr>
            <w:tcW w:w="1000" w:type="dxa"/>
            <w:shd w:val="clear" w:color="auto" w:fill="auto"/>
            <w:noWrap/>
          </w:tcPr>
          <w:p w14:paraId="33182E17" w14:textId="1CFE893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41ACEB91" w14:textId="3C900D27"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21D5F0E5" w14:textId="50C8FF7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5AE274B3"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0B74B958" w14:textId="6BE2E150"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lastRenderedPageBreak/>
              <w:t>7</w:t>
            </w:r>
          </w:p>
        </w:tc>
        <w:tc>
          <w:tcPr>
            <w:tcW w:w="1740" w:type="dxa"/>
            <w:shd w:val="clear" w:color="auto" w:fill="auto"/>
          </w:tcPr>
          <w:p w14:paraId="17F72616" w14:textId="0897D56D"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 spôsobu zasielania hlásení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7F7CC78C" w14:textId="64BBF4E3"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7100307B" w14:textId="4D1867F1"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24 ods. 1 až ods. 8</w:t>
            </w:r>
          </w:p>
        </w:tc>
        <w:tc>
          <w:tcPr>
            <w:tcW w:w="1843" w:type="dxa"/>
            <w:shd w:val="clear" w:color="auto" w:fill="auto"/>
          </w:tcPr>
          <w:p w14:paraId="2F50CACE" w14:textId="3C586E27"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9811EDF" w14:textId="2786B3B3"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798A2946" w14:textId="75A89238"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445E6195" w14:textId="5EFE776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7 346 </w:t>
            </w:r>
          </w:p>
        </w:tc>
        <w:tc>
          <w:tcPr>
            <w:tcW w:w="851" w:type="dxa"/>
            <w:shd w:val="clear" w:color="auto" w:fill="auto"/>
            <w:noWrap/>
          </w:tcPr>
          <w:p w14:paraId="73D27468" w14:textId="6336F35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37</w:t>
            </w:r>
          </w:p>
        </w:tc>
        <w:tc>
          <w:tcPr>
            <w:tcW w:w="843" w:type="dxa"/>
            <w:shd w:val="clear" w:color="auto" w:fill="auto"/>
            <w:noWrap/>
          </w:tcPr>
          <w:p w14:paraId="6BC8AD78" w14:textId="4E2263C4"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268 264</w:t>
            </w:r>
          </w:p>
        </w:tc>
        <w:tc>
          <w:tcPr>
            <w:tcW w:w="1000" w:type="dxa"/>
            <w:shd w:val="clear" w:color="auto" w:fill="auto"/>
            <w:noWrap/>
          </w:tcPr>
          <w:p w14:paraId="0CB3BFD2" w14:textId="185A262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66D28C11" w14:textId="1A52DF66"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36544B88" w14:textId="56FD4F5A"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609FED73"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17ADB0C1" w14:textId="557678BD"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8</w:t>
            </w:r>
          </w:p>
        </w:tc>
        <w:tc>
          <w:tcPr>
            <w:tcW w:w="1740" w:type="dxa"/>
            <w:shd w:val="clear" w:color="auto" w:fill="auto"/>
          </w:tcPr>
          <w:p w14:paraId="7D629DAC" w14:textId="0DD2AA85"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4B47CD37" w14:textId="18D75A68"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1C988908" w14:textId="6F3AE7F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22CDA76A" w14:textId="41E2038A" w:rsidR="008B7A38" w:rsidRPr="001E47E5"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69C4721" w14:textId="16AE94EF"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74618A9C" w14:textId="42945975"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w:t>
            </w:r>
          </w:p>
        </w:tc>
        <w:tc>
          <w:tcPr>
            <w:tcW w:w="1108" w:type="dxa"/>
          </w:tcPr>
          <w:p w14:paraId="5D0F89C4" w14:textId="5038C607"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549 </w:t>
            </w:r>
          </w:p>
        </w:tc>
        <w:tc>
          <w:tcPr>
            <w:tcW w:w="851" w:type="dxa"/>
            <w:shd w:val="clear" w:color="auto" w:fill="auto"/>
            <w:noWrap/>
          </w:tcPr>
          <w:p w14:paraId="38251139" w14:textId="2D11E34B"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3 500</w:t>
            </w:r>
          </w:p>
        </w:tc>
        <w:tc>
          <w:tcPr>
            <w:tcW w:w="843" w:type="dxa"/>
            <w:shd w:val="clear" w:color="auto" w:fill="auto"/>
            <w:noWrap/>
          </w:tcPr>
          <w:p w14:paraId="01129C91" w14:textId="22498B8A"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1 921 500</w:t>
            </w:r>
          </w:p>
        </w:tc>
        <w:tc>
          <w:tcPr>
            <w:tcW w:w="1000" w:type="dxa"/>
            <w:shd w:val="clear" w:color="auto" w:fill="auto"/>
            <w:noWrap/>
          </w:tcPr>
          <w:p w14:paraId="420D0685" w14:textId="7A7AF80F"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08BFFDBA" w14:textId="1FFCC3CD"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48758C9B" w14:textId="2735FD0C"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022095BC"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72653821" w14:textId="5A8B49DD"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9</w:t>
            </w:r>
          </w:p>
        </w:tc>
        <w:tc>
          <w:tcPr>
            <w:tcW w:w="1740" w:type="dxa"/>
            <w:shd w:val="clear" w:color="auto" w:fill="auto"/>
          </w:tcPr>
          <w:p w14:paraId="302744A6" w14:textId="6D8AC1BA"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6D81551D" w14:textId="22534C12"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15AB3E50" w14:textId="19722E72"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65823171" w14:textId="4C6C9358"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EAFA699" w14:textId="7C5D7F31"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439720A9" w14:textId="0F63C6F3"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w:t>
            </w:r>
          </w:p>
        </w:tc>
        <w:tc>
          <w:tcPr>
            <w:tcW w:w="1108" w:type="dxa"/>
          </w:tcPr>
          <w:p w14:paraId="17CCCE83" w14:textId="61BB5D6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131 </w:t>
            </w:r>
          </w:p>
        </w:tc>
        <w:tc>
          <w:tcPr>
            <w:tcW w:w="851" w:type="dxa"/>
            <w:shd w:val="clear" w:color="auto" w:fill="auto"/>
            <w:noWrap/>
          </w:tcPr>
          <w:p w14:paraId="271B2646" w14:textId="6BFB4E92"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8 750</w:t>
            </w:r>
          </w:p>
        </w:tc>
        <w:tc>
          <w:tcPr>
            <w:tcW w:w="843" w:type="dxa"/>
            <w:shd w:val="clear" w:color="auto" w:fill="auto"/>
            <w:noWrap/>
          </w:tcPr>
          <w:p w14:paraId="57980520" w14:textId="2302378B"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1 146 250</w:t>
            </w:r>
          </w:p>
        </w:tc>
        <w:tc>
          <w:tcPr>
            <w:tcW w:w="1000" w:type="dxa"/>
            <w:shd w:val="clear" w:color="auto" w:fill="auto"/>
            <w:noWrap/>
          </w:tcPr>
          <w:p w14:paraId="7E097137" w14:textId="271996C1"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4B494DF4" w14:textId="029F3B91"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564076F6" w14:textId="36E162C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4D05B96D"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371D0305" w14:textId="1BB939FD"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lastRenderedPageBreak/>
              <w:t>10</w:t>
            </w:r>
          </w:p>
        </w:tc>
        <w:tc>
          <w:tcPr>
            <w:tcW w:w="1740" w:type="dxa"/>
            <w:shd w:val="clear" w:color="auto" w:fill="auto"/>
          </w:tcPr>
          <w:p w14:paraId="6F09B9B9" w14:textId="79DAA537"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6326D60E" w14:textId="794D5DFC"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63EECDFF" w14:textId="59588466"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5B619397" w14:textId="33DC10D3"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967ED88" w14:textId="1C7E4B57"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331066E7" w14:textId="341D1688"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w:t>
            </w:r>
          </w:p>
        </w:tc>
        <w:tc>
          <w:tcPr>
            <w:tcW w:w="1108" w:type="dxa"/>
          </w:tcPr>
          <w:p w14:paraId="1748865C" w14:textId="5AF635A6"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2 198 </w:t>
            </w:r>
          </w:p>
        </w:tc>
        <w:tc>
          <w:tcPr>
            <w:tcW w:w="851" w:type="dxa"/>
            <w:shd w:val="clear" w:color="auto" w:fill="auto"/>
            <w:noWrap/>
          </w:tcPr>
          <w:p w14:paraId="5457341D" w14:textId="3274FDC4"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128</w:t>
            </w:r>
          </w:p>
        </w:tc>
        <w:tc>
          <w:tcPr>
            <w:tcW w:w="843" w:type="dxa"/>
            <w:shd w:val="clear" w:color="auto" w:fill="auto"/>
            <w:noWrap/>
          </w:tcPr>
          <w:p w14:paraId="30771B52" w14:textId="4D382796"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280 936</w:t>
            </w:r>
          </w:p>
        </w:tc>
        <w:tc>
          <w:tcPr>
            <w:tcW w:w="1000" w:type="dxa"/>
            <w:shd w:val="clear" w:color="auto" w:fill="auto"/>
            <w:noWrap/>
          </w:tcPr>
          <w:p w14:paraId="645FEA02" w14:textId="7E53881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4EA14B08" w14:textId="133256CE"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1CC858DC" w14:textId="592ECCA1"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48195AE8"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6FA76BB4" w14:textId="6599026B"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11</w:t>
            </w:r>
          </w:p>
        </w:tc>
        <w:tc>
          <w:tcPr>
            <w:tcW w:w="1740" w:type="dxa"/>
            <w:shd w:val="clear" w:color="auto" w:fill="auto"/>
          </w:tcPr>
          <w:p w14:paraId="04DBC1D2" w14:textId="05BB9DD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sidR="00993901">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7DA73847" w14:textId="4DE9EB27" w:rsidR="008B7A38" w:rsidRPr="001E47E5" w:rsidRDefault="00B87F10"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1326F554" w14:textId="5DA34E27"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589E62F8" w14:textId="5CFA2707"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F479A8F" w14:textId="03B810DD"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09015152" w14:textId="792FA185"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w:t>
            </w:r>
          </w:p>
        </w:tc>
        <w:tc>
          <w:tcPr>
            <w:tcW w:w="1108" w:type="dxa"/>
          </w:tcPr>
          <w:p w14:paraId="12996373" w14:textId="0460A797"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525 </w:t>
            </w:r>
          </w:p>
        </w:tc>
        <w:tc>
          <w:tcPr>
            <w:tcW w:w="851" w:type="dxa"/>
            <w:shd w:val="clear" w:color="auto" w:fill="auto"/>
            <w:noWrap/>
          </w:tcPr>
          <w:p w14:paraId="2188F025" w14:textId="0B09F119"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128</w:t>
            </w:r>
          </w:p>
        </w:tc>
        <w:tc>
          <w:tcPr>
            <w:tcW w:w="843" w:type="dxa"/>
            <w:shd w:val="clear" w:color="auto" w:fill="auto"/>
            <w:noWrap/>
          </w:tcPr>
          <w:p w14:paraId="1D718C37" w14:textId="17730A20"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67 103</w:t>
            </w:r>
          </w:p>
        </w:tc>
        <w:tc>
          <w:tcPr>
            <w:tcW w:w="1000" w:type="dxa"/>
            <w:shd w:val="clear" w:color="auto" w:fill="auto"/>
            <w:noWrap/>
          </w:tcPr>
          <w:p w14:paraId="281CEC7A" w14:textId="3358306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78A8DDA2" w14:textId="3AB3A98D"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014B7D7A" w14:textId="523C25F8"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7D495C88"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0FC148DB" w14:textId="594519BC"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12</w:t>
            </w:r>
          </w:p>
        </w:tc>
        <w:tc>
          <w:tcPr>
            <w:tcW w:w="1740" w:type="dxa"/>
            <w:shd w:val="clear" w:color="auto" w:fill="auto"/>
          </w:tcPr>
          <w:p w14:paraId="0514BEF2" w14:textId="4AF91DFC"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poriadkovej pokuty</w:t>
            </w:r>
          </w:p>
        </w:tc>
        <w:tc>
          <w:tcPr>
            <w:tcW w:w="992" w:type="dxa"/>
          </w:tcPr>
          <w:p w14:paraId="07EE0509" w14:textId="724215AC" w:rsidR="008B7A38" w:rsidRPr="001E47E5" w:rsidRDefault="00BC438F"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5143E9CF" w14:textId="69046A3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29n</w:t>
            </w:r>
          </w:p>
        </w:tc>
        <w:tc>
          <w:tcPr>
            <w:tcW w:w="1843" w:type="dxa"/>
            <w:shd w:val="clear" w:color="auto" w:fill="auto"/>
          </w:tcPr>
          <w:p w14:paraId="356D853D" w14:textId="696B02FD"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59D433C" w14:textId="495E834B"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3D2938FA" w14:textId="49DFB6DA"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717BA309" w14:textId="2676A489"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3 403 </w:t>
            </w:r>
          </w:p>
        </w:tc>
        <w:tc>
          <w:tcPr>
            <w:tcW w:w="851" w:type="dxa"/>
            <w:shd w:val="clear" w:color="auto" w:fill="auto"/>
            <w:noWrap/>
          </w:tcPr>
          <w:p w14:paraId="2F2A96C4" w14:textId="3092DF5B"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10</w:t>
            </w:r>
          </w:p>
        </w:tc>
        <w:tc>
          <w:tcPr>
            <w:tcW w:w="843" w:type="dxa"/>
            <w:shd w:val="clear" w:color="auto" w:fill="auto"/>
            <w:noWrap/>
          </w:tcPr>
          <w:p w14:paraId="0FE6B8D8" w14:textId="0D8F79C2"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34 030</w:t>
            </w:r>
          </w:p>
        </w:tc>
        <w:tc>
          <w:tcPr>
            <w:tcW w:w="1000" w:type="dxa"/>
            <w:shd w:val="clear" w:color="auto" w:fill="auto"/>
            <w:noWrap/>
          </w:tcPr>
          <w:p w14:paraId="214DEF91" w14:textId="543EB6D5"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45EC50E3" w14:textId="7C748533"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15E7EBAF" w14:textId="7A2F5E5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67FD2956"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026FC3F2" w14:textId="04F8DB6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13</w:t>
            </w:r>
          </w:p>
        </w:tc>
        <w:tc>
          <w:tcPr>
            <w:tcW w:w="1740" w:type="dxa"/>
            <w:shd w:val="clear" w:color="auto" w:fill="auto"/>
          </w:tcPr>
          <w:p w14:paraId="14BCDC2E" w14:textId="5A06BA77"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priestupku pre nové subjekty</w:t>
            </w:r>
          </w:p>
        </w:tc>
        <w:tc>
          <w:tcPr>
            <w:tcW w:w="992" w:type="dxa"/>
          </w:tcPr>
          <w:p w14:paraId="2C578C35" w14:textId="4C70576A" w:rsidR="008B7A38" w:rsidRPr="001E47E5" w:rsidRDefault="00BC438F"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35AAA047" w14:textId="70B4D69B"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30</w:t>
            </w:r>
          </w:p>
        </w:tc>
        <w:tc>
          <w:tcPr>
            <w:tcW w:w="1843" w:type="dxa"/>
            <w:shd w:val="clear" w:color="auto" w:fill="auto"/>
          </w:tcPr>
          <w:p w14:paraId="6DD38128" w14:textId="6499D90A"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660ED2AA" w14:textId="7D2841A6"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61B4BCC4" w14:textId="0C6B8886"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6DBA9274" w14:textId="146142E4"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3 403 </w:t>
            </w:r>
          </w:p>
        </w:tc>
        <w:tc>
          <w:tcPr>
            <w:tcW w:w="851" w:type="dxa"/>
            <w:shd w:val="clear" w:color="auto" w:fill="auto"/>
            <w:noWrap/>
          </w:tcPr>
          <w:p w14:paraId="29915185" w14:textId="724FDFD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10</w:t>
            </w:r>
          </w:p>
        </w:tc>
        <w:tc>
          <w:tcPr>
            <w:tcW w:w="843" w:type="dxa"/>
            <w:shd w:val="clear" w:color="auto" w:fill="auto"/>
            <w:noWrap/>
          </w:tcPr>
          <w:p w14:paraId="46F12C04" w14:textId="7D4C4CF1"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34 030</w:t>
            </w:r>
          </w:p>
        </w:tc>
        <w:tc>
          <w:tcPr>
            <w:tcW w:w="1000" w:type="dxa"/>
            <w:shd w:val="clear" w:color="auto" w:fill="auto"/>
            <w:noWrap/>
          </w:tcPr>
          <w:p w14:paraId="2D3260FB" w14:textId="7330BF25"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00BF5AA0" w14:textId="0233C13A"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48044CA5" w14:textId="0C0A1E9E"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8B7A38" w:rsidRPr="001E47E5" w14:paraId="26381EED" w14:textId="77777777" w:rsidTr="00DE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7627B3E9" w14:textId="3021E98D"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14</w:t>
            </w:r>
          </w:p>
        </w:tc>
        <w:tc>
          <w:tcPr>
            <w:tcW w:w="1740" w:type="dxa"/>
            <w:shd w:val="clear" w:color="auto" w:fill="auto"/>
          </w:tcPr>
          <w:p w14:paraId="6C2DF285" w14:textId="20098A7C"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správnych deliktov pre nové subjekty</w:t>
            </w:r>
          </w:p>
        </w:tc>
        <w:tc>
          <w:tcPr>
            <w:tcW w:w="992" w:type="dxa"/>
          </w:tcPr>
          <w:p w14:paraId="39BDC257" w14:textId="06567DAD" w:rsidR="008B7A38" w:rsidRPr="001E47E5" w:rsidRDefault="00BC438F" w:rsidP="008B7A38">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3FD55E58" w14:textId="4547E8ED"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31</w:t>
            </w:r>
          </w:p>
        </w:tc>
        <w:tc>
          <w:tcPr>
            <w:tcW w:w="1843" w:type="dxa"/>
            <w:shd w:val="clear" w:color="auto" w:fill="auto"/>
          </w:tcPr>
          <w:p w14:paraId="77912E88" w14:textId="72BFA183" w:rsidR="008B7A38" w:rsidRPr="001E47E5" w:rsidDel="00801596" w:rsidRDefault="008B7A38" w:rsidP="008B7A38">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17B30C13" w14:textId="3CA4217D"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4AE2E156" w14:textId="7FA59ED5"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7CEB6F10" w14:textId="0FCB5D33"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3 403 </w:t>
            </w:r>
          </w:p>
        </w:tc>
        <w:tc>
          <w:tcPr>
            <w:tcW w:w="851" w:type="dxa"/>
            <w:shd w:val="clear" w:color="auto" w:fill="auto"/>
            <w:noWrap/>
          </w:tcPr>
          <w:p w14:paraId="6F10BC4F" w14:textId="07C31EC2"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10</w:t>
            </w:r>
          </w:p>
        </w:tc>
        <w:tc>
          <w:tcPr>
            <w:tcW w:w="843" w:type="dxa"/>
            <w:shd w:val="clear" w:color="auto" w:fill="auto"/>
            <w:noWrap/>
          </w:tcPr>
          <w:p w14:paraId="70151A82" w14:textId="637FB8EA"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34 030</w:t>
            </w:r>
          </w:p>
        </w:tc>
        <w:tc>
          <w:tcPr>
            <w:tcW w:w="1000" w:type="dxa"/>
            <w:shd w:val="clear" w:color="auto" w:fill="auto"/>
            <w:noWrap/>
          </w:tcPr>
          <w:p w14:paraId="74A6D825" w14:textId="35E5CAF1"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3FBF0B70" w14:textId="2C4C8A95" w:rsidR="008B7A38" w:rsidRPr="001E47E5" w:rsidRDefault="008B7A38" w:rsidP="008B7A38">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1F26953E" w14:textId="6D6E481C" w:rsidR="008B7A38" w:rsidRPr="001E47E5" w:rsidRDefault="008B7A38" w:rsidP="008B7A38">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bl>
    <w:p w14:paraId="520734CD" w14:textId="77777777" w:rsidR="00054C41" w:rsidRPr="001E47E5" w:rsidRDefault="00054C41" w:rsidP="00054C41">
      <w:pPr>
        <w:jc w:val="both"/>
        <w:rPr>
          <w:rFonts w:ascii="Times New Roman" w:eastAsia="Calibri" w:hAnsi="Times New Roman" w:cs="Times New Roman"/>
          <w:i/>
          <w:highlight w:val="yellow"/>
        </w:rPr>
      </w:pPr>
    </w:p>
    <w:p w14:paraId="798179FB" w14:textId="77777777" w:rsidR="00054C41" w:rsidRPr="001E47E5" w:rsidRDefault="00054C41" w:rsidP="00054C41">
      <w:pPr>
        <w:jc w:val="both"/>
        <w:rPr>
          <w:rFonts w:ascii="Times New Roman" w:eastAsia="Calibri" w:hAnsi="Times New Roman" w:cs="Times New Roman"/>
          <w:b/>
          <w:bCs/>
          <w:i/>
          <w:sz w:val="24"/>
          <w:szCs w:val="24"/>
          <w:highlight w:val="yellow"/>
        </w:rPr>
        <w:sectPr w:rsidR="00054C41" w:rsidRPr="001E47E5" w:rsidSect="00142154">
          <w:pgSz w:w="16838" w:h="11906" w:orient="landscape"/>
          <w:pgMar w:top="1417" w:right="1417" w:bottom="1417" w:left="1417" w:header="708" w:footer="708" w:gutter="0"/>
          <w:cols w:space="708"/>
          <w:docGrid w:linePitch="360"/>
        </w:sectPr>
      </w:pPr>
    </w:p>
    <w:p w14:paraId="77318665" w14:textId="77777777" w:rsidR="00054C41" w:rsidRPr="001E47E5" w:rsidRDefault="00511F8F" w:rsidP="00054C41">
      <w:pPr>
        <w:jc w:val="both"/>
        <w:rPr>
          <w:rFonts w:ascii="Times New Roman" w:eastAsia="Calibri" w:hAnsi="Times New Roman" w:cs="Times New Roman"/>
          <w:b/>
          <w:bCs/>
          <w:i/>
          <w:sz w:val="24"/>
          <w:szCs w:val="24"/>
          <w:u w:val="single"/>
        </w:rPr>
      </w:pPr>
      <w:r w:rsidRPr="001E47E5">
        <w:rPr>
          <w:rFonts w:ascii="Times New Roman" w:eastAsia="Calibri" w:hAnsi="Times New Roman" w:cs="Times New Roman"/>
          <w:b/>
          <w:bCs/>
          <w:i/>
          <w:sz w:val="24"/>
          <w:szCs w:val="24"/>
          <w:u w:val="single"/>
        </w:rPr>
        <w:lastRenderedPageBreak/>
        <w:t xml:space="preserve">3.1.3 </w:t>
      </w:r>
      <w:r w:rsidR="00054C41" w:rsidRPr="001E47E5">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33DE7A6A" w14:textId="7950E219" w:rsidR="00E20F7D" w:rsidRPr="001E47E5" w:rsidRDefault="00E20F7D" w:rsidP="00054C4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Vplyv novej regulácie na podnikateľské prostredie nastane v </w:t>
      </w:r>
      <w:r w:rsidR="00B173AB">
        <w:rPr>
          <w:rFonts w:ascii="Times New Roman" w:eastAsia="Calibri" w:hAnsi="Times New Roman" w:cs="Times New Roman"/>
          <w:bCs/>
          <w:color w:val="000000"/>
          <w:sz w:val="24"/>
          <w:szCs w:val="24"/>
        </w:rPr>
        <w:t>piatich</w:t>
      </w:r>
      <w:r w:rsidRPr="001E47E5">
        <w:rPr>
          <w:rFonts w:ascii="Times New Roman" w:eastAsia="Calibri" w:hAnsi="Times New Roman" w:cs="Times New Roman"/>
          <w:bCs/>
          <w:color w:val="000000"/>
          <w:sz w:val="24"/>
          <w:szCs w:val="24"/>
        </w:rPr>
        <w:t xml:space="preserve"> hlavných oblastiach</w:t>
      </w:r>
    </w:p>
    <w:p w14:paraId="02E1F842" w14:textId="1106F261" w:rsidR="00E20F7D" w:rsidRPr="001E47E5" w:rsidRDefault="00E20F7D" w:rsidP="00E20F7D">
      <w:pPr>
        <w:pStyle w:val="Odsekzoznamu"/>
        <w:numPr>
          <w:ilvl w:val="0"/>
          <w:numId w:val="24"/>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povinnosti prevádzkovateľa základnej služby pre nové subjekty v súlade so smernicou NIS</w:t>
      </w:r>
      <w:r w:rsidR="00993901">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2</w:t>
      </w:r>
    </w:p>
    <w:p w14:paraId="03A8E415" w14:textId="60996F17" w:rsidR="00E20F7D" w:rsidRPr="001E47E5" w:rsidRDefault="00E20F7D" w:rsidP="00E20F7D">
      <w:pPr>
        <w:pStyle w:val="Odsekzoznamu"/>
        <w:numPr>
          <w:ilvl w:val="0"/>
          <w:numId w:val="24"/>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povinnosti a spôsobu zasielania hlásení pre nové subjekty v súlade so smernicou NIS</w:t>
      </w:r>
      <w:r w:rsidR="00993901">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2</w:t>
      </w:r>
    </w:p>
    <w:p w14:paraId="6978EF90" w14:textId="07700C37" w:rsidR="00E20F7D" w:rsidRPr="001E47E5" w:rsidRDefault="00E20F7D" w:rsidP="00E20F7D">
      <w:pPr>
        <w:pStyle w:val="Odsekzoznamu"/>
        <w:numPr>
          <w:ilvl w:val="0"/>
          <w:numId w:val="24"/>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povinnosti auditu kybernetickej bezpečnosti pre nové subjekty v súlade so smernicou NIS</w:t>
      </w:r>
      <w:r w:rsidR="00993901">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2</w:t>
      </w:r>
    </w:p>
    <w:p w14:paraId="0EDCDEC3" w14:textId="17198EA4" w:rsidR="00E20F7D" w:rsidRPr="001E47E5" w:rsidRDefault="00E20F7D" w:rsidP="00E20F7D">
      <w:pPr>
        <w:pStyle w:val="Odsekzoznamu"/>
        <w:numPr>
          <w:ilvl w:val="0"/>
          <w:numId w:val="24"/>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poriadkovej pokuty, priestupku a správnych deliktov pre nové subjekty</w:t>
      </w:r>
    </w:p>
    <w:p w14:paraId="6312A9D6" w14:textId="77777777" w:rsidR="00E20F7D" w:rsidRPr="001E47E5" w:rsidRDefault="00E20F7D" w:rsidP="00054C4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Spôsob výpočtu vplyvov pre každú z týchto oblastí je popísaný v ďalšom texte. </w:t>
      </w:r>
    </w:p>
    <w:p w14:paraId="2F226FFC" w14:textId="00A0E8A3" w:rsidR="00E20F7D" w:rsidRPr="001E47E5" w:rsidRDefault="00E20F7D" w:rsidP="00054C41">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3.1.3.1. Vstupné faktory</w:t>
      </w:r>
    </w:p>
    <w:p w14:paraId="4449AEA0" w14:textId="31E16668" w:rsidR="00252F5C" w:rsidRPr="001E47E5" w:rsidRDefault="00E20F7D" w:rsidP="00054C4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Základným vstupným faktorom je </w:t>
      </w:r>
      <w:r w:rsidR="00252F5C" w:rsidRPr="001E47E5">
        <w:rPr>
          <w:rFonts w:ascii="Times New Roman" w:eastAsia="Calibri" w:hAnsi="Times New Roman" w:cs="Times New Roman"/>
          <w:bCs/>
          <w:color w:val="000000"/>
          <w:sz w:val="24"/>
          <w:szCs w:val="24"/>
        </w:rPr>
        <w:t>Početnosť jednotlivých dotknutých subjektov</w:t>
      </w:r>
      <w:r w:rsidRPr="001E47E5">
        <w:rPr>
          <w:rFonts w:ascii="Times New Roman" w:eastAsia="Calibri" w:hAnsi="Times New Roman" w:cs="Times New Roman"/>
          <w:bCs/>
          <w:color w:val="000000"/>
          <w:sz w:val="24"/>
          <w:szCs w:val="24"/>
        </w:rPr>
        <w:t>, ktorú zobrazuje nasledujúca tabuľka</w:t>
      </w:r>
    </w:p>
    <w:tbl>
      <w:tblPr>
        <w:tblStyle w:val="Mriekatabuky"/>
        <w:tblW w:w="0" w:type="auto"/>
        <w:tblLook w:val="04A0" w:firstRow="1" w:lastRow="0" w:firstColumn="1" w:lastColumn="0" w:noHBand="0" w:noVBand="1"/>
      </w:tblPr>
      <w:tblGrid>
        <w:gridCol w:w="4698"/>
        <w:gridCol w:w="4698"/>
      </w:tblGrid>
      <w:tr w:rsidR="00A52065" w:rsidRPr="001E47E5" w14:paraId="7790D73E" w14:textId="77777777" w:rsidTr="00DE024B">
        <w:tc>
          <w:tcPr>
            <w:tcW w:w="4698" w:type="dxa"/>
          </w:tcPr>
          <w:p w14:paraId="687B53CD" w14:textId="0DCB5668" w:rsidR="00A52065" w:rsidRPr="001E47E5" w:rsidRDefault="00A52065" w:rsidP="00DE024B">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Dotknutý subjekt</w:t>
            </w:r>
          </w:p>
        </w:tc>
        <w:tc>
          <w:tcPr>
            <w:tcW w:w="4698" w:type="dxa"/>
          </w:tcPr>
          <w:p w14:paraId="5E4AD316" w14:textId="0642511E" w:rsidR="00A52065" w:rsidRPr="001E47E5" w:rsidRDefault="00A52065" w:rsidP="00DE024B">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Početnosť</w:t>
            </w:r>
          </w:p>
        </w:tc>
      </w:tr>
      <w:tr w:rsidR="00252F5C" w:rsidRPr="001E47E5" w14:paraId="7C6C049D" w14:textId="77777777" w:rsidTr="00252F5C">
        <w:tc>
          <w:tcPr>
            <w:tcW w:w="4698" w:type="dxa"/>
          </w:tcPr>
          <w:p w14:paraId="2FAA1785" w14:textId="37C4ED97" w:rsidR="00252F5C" w:rsidRPr="001E47E5" w:rsidRDefault="00252F5C" w:rsidP="00054C4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Stredné podniky</w:t>
            </w:r>
          </w:p>
        </w:tc>
        <w:tc>
          <w:tcPr>
            <w:tcW w:w="4698" w:type="dxa"/>
          </w:tcPr>
          <w:p w14:paraId="2B5524A8" w14:textId="4D7D103C" w:rsidR="00252F5C" w:rsidRPr="001E47E5" w:rsidRDefault="00252F5C" w:rsidP="00054C4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2 747</w:t>
            </w:r>
          </w:p>
        </w:tc>
      </w:tr>
      <w:tr w:rsidR="00252F5C" w:rsidRPr="001E47E5" w14:paraId="7F8ECD9A" w14:textId="77777777" w:rsidTr="00252F5C">
        <w:tc>
          <w:tcPr>
            <w:tcW w:w="4698" w:type="dxa"/>
          </w:tcPr>
          <w:p w14:paraId="56F9F518" w14:textId="019ECC87" w:rsidR="00252F5C" w:rsidRPr="001E47E5" w:rsidRDefault="00252F5C" w:rsidP="00054C4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Veľké podniky</w:t>
            </w:r>
          </w:p>
        </w:tc>
        <w:tc>
          <w:tcPr>
            <w:tcW w:w="4698" w:type="dxa"/>
          </w:tcPr>
          <w:p w14:paraId="4E3C6F83" w14:textId="1358CF28" w:rsidR="00252F5C" w:rsidRPr="001E47E5" w:rsidRDefault="00252F5C" w:rsidP="00054C4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656</w:t>
            </w:r>
          </w:p>
        </w:tc>
      </w:tr>
      <w:tr w:rsidR="00252F5C" w:rsidRPr="001E47E5" w14:paraId="0DA2A164" w14:textId="77777777" w:rsidTr="00252F5C">
        <w:tc>
          <w:tcPr>
            <w:tcW w:w="4698" w:type="dxa"/>
          </w:tcPr>
          <w:p w14:paraId="2472850F" w14:textId="06225640" w:rsidR="00252F5C" w:rsidRPr="001E47E5" w:rsidRDefault="00252F5C" w:rsidP="00054C41">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Celkom</w:t>
            </w:r>
          </w:p>
        </w:tc>
        <w:tc>
          <w:tcPr>
            <w:tcW w:w="4698" w:type="dxa"/>
          </w:tcPr>
          <w:p w14:paraId="58674A84" w14:textId="2601D517" w:rsidR="00252F5C" w:rsidRPr="001E47E5" w:rsidRDefault="00252F5C" w:rsidP="00054C41">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3 403</w:t>
            </w:r>
          </w:p>
        </w:tc>
      </w:tr>
    </w:tbl>
    <w:p w14:paraId="5D81BF22" w14:textId="501332FC" w:rsidR="00252F5C" w:rsidRPr="001E47E5" w:rsidRDefault="00252F5C" w:rsidP="00054C41">
      <w:pPr>
        <w:jc w:val="both"/>
        <w:rPr>
          <w:rStyle w:val="Hypertextovprepojenie"/>
          <w:rFonts w:ascii="Times New Roman" w:eastAsia="Calibri" w:hAnsi="Times New Roman" w:cs="Times New Roman"/>
          <w:bCs/>
          <w:sz w:val="24"/>
          <w:szCs w:val="24"/>
        </w:rPr>
      </w:pPr>
      <w:r w:rsidRPr="001E47E5">
        <w:rPr>
          <w:rFonts w:ascii="Times New Roman" w:eastAsia="Calibri" w:hAnsi="Times New Roman" w:cs="Times New Roman"/>
          <w:bCs/>
          <w:color w:val="000000"/>
          <w:sz w:val="24"/>
          <w:szCs w:val="24"/>
        </w:rPr>
        <w:t xml:space="preserve">Zdroj: </w:t>
      </w:r>
      <w:hyperlink r:id="rId11" w:history="1">
        <w:r w:rsidRPr="001E47E5">
          <w:rPr>
            <w:rStyle w:val="Hypertextovprepojenie"/>
            <w:rFonts w:ascii="Times New Roman" w:eastAsia="Calibri" w:hAnsi="Times New Roman" w:cs="Times New Roman"/>
            <w:bCs/>
            <w:sz w:val="24"/>
            <w:szCs w:val="24"/>
          </w:rPr>
          <w:t>https://monitoringmsp.sk/wp-content/uploads/2023/07/MSP_v_cislach_2022.pdf</w:t>
        </w:r>
      </w:hyperlink>
    </w:p>
    <w:tbl>
      <w:tblPr>
        <w:tblStyle w:val="Mriekatabuky"/>
        <w:tblW w:w="0" w:type="auto"/>
        <w:tblLook w:val="04A0" w:firstRow="1" w:lastRow="0" w:firstColumn="1" w:lastColumn="0" w:noHBand="0" w:noVBand="1"/>
      </w:tblPr>
      <w:tblGrid>
        <w:gridCol w:w="4698"/>
        <w:gridCol w:w="4698"/>
      </w:tblGrid>
      <w:tr w:rsidR="00E20F7D" w:rsidRPr="001E47E5" w14:paraId="16EA4908" w14:textId="77777777" w:rsidTr="00DE024B">
        <w:tc>
          <w:tcPr>
            <w:tcW w:w="4698" w:type="dxa"/>
          </w:tcPr>
          <w:p w14:paraId="49A041E5" w14:textId="4EC2CFE0" w:rsidR="00E20F7D" w:rsidRPr="001E47E5" w:rsidRDefault="00E20F7D" w:rsidP="00DE024B">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Osoba poskytujúca niektorú zo služieb alebo vykonávajúca niektorú z činností podľa § 2 ods. 2</w:t>
            </w:r>
            <w:r w:rsidR="008F571D">
              <w:rPr>
                <w:rFonts w:ascii="Times New Roman" w:eastAsia="Calibri" w:hAnsi="Times New Roman" w:cs="Times New Roman"/>
                <w:bCs/>
                <w:color w:val="000000"/>
                <w:sz w:val="24"/>
                <w:szCs w:val="24"/>
              </w:rPr>
              <w:t xml:space="preserve"> návrhu zákona</w:t>
            </w:r>
            <w:r w:rsidRPr="001E47E5">
              <w:rPr>
                <w:rFonts w:ascii="Times New Roman" w:eastAsia="Calibri" w:hAnsi="Times New Roman" w:cs="Times New Roman"/>
                <w:bCs/>
                <w:color w:val="000000"/>
                <w:sz w:val="24"/>
                <w:szCs w:val="24"/>
              </w:rPr>
              <w:t>, alebo osoba, ktorá je treťou stranou, ktorá nemá sídlo, pobyt alebo miesto podnikania na území členského štátu Európskej únie a poskytuje tieto služby alebo vykonáva tieto činnost</w:t>
            </w:r>
            <w:r w:rsidR="0014695A">
              <w:rPr>
                <w:rFonts w:ascii="Times New Roman" w:eastAsia="Calibri" w:hAnsi="Times New Roman" w:cs="Times New Roman"/>
                <w:bCs/>
                <w:color w:val="000000"/>
                <w:sz w:val="24"/>
                <w:szCs w:val="24"/>
              </w:rPr>
              <w:t>i na území Slovenskej republiky</w:t>
            </w:r>
          </w:p>
        </w:tc>
        <w:tc>
          <w:tcPr>
            <w:tcW w:w="4698" w:type="dxa"/>
          </w:tcPr>
          <w:p w14:paraId="240CB78C" w14:textId="6BAE9D58" w:rsidR="00E20F7D" w:rsidRPr="001E47E5" w:rsidRDefault="00E20F7D" w:rsidP="00DE024B">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500 (odhad)</w:t>
            </w:r>
          </w:p>
        </w:tc>
      </w:tr>
    </w:tbl>
    <w:p w14:paraId="6F58D448" w14:textId="77777777" w:rsidR="00E20F7D" w:rsidRPr="001E47E5" w:rsidRDefault="00E20F7D" w:rsidP="00E20F7D">
      <w:pPr>
        <w:spacing w:after="0"/>
        <w:jc w:val="both"/>
        <w:rPr>
          <w:rFonts w:ascii="Times New Roman" w:eastAsia="Calibri" w:hAnsi="Times New Roman" w:cs="Times New Roman"/>
          <w:bCs/>
          <w:color w:val="000000"/>
          <w:sz w:val="24"/>
          <w:szCs w:val="24"/>
        </w:rPr>
      </w:pPr>
    </w:p>
    <w:p w14:paraId="3F5DE838" w14:textId="13791606" w:rsidR="00E20F7D" w:rsidRPr="001E47E5" w:rsidRDefault="00E20F7D" w:rsidP="00E20F7D">
      <w:pPr>
        <w:spacing w:after="0"/>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Početnosť jednotlivých dotknutých subjektov je čiastočne skreslená, keďže na viaceré subjekty (najmä subjekty spadajúce pod kritickú infraštruktúru) sa príslušné povinnosti vzťahujú už podľa v</w:t>
      </w:r>
      <w:r w:rsidR="007F7B3A">
        <w:rPr>
          <w:rFonts w:ascii="Times New Roman" w:eastAsia="Calibri" w:hAnsi="Times New Roman" w:cs="Times New Roman"/>
          <w:bCs/>
          <w:color w:val="000000"/>
          <w:sz w:val="24"/>
          <w:szCs w:val="24"/>
        </w:rPr>
        <w:t> súčasnosti platnej legislatívy</w:t>
      </w:r>
    </w:p>
    <w:p w14:paraId="74126AB1" w14:textId="77777777" w:rsidR="00252F5C" w:rsidRPr="001E47E5" w:rsidRDefault="00252F5C" w:rsidP="00054C41">
      <w:pPr>
        <w:jc w:val="both"/>
        <w:rPr>
          <w:rFonts w:ascii="Times New Roman" w:eastAsia="Calibri" w:hAnsi="Times New Roman" w:cs="Times New Roman"/>
          <w:bCs/>
          <w:i/>
          <w:iCs/>
          <w:color w:val="000000"/>
          <w:sz w:val="24"/>
          <w:szCs w:val="24"/>
          <w:highlight w:val="yellow"/>
        </w:rPr>
      </w:pPr>
    </w:p>
    <w:p w14:paraId="2D1CDE5D" w14:textId="72CF386B" w:rsidR="00252F5C" w:rsidRPr="001E47E5" w:rsidRDefault="00E20F7D" w:rsidP="00054C41">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 xml:space="preserve">3.1.3.2. </w:t>
      </w:r>
      <w:r w:rsidR="00252F5C" w:rsidRPr="001E47E5">
        <w:rPr>
          <w:rFonts w:ascii="Times New Roman" w:eastAsia="Calibri" w:hAnsi="Times New Roman" w:cs="Times New Roman"/>
          <w:b/>
          <w:color w:val="000000"/>
          <w:sz w:val="24"/>
          <w:szCs w:val="24"/>
        </w:rPr>
        <w:t>Ďalšie faktory ovplyvňujúce výpočet</w:t>
      </w:r>
    </w:p>
    <w:p w14:paraId="0DDF8805" w14:textId="0F5F0254" w:rsidR="00346D0F" w:rsidRPr="001E47E5" w:rsidRDefault="00346D0F" w:rsidP="004D2403">
      <w:pPr>
        <w:jc w:val="both"/>
        <w:rPr>
          <w:rFonts w:ascii="Times New Roman" w:eastAsia="Calibri" w:hAnsi="Times New Roman" w:cs="Times New Roman"/>
          <w:bCs/>
          <w:i/>
          <w:iCs/>
          <w:color w:val="000000"/>
          <w:sz w:val="24"/>
          <w:szCs w:val="24"/>
        </w:rPr>
      </w:pPr>
      <w:r w:rsidRPr="001E47E5">
        <w:rPr>
          <w:rFonts w:ascii="Times New Roman" w:eastAsia="Calibri" w:hAnsi="Times New Roman" w:cs="Times New Roman"/>
          <w:bCs/>
          <w:i/>
          <w:iCs/>
          <w:color w:val="000000"/>
          <w:sz w:val="24"/>
          <w:szCs w:val="24"/>
        </w:rPr>
        <w:t>Samotná Európska komisia zdôrazňuje 2 podstatné skutočnosti:</w:t>
      </w:r>
    </w:p>
    <w:p w14:paraId="5A1E806D" w14:textId="3A0B9AA8" w:rsidR="00346D0F" w:rsidRPr="008F571D" w:rsidRDefault="00346D0F" w:rsidP="004D2403">
      <w:pPr>
        <w:pStyle w:val="Odsekzoznamu"/>
        <w:widowControl w:val="0"/>
        <w:numPr>
          <w:ilvl w:val="0"/>
          <w:numId w:val="25"/>
        </w:numPr>
        <w:spacing w:before="120" w:after="120"/>
        <w:ind w:left="426" w:hanging="426"/>
        <w:jc w:val="both"/>
        <w:rPr>
          <w:rFonts w:ascii="Times New Roman" w:eastAsia="Calibri" w:hAnsi="Times New Roman" w:cs="Times New Roman"/>
          <w:bCs/>
          <w:i/>
          <w:iCs/>
          <w:color w:val="000000"/>
          <w:sz w:val="24"/>
          <w:szCs w:val="24"/>
        </w:rPr>
      </w:pPr>
      <w:r w:rsidRPr="008F571D">
        <w:rPr>
          <w:rFonts w:ascii="Times New Roman" w:hAnsi="Times New Roman" w:cs="Times New Roman"/>
          <w:bCs/>
          <w:noProof/>
          <w:sz w:val="24"/>
          <w:szCs w:val="24"/>
        </w:rPr>
        <w:t>Neexistujú žiadne porovnateľné ekonomické údaje na meranie skutočného vplyvu smernice NIS</w:t>
      </w:r>
      <w:r w:rsidR="008F571D">
        <w:rPr>
          <w:rFonts w:ascii="Times New Roman" w:hAnsi="Times New Roman" w:cs="Times New Roman"/>
          <w:bCs/>
          <w:noProof/>
          <w:sz w:val="24"/>
          <w:szCs w:val="24"/>
        </w:rPr>
        <w:t> </w:t>
      </w:r>
      <w:r w:rsidRPr="008F571D">
        <w:rPr>
          <w:rFonts w:ascii="Times New Roman" w:hAnsi="Times New Roman" w:cs="Times New Roman"/>
          <w:bCs/>
          <w:noProof/>
          <w:sz w:val="24"/>
          <w:szCs w:val="24"/>
        </w:rPr>
        <w:t>2 na náklady a prínosy spoločností pôsobiacich v odvetviach a pododvetviach alebo poskytujúcich služby v rámci rozsahu pôsobnosti NIS</w:t>
      </w:r>
      <w:r w:rsidR="008F571D">
        <w:rPr>
          <w:rFonts w:ascii="Times New Roman" w:hAnsi="Times New Roman" w:cs="Times New Roman"/>
          <w:bCs/>
          <w:noProof/>
          <w:sz w:val="24"/>
          <w:szCs w:val="24"/>
        </w:rPr>
        <w:t> </w:t>
      </w:r>
      <w:r w:rsidRPr="008F571D">
        <w:rPr>
          <w:rFonts w:ascii="Times New Roman" w:hAnsi="Times New Roman" w:cs="Times New Roman"/>
          <w:bCs/>
          <w:noProof/>
          <w:sz w:val="24"/>
          <w:szCs w:val="24"/>
        </w:rPr>
        <w:t xml:space="preserve">2. Vzhľadom na tieto nedostatky by sa analýzy hospodárskeho vplyvu a efektívnosti v rámci všetkých možností politiky vrátane </w:t>
      </w:r>
      <w:r w:rsidRPr="008F571D">
        <w:rPr>
          <w:rFonts w:ascii="Times New Roman" w:hAnsi="Times New Roman" w:cs="Times New Roman"/>
          <w:bCs/>
          <w:noProof/>
          <w:sz w:val="24"/>
          <w:szCs w:val="24"/>
        </w:rPr>
        <w:lastRenderedPageBreak/>
        <w:t>základného scenára odvolávali na všeobecne uznávané kvalitatívne ukazovatele na posúdenie nákladov a prínosov rôznych opatrení v oblasti kybernetickej bezpečnosti v súlade s vyššie opísanými zásadami, kvantitatívne odhady alebo predpoklady a informácie získané prostredníctvom návštev krajín v rámci preskúmania NIS</w:t>
      </w:r>
      <w:r w:rsidR="009544BD">
        <w:rPr>
          <w:rFonts w:ascii="Times New Roman" w:hAnsi="Times New Roman" w:cs="Times New Roman"/>
          <w:bCs/>
          <w:noProof/>
          <w:sz w:val="24"/>
          <w:szCs w:val="24"/>
        </w:rPr>
        <w:t> </w:t>
      </w:r>
      <w:r w:rsidRPr="008F571D">
        <w:rPr>
          <w:rFonts w:ascii="Times New Roman" w:hAnsi="Times New Roman" w:cs="Times New Roman"/>
          <w:bCs/>
          <w:noProof/>
          <w:sz w:val="24"/>
          <w:szCs w:val="24"/>
        </w:rPr>
        <w:t>2 alebo konzultácií, ktoré sa v tomto procese uskutočnili s príslušnými zainteresovanými stranami. Vzhľadom na túto skutočnosť je možné vplyvy len odhadnúť.</w:t>
      </w:r>
    </w:p>
    <w:p w14:paraId="70831BEA" w14:textId="703E8088" w:rsidR="00346D0F" w:rsidRPr="001E47E5" w:rsidRDefault="00346D0F" w:rsidP="004D2403">
      <w:pPr>
        <w:pStyle w:val="Odsekzoznamu"/>
        <w:widowControl w:val="0"/>
        <w:numPr>
          <w:ilvl w:val="0"/>
          <w:numId w:val="25"/>
        </w:numPr>
        <w:spacing w:before="120" w:after="120"/>
        <w:ind w:left="426" w:hanging="426"/>
        <w:jc w:val="both"/>
        <w:rPr>
          <w:rFonts w:ascii="Times New Roman" w:eastAsia="Calibri" w:hAnsi="Times New Roman" w:cs="Times New Roman"/>
          <w:bCs/>
          <w:i/>
          <w:iCs/>
          <w:color w:val="000000"/>
          <w:sz w:val="24"/>
          <w:szCs w:val="24"/>
        </w:rPr>
      </w:pPr>
      <w:r w:rsidRPr="001E47E5">
        <w:rPr>
          <w:rFonts w:ascii="Times New Roman" w:hAnsi="Times New Roman" w:cs="Times New Roman"/>
          <w:bCs/>
          <w:iCs/>
          <w:noProof/>
          <w:sz w:val="24"/>
          <w:szCs w:val="24"/>
        </w:rPr>
        <w:t>Implementáciou smernice NIS</w:t>
      </w:r>
      <w:r w:rsidR="008F571D">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2 do praxe podnikom v rámci nových sektorov, pododvetví a druhov služieb vznikajú nové náklady na dodržiavanie predpisov vyplývajúce z legislatívnych povinností. Na druhej strane väčšina prevádzkovateľov a poskytovateľov služieb dodržiava medzinárodné normy, pokiaľ ide o bezpečnostné požiadavky. Preto je pomerne ťažké oddeliť vplyv smernice NIS</w:t>
      </w:r>
      <w:r w:rsidR="008F571D">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2 na výdavky na IKT na úrovni organizácií od celkového vplyvu vývoja medzinárodnej bezpečnosti.</w:t>
      </w:r>
    </w:p>
    <w:p w14:paraId="4CFAC7B3" w14:textId="77777777" w:rsidR="00346D0F" w:rsidRPr="001E47E5" w:rsidRDefault="00346D0F" w:rsidP="004D2403">
      <w:pPr>
        <w:widowControl w:val="0"/>
        <w:spacing w:before="120" w:after="120"/>
        <w:jc w:val="both"/>
        <w:rPr>
          <w:rFonts w:ascii="Times New Roman" w:eastAsia="Calibri" w:hAnsi="Times New Roman" w:cs="Times New Roman"/>
          <w:bCs/>
          <w:i/>
          <w:iCs/>
          <w:color w:val="000000"/>
          <w:sz w:val="24"/>
          <w:szCs w:val="24"/>
          <w:highlight w:val="yellow"/>
        </w:rPr>
      </w:pPr>
    </w:p>
    <w:p w14:paraId="58498AB5" w14:textId="5529EB32" w:rsidR="004D2403" w:rsidRPr="001E47E5" w:rsidRDefault="004D2403" w:rsidP="004D2403">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3.1.3.3. Zavedenie povinnosti prevádzkovateľa základnej služby pre nové subjekty v súlade so smernicou NIS</w:t>
      </w:r>
      <w:r w:rsidR="009544BD">
        <w:rPr>
          <w:rFonts w:ascii="Times New Roman" w:eastAsia="Calibri" w:hAnsi="Times New Roman" w:cs="Times New Roman"/>
          <w:b/>
          <w:color w:val="000000"/>
          <w:sz w:val="24"/>
          <w:szCs w:val="24"/>
        </w:rPr>
        <w:t> </w:t>
      </w:r>
      <w:r w:rsidRPr="001E47E5">
        <w:rPr>
          <w:rFonts w:ascii="Times New Roman" w:eastAsia="Calibri" w:hAnsi="Times New Roman" w:cs="Times New Roman"/>
          <w:b/>
          <w:color w:val="000000"/>
          <w:sz w:val="24"/>
          <w:szCs w:val="24"/>
        </w:rPr>
        <w:t>2</w:t>
      </w:r>
    </w:p>
    <w:p w14:paraId="08026208" w14:textId="6F2DAF9A" w:rsidR="00616382" w:rsidRPr="001E47E5" w:rsidRDefault="00A513CD" w:rsidP="00A513CD">
      <w:pPr>
        <w:jc w:val="both"/>
        <w:rPr>
          <w:rFonts w:ascii="Times New Roman" w:hAnsi="Times New Roman" w:cs="Times New Roman"/>
          <w:b/>
          <w:iCs/>
          <w:noProof/>
          <w:sz w:val="24"/>
          <w:szCs w:val="24"/>
        </w:rPr>
      </w:pPr>
      <w:r w:rsidRPr="001E47E5">
        <w:rPr>
          <w:rFonts w:ascii="Times New Roman" w:eastAsia="Calibri" w:hAnsi="Times New Roman" w:cs="Times New Roman"/>
          <w:bCs/>
          <w:color w:val="000000"/>
          <w:sz w:val="24"/>
          <w:szCs w:val="24"/>
        </w:rPr>
        <w:t xml:space="preserve">Nové subjekty, pre ktoré sa zavádzajú povinnosti prevádzkovateľa základnej služby budú musieť vypracovať alebo aktualizovať svoju bezpečnostnú dokumentáciu a svoje interné politiky. </w:t>
      </w:r>
    </w:p>
    <w:tbl>
      <w:tblPr>
        <w:tblStyle w:val="Mriekatabuky"/>
        <w:tblW w:w="0" w:type="auto"/>
        <w:tblLook w:val="04A0" w:firstRow="1" w:lastRow="0" w:firstColumn="1" w:lastColumn="0" w:noHBand="0" w:noVBand="1"/>
      </w:tblPr>
      <w:tblGrid>
        <w:gridCol w:w="3132"/>
        <w:gridCol w:w="3132"/>
        <w:gridCol w:w="3132"/>
      </w:tblGrid>
      <w:tr w:rsidR="00A52065" w:rsidRPr="001E47E5" w14:paraId="0670677A" w14:textId="77777777" w:rsidTr="00825192">
        <w:tc>
          <w:tcPr>
            <w:tcW w:w="3132" w:type="dxa"/>
            <w:shd w:val="clear" w:color="auto" w:fill="D9D9D9" w:themeFill="background1" w:themeFillShade="D9"/>
          </w:tcPr>
          <w:p w14:paraId="041142B9" w14:textId="5DAAC458" w:rsidR="00A52065" w:rsidRPr="001E47E5" w:rsidRDefault="00A52065" w:rsidP="00F35D5B">
            <w:pPr>
              <w:jc w:val="center"/>
              <w:rPr>
                <w:rFonts w:ascii="Times New Roman" w:hAnsi="Times New Roman" w:cs="Times New Roman"/>
                <w:b/>
                <w:iCs/>
                <w:noProof/>
                <w:sz w:val="24"/>
                <w:szCs w:val="24"/>
              </w:rPr>
            </w:pPr>
            <w:r w:rsidRPr="001E47E5">
              <w:rPr>
                <w:rFonts w:ascii="Times New Roman" w:hAnsi="Times New Roman" w:cs="Times New Roman"/>
                <w:b/>
                <w:iCs/>
                <w:noProof/>
                <w:sz w:val="24"/>
                <w:szCs w:val="24"/>
              </w:rPr>
              <w:t>Dotknutý subjekt</w:t>
            </w:r>
          </w:p>
        </w:tc>
        <w:tc>
          <w:tcPr>
            <w:tcW w:w="3132" w:type="dxa"/>
            <w:shd w:val="clear" w:color="auto" w:fill="D9D9D9" w:themeFill="background1" w:themeFillShade="D9"/>
          </w:tcPr>
          <w:p w14:paraId="25395779" w14:textId="07C1F6D1" w:rsidR="00A52065" w:rsidRPr="001E47E5" w:rsidRDefault="00A52065" w:rsidP="00F35D5B">
            <w:pPr>
              <w:jc w:val="center"/>
              <w:rPr>
                <w:rFonts w:ascii="Times New Roman" w:hAnsi="Times New Roman" w:cs="Times New Roman"/>
                <w:b/>
                <w:iCs/>
                <w:noProof/>
                <w:sz w:val="24"/>
                <w:szCs w:val="24"/>
              </w:rPr>
            </w:pPr>
            <w:r w:rsidRPr="001E47E5">
              <w:rPr>
                <w:rFonts w:ascii="Times New Roman" w:hAnsi="Times New Roman" w:cs="Times New Roman"/>
                <w:b/>
                <w:iCs/>
                <w:noProof/>
                <w:sz w:val="24"/>
                <w:szCs w:val="24"/>
              </w:rPr>
              <w:t>Náklad</w:t>
            </w:r>
          </w:p>
        </w:tc>
        <w:tc>
          <w:tcPr>
            <w:tcW w:w="3132" w:type="dxa"/>
            <w:shd w:val="clear" w:color="auto" w:fill="D9D9D9" w:themeFill="background1" w:themeFillShade="D9"/>
          </w:tcPr>
          <w:p w14:paraId="23DD9380" w14:textId="1D182E36" w:rsidR="00A52065" w:rsidRPr="001E47E5" w:rsidRDefault="00A52065" w:rsidP="00F35D5B">
            <w:pPr>
              <w:jc w:val="center"/>
              <w:rPr>
                <w:rFonts w:ascii="Times New Roman" w:hAnsi="Times New Roman" w:cs="Times New Roman"/>
                <w:b/>
                <w:iCs/>
                <w:noProof/>
                <w:sz w:val="24"/>
                <w:szCs w:val="24"/>
              </w:rPr>
            </w:pPr>
            <w:r w:rsidRPr="001E47E5">
              <w:rPr>
                <w:rFonts w:ascii="Times New Roman" w:hAnsi="Times New Roman" w:cs="Times New Roman"/>
                <w:b/>
                <w:iCs/>
                <w:noProof/>
                <w:sz w:val="24"/>
                <w:szCs w:val="24"/>
              </w:rPr>
              <w:t>Cena v EUR s DPH</w:t>
            </w:r>
          </w:p>
        </w:tc>
      </w:tr>
      <w:tr w:rsidR="00A52065" w:rsidRPr="001E47E5" w14:paraId="2552E00F" w14:textId="77777777" w:rsidTr="00A52065">
        <w:tc>
          <w:tcPr>
            <w:tcW w:w="3132" w:type="dxa"/>
          </w:tcPr>
          <w:p w14:paraId="213E5BDC" w14:textId="5FC20102" w:rsidR="00A52065" w:rsidRPr="001E47E5" w:rsidRDefault="00A52065" w:rsidP="00A52065">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Stredné podniky</w:t>
            </w:r>
          </w:p>
        </w:tc>
        <w:tc>
          <w:tcPr>
            <w:tcW w:w="3132" w:type="dxa"/>
          </w:tcPr>
          <w:p w14:paraId="7056C4A9" w14:textId="134F92B4" w:rsidR="00A52065" w:rsidRPr="001E47E5" w:rsidRDefault="00A52065" w:rsidP="00A52065">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Vypracovanie/aktualizácia bezpečnostnej dokumentácie</w:t>
            </w:r>
          </w:p>
        </w:tc>
        <w:tc>
          <w:tcPr>
            <w:tcW w:w="3132" w:type="dxa"/>
          </w:tcPr>
          <w:p w14:paraId="4BC37B02" w14:textId="6716A911" w:rsidR="00A52065" w:rsidRPr="001E47E5" w:rsidRDefault="00A52065" w:rsidP="00A52065">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25 000</w:t>
            </w:r>
          </w:p>
        </w:tc>
      </w:tr>
      <w:tr w:rsidR="00A52065" w:rsidRPr="001E47E5" w14:paraId="1F7AA89C" w14:textId="77777777" w:rsidTr="00A52065">
        <w:tc>
          <w:tcPr>
            <w:tcW w:w="3132" w:type="dxa"/>
          </w:tcPr>
          <w:p w14:paraId="776A5B3D" w14:textId="30AD951A" w:rsidR="00A52065" w:rsidRPr="001E47E5" w:rsidRDefault="00A52065" w:rsidP="00A52065">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Veľké podniky</w:t>
            </w:r>
          </w:p>
        </w:tc>
        <w:tc>
          <w:tcPr>
            <w:tcW w:w="3132" w:type="dxa"/>
          </w:tcPr>
          <w:p w14:paraId="463B316A" w14:textId="633CE5C5" w:rsidR="00A52065" w:rsidRPr="001E47E5" w:rsidRDefault="00A52065" w:rsidP="00A52065">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Vypracovanie/aktualizácia bezpečnostnej dokumentácie</w:t>
            </w:r>
          </w:p>
        </w:tc>
        <w:tc>
          <w:tcPr>
            <w:tcW w:w="3132" w:type="dxa"/>
          </w:tcPr>
          <w:p w14:paraId="67E38BE4" w14:textId="6B60DBF2" w:rsidR="00A52065" w:rsidRPr="001E47E5" w:rsidRDefault="00A52065" w:rsidP="00A52065">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45 000</w:t>
            </w:r>
          </w:p>
        </w:tc>
      </w:tr>
    </w:tbl>
    <w:p w14:paraId="7DEBD031" w14:textId="426A0A66" w:rsidR="009B3E99" w:rsidRPr="001E47E5" w:rsidRDefault="00A52065" w:rsidP="00A513CD">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Zdroj: Cena (expertný odhad) vychádza z údajov uvedených v centrálnom metainformačnom systéme v rámci rozvojových projektov v oblasti kyberbezpečnosti</w:t>
      </w:r>
      <w:r w:rsidR="00C14281" w:rsidRPr="001E47E5">
        <w:rPr>
          <w:rFonts w:ascii="Times New Roman" w:hAnsi="Times New Roman" w:cs="Times New Roman"/>
          <w:bCs/>
          <w:iCs/>
          <w:noProof/>
          <w:sz w:val="24"/>
          <w:szCs w:val="24"/>
        </w:rPr>
        <w:t xml:space="preserve">, </w:t>
      </w:r>
      <w:hyperlink r:id="rId12" w:history="1">
        <w:r w:rsidR="00C14281" w:rsidRPr="001E47E5">
          <w:rPr>
            <w:rStyle w:val="Hypertextovprepojenie"/>
            <w:rFonts w:ascii="Times New Roman" w:hAnsi="Times New Roman" w:cs="Times New Roman"/>
            <w:bCs/>
            <w:iCs/>
            <w:noProof/>
            <w:sz w:val="24"/>
            <w:szCs w:val="24"/>
          </w:rPr>
          <w:t>https://metais.vicepremier.gov.sk/cilist/Projekt?page=1&amp;count=20&amp;filter%5BglobalSearch%5D=%257B%257D</w:t>
        </w:r>
      </w:hyperlink>
      <w:r w:rsidR="00C14281" w:rsidRPr="001E47E5">
        <w:rPr>
          <w:rFonts w:ascii="Times New Roman" w:hAnsi="Times New Roman" w:cs="Times New Roman"/>
          <w:bCs/>
          <w:iCs/>
          <w:noProof/>
          <w:sz w:val="24"/>
          <w:szCs w:val="24"/>
        </w:rPr>
        <w:t xml:space="preserve"> </w:t>
      </w:r>
    </w:p>
    <w:p w14:paraId="14D678F9" w14:textId="1CA82991" w:rsidR="00655EB5" w:rsidRPr="001E47E5" w:rsidRDefault="00655EB5" w:rsidP="00A513CD">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 xml:space="preserve">Stredné a veľké podniky však už v súčasnosti v určitej miere majú zavedené kyberbezpečnostné politiky a dokumentáciu v súlade s medzinárodnými normami. Nezačínajú tak na zelenej lúke, preto aj EK uvádza, že </w:t>
      </w:r>
      <w:r w:rsidRPr="001E47E5">
        <w:rPr>
          <w:rFonts w:ascii="Times New Roman" w:hAnsi="Times New Roman" w:cs="Times New Roman"/>
          <w:bCs/>
          <w:iCs/>
          <w:noProof/>
          <w:sz w:val="24"/>
          <w:szCs w:val="24"/>
        </w:rPr>
        <w:t>v strednodobom horizonte (tri až štyri roky) by nové sektory, ktoré sa majú pridať do rozsahu pôsobnosti NIS</w:t>
      </w:r>
      <w:r w:rsidR="009544BD">
        <w:rPr>
          <w:rFonts w:ascii="Times New Roman" w:hAnsi="Times New Roman" w:cs="Times New Roman"/>
          <w:bCs/>
          <w:iCs/>
          <w:noProof/>
          <w:sz w:val="24"/>
          <w:szCs w:val="24"/>
        </w:rPr>
        <w:t> 2</w:t>
      </w:r>
      <w:r w:rsidRPr="001E47E5">
        <w:rPr>
          <w:rFonts w:ascii="Times New Roman" w:hAnsi="Times New Roman" w:cs="Times New Roman"/>
          <w:bCs/>
          <w:iCs/>
          <w:noProof/>
          <w:sz w:val="24"/>
          <w:szCs w:val="24"/>
        </w:rPr>
        <w:t xml:space="preserve">, zaznamenali približne 22 % nárast ich výdavkov na bezpečnosť IKT. K takémuto nárastu však prirodzene prispelo mnoho ďalších faktorov, ako napríklad vývoj technológií a prostredia hrozieb, GDPR a ďalšie regulačné povinnosti, účinky konkrétnych incidentov, ktoré sa môžu medzitým vyskytnúť, alebo veľkých kríz, úroveň informovanosti, úroveň digitalizácie atď. Na základe prieskumu </w:t>
      </w:r>
      <w:r w:rsidRPr="009544BD">
        <w:rPr>
          <w:rFonts w:ascii="Times New Roman" w:hAnsi="Times New Roman" w:cs="Times New Roman"/>
          <w:bCs/>
          <w:i/>
          <w:iCs/>
          <w:noProof/>
          <w:sz w:val="24"/>
          <w:szCs w:val="24"/>
        </w:rPr>
        <w:t>Kybernetická bezpečnosť</w:t>
      </w:r>
      <w:r w:rsidR="00B91AAF">
        <w:rPr>
          <w:rFonts w:ascii="Times New Roman" w:hAnsi="Times New Roman" w:cs="Times New Roman"/>
          <w:bCs/>
          <w:i/>
          <w:iCs/>
          <w:noProof/>
          <w:sz w:val="24"/>
          <w:szCs w:val="24"/>
        </w:rPr>
        <w:t xml:space="preserve"> 2023</w:t>
      </w:r>
      <w:r w:rsidRPr="001E47E5">
        <w:rPr>
          <w:rFonts w:ascii="Times New Roman" w:hAnsi="Times New Roman" w:cs="Times New Roman"/>
          <w:bCs/>
          <w:iCs/>
          <w:noProof/>
          <w:sz w:val="24"/>
          <w:szCs w:val="24"/>
        </w:rPr>
        <w:t>, ktorý bol realizovaný N</w:t>
      </w:r>
      <w:r w:rsidR="009544BD">
        <w:rPr>
          <w:rFonts w:ascii="Times New Roman" w:hAnsi="Times New Roman" w:cs="Times New Roman"/>
          <w:bCs/>
          <w:iCs/>
          <w:noProof/>
          <w:sz w:val="24"/>
          <w:szCs w:val="24"/>
        </w:rPr>
        <w:t>árodným bezpečnostným úradom (ďalej len „úrad“ alebo „N</w:t>
      </w:r>
      <w:r w:rsidRPr="001E47E5">
        <w:rPr>
          <w:rFonts w:ascii="Times New Roman" w:hAnsi="Times New Roman" w:cs="Times New Roman"/>
          <w:bCs/>
          <w:iCs/>
          <w:noProof/>
          <w:sz w:val="24"/>
          <w:szCs w:val="24"/>
        </w:rPr>
        <w:t>BÚ</w:t>
      </w:r>
      <w:r w:rsidR="009544BD">
        <w:rPr>
          <w:rFonts w:ascii="Times New Roman" w:hAnsi="Times New Roman" w:cs="Times New Roman"/>
          <w:bCs/>
          <w:iCs/>
          <w:noProof/>
          <w:sz w:val="24"/>
          <w:szCs w:val="24"/>
        </w:rPr>
        <w:t xml:space="preserve">) </w:t>
      </w:r>
      <w:r w:rsidRPr="001E47E5">
        <w:rPr>
          <w:rFonts w:ascii="Times New Roman" w:hAnsi="Times New Roman" w:cs="Times New Roman"/>
          <w:bCs/>
          <w:iCs/>
          <w:noProof/>
          <w:sz w:val="24"/>
          <w:szCs w:val="24"/>
        </w:rPr>
        <w:t>a</w:t>
      </w:r>
      <w:r w:rsidR="009544BD">
        <w:rPr>
          <w:rFonts w:ascii="Times New Roman" w:hAnsi="Times New Roman" w:cs="Times New Roman"/>
          <w:bCs/>
          <w:iCs/>
          <w:noProof/>
          <w:sz w:val="24"/>
          <w:szCs w:val="24"/>
        </w:rPr>
        <w:t> Kompetenčným a certifikačným centrom kybernetickej bezpečnosti (ďalej len „kompetenčné centrum“ alebo „</w:t>
      </w:r>
      <w:r w:rsidRPr="001E47E5">
        <w:rPr>
          <w:rFonts w:ascii="Times New Roman" w:hAnsi="Times New Roman" w:cs="Times New Roman"/>
          <w:bCs/>
          <w:iCs/>
          <w:noProof/>
          <w:sz w:val="24"/>
          <w:szCs w:val="24"/>
        </w:rPr>
        <w:t>KCCKB</w:t>
      </w:r>
      <w:r w:rsidR="009544BD">
        <w:rPr>
          <w:rFonts w:ascii="Times New Roman" w:hAnsi="Times New Roman" w:cs="Times New Roman"/>
          <w:bCs/>
          <w:iCs/>
          <w:noProof/>
          <w:sz w:val="24"/>
          <w:szCs w:val="24"/>
        </w:rPr>
        <w:t>“)</w:t>
      </w:r>
      <w:r w:rsidRPr="001E47E5">
        <w:rPr>
          <w:rFonts w:ascii="Times New Roman" w:hAnsi="Times New Roman" w:cs="Times New Roman"/>
          <w:bCs/>
          <w:iCs/>
          <w:noProof/>
          <w:sz w:val="24"/>
          <w:szCs w:val="24"/>
        </w:rPr>
        <w:t xml:space="preserve"> v roku 2023 je možné odhadnúť aký podiel stredných a veľkých podnikov</w:t>
      </w:r>
      <w:r w:rsidRPr="001E47E5">
        <w:rPr>
          <w:rStyle w:val="Odkaznapoznmkupodiarou"/>
          <w:rFonts w:ascii="Times New Roman" w:hAnsi="Times New Roman" w:cs="Times New Roman"/>
          <w:bCs/>
          <w:iCs/>
          <w:noProof/>
          <w:sz w:val="24"/>
          <w:szCs w:val="24"/>
        </w:rPr>
        <w:footnoteReference w:id="2"/>
      </w:r>
      <w:r w:rsidRPr="001E47E5">
        <w:rPr>
          <w:rFonts w:ascii="Times New Roman" w:hAnsi="Times New Roman" w:cs="Times New Roman"/>
          <w:bCs/>
          <w:iCs/>
          <w:noProof/>
          <w:sz w:val="24"/>
          <w:szCs w:val="24"/>
        </w:rPr>
        <w:t xml:space="preserve"> už má čiastočne alebo úplne vypracovanú potrebnú dokumentáciu bez ohľadu na prijatie </w:t>
      </w:r>
      <w:r w:rsidRPr="001E47E5">
        <w:rPr>
          <w:rFonts w:ascii="Times New Roman" w:hAnsi="Times New Roman" w:cs="Times New Roman"/>
          <w:bCs/>
          <w:iCs/>
          <w:noProof/>
          <w:sz w:val="24"/>
          <w:szCs w:val="24"/>
        </w:rPr>
        <w:lastRenderedPageBreak/>
        <w:t xml:space="preserve">novej legislatívy a stanoviť vplyv </w:t>
      </w:r>
      <w:r w:rsidR="009544BD">
        <w:rPr>
          <w:rFonts w:ascii="Times New Roman" w:hAnsi="Times New Roman" w:cs="Times New Roman"/>
          <w:bCs/>
          <w:iCs/>
          <w:noProof/>
          <w:sz w:val="24"/>
          <w:szCs w:val="24"/>
        </w:rPr>
        <w:t xml:space="preserve">návrhu </w:t>
      </w:r>
      <w:r w:rsidRPr="001E47E5">
        <w:rPr>
          <w:rFonts w:ascii="Times New Roman" w:hAnsi="Times New Roman" w:cs="Times New Roman"/>
          <w:bCs/>
          <w:iCs/>
          <w:noProof/>
          <w:sz w:val="24"/>
          <w:szCs w:val="24"/>
        </w:rPr>
        <w:t>novely zákon</w:t>
      </w:r>
      <w:r w:rsidR="007F019C">
        <w:rPr>
          <w:rFonts w:ascii="Times New Roman" w:hAnsi="Times New Roman" w:cs="Times New Roman"/>
          <w:bCs/>
          <w:iCs/>
          <w:noProof/>
          <w:sz w:val="24"/>
          <w:szCs w:val="24"/>
        </w:rPr>
        <w:t>a č.</w:t>
      </w:r>
      <w:r w:rsidRPr="001E47E5">
        <w:rPr>
          <w:rFonts w:ascii="Times New Roman" w:hAnsi="Times New Roman" w:cs="Times New Roman"/>
          <w:bCs/>
          <w:iCs/>
          <w:noProof/>
          <w:sz w:val="24"/>
          <w:szCs w:val="24"/>
        </w:rPr>
        <w:t xml:space="preserve"> 69/2018 Z. z. na podnikateľské prostredie.</w:t>
      </w:r>
    </w:p>
    <w:tbl>
      <w:tblPr>
        <w:tblStyle w:val="Mriekatabuky"/>
        <w:tblW w:w="9493" w:type="dxa"/>
        <w:tblLook w:val="04A0" w:firstRow="1" w:lastRow="0" w:firstColumn="1" w:lastColumn="0" w:noHBand="0" w:noVBand="1"/>
      </w:tblPr>
      <w:tblGrid>
        <w:gridCol w:w="3681"/>
        <w:gridCol w:w="4536"/>
        <w:gridCol w:w="1276"/>
      </w:tblGrid>
      <w:tr w:rsidR="00825192" w:rsidRPr="001E47E5" w14:paraId="7810B044" w14:textId="77777777" w:rsidTr="00825192">
        <w:tc>
          <w:tcPr>
            <w:tcW w:w="9493" w:type="dxa"/>
            <w:gridSpan w:val="3"/>
            <w:shd w:val="clear" w:color="auto" w:fill="D9D9D9" w:themeFill="background1" w:themeFillShade="D9"/>
          </w:tcPr>
          <w:p w14:paraId="4D653F1F" w14:textId="40E2CAC8" w:rsidR="00825192" w:rsidRPr="001E47E5" w:rsidRDefault="00825192" w:rsidP="00F35D5B">
            <w:pPr>
              <w:jc w:val="center"/>
              <w:rPr>
                <w:rFonts w:ascii="Times New Roman" w:hAnsi="Times New Roman" w:cs="Times New Roman"/>
                <w:b/>
                <w:iCs/>
                <w:noProof/>
                <w:sz w:val="24"/>
                <w:szCs w:val="24"/>
              </w:rPr>
            </w:pPr>
            <w:r w:rsidRPr="001E47E5">
              <w:rPr>
                <w:rFonts w:ascii="Times New Roman" w:hAnsi="Times New Roman" w:cs="Times New Roman"/>
                <w:b/>
                <w:iCs/>
                <w:noProof/>
                <w:sz w:val="24"/>
                <w:szCs w:val="24"/>
              </w:rPr>
              <w:t>Prieskum KB 2023</w:t>
            </w:r>
          </w:p>
        </w:tc>
      </w:tr>
      <w:tr w:rsidR="00825192" w:rsidRPr="001E47E5" w14:paraId="27C27DB9" w14:textId="77777777" w:rsidTr="00825192">
        <w:tc>
          <w:tcPr>
            <w:tcW w:w="3681" w:type="dxa"/>
          </w:tcPr>
          <w:p w14:paraId="33471358" w14:textId="203E7DEF" w:rsidR="00825192" w:rsidRPr="001E47E5" w:rsidRDefault="00825192" w:rsidP="00A513CD">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Ukazovateľ</w:t>
            </w:r>
          </w:p>
        </w:tc>
        <w:tc>
          <w:tcPr>
            <w:tcW w:w="4536" w:type="dxa"/>
          </w:tcPr>
          <w:p w14:paraId="48BDED5C" w14:textId="69E8841B" w:rsidR="00825192" w:rsidRPr="001E47E5" w:rsidRDefault="00825192" w:rsidP="00A513CD">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Zdôvodnenie použitia v rámci spracovania posúdenia vplyvov</w:t>
            </w:r>
          </w:p>
        </w:tc>
        <w:tc>
          <w:tcPr>
            <w:tcW w:w="1276" w:type="dxa"/>
          </w:tcPr>
          <w:p w14:paraId="3947CCD2" w14:textId="51B95198" w:rsidR="00825192" w:rsidRPr="001E47E5" w:rsidRDefault="00825192" w:rsidP="00A513CD">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Podiel v %</w:t>
            </w:r>
          </w:p>
        </w:tc>
      </w:tr>
      <w:tr w:rsidR="00825192" w:rsidRPr="001E47E5" w14:paraId="6C9E4F4B" w14:textId="77777777" w:rsidTr="00825192">
        <w:tc>
          <w:tcPr>
            <w:tcW w:w="3681" w:type="dxa"/>
          </w:tcPr>
          <w:p w14:paraId="6FE2F5B1" w14:textId="6DB4EF7E" w:rsidR="00825192" w:rsidRPr="001E47E5" w:rsidRDefault="00825192"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Podiel stredne veľkých podnikov, ktoré nemajú vypracovaný ani plány kontinuity činnosti organizácie (BCP) ani analýzu rizík </w:t>
            </w:r>
          </w:p>
        </w:tc>
        <w:tc>
          <w:tcPr>
            <w:tcW w:w="4536" w:type="dxa"/>
          </w:tcPr>
          <w:p w14:paraId="70F88B66" w14:textId="59E920CA" w:rsidR="00825192" w:rsidRPr="001E47E5" w:rsidRDefault="00825192"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Predpokladáme že tieto podniky nemajú vypracovanú žiadnu dokumentáciu alebo len v minimálnej miere </w:t>
            </w:r>
          </w:p>
        </w:tc>
        <w:tc>
          <w:tcPr>
            <w:tcW w:w="1276" w:type="dxa"/>
          </w:tcPr>
          <w:p w14:paraId="0A08AAE4" w14:textId="3D6D0581" w:rsidR="00825192" w:rsidRPr="001E47E5" w:rsidRDefault="00237C3F"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40%</w:t>
            </w:r>
          </w:p>
        </w:tc>
      </w:tr>
      <w:tr w:rsidR="00825192" w:rsidRPr="001E47E5" w14:paraId="45359631" w14:textId="77777777" w:rsidTr="00825192">
        <w:tc>
          <w:tcPr>
            <w:tcW w:w="3681" w:type="dxa"/>
          </w:tcPr>
          <w:p w14:paraId="0BD7E2E6" w14:textId="46F3F0AD" w:rsidR="00825192" w:rsidRPr="001E47E5" w:rsidRDefault="00825192"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Podiel stredne veľkých podnikov, ktoré majú vypracovnú analýzu rizík </w:t>
            </w:r>
          </w:p>
        </w:tc>
        <w:tc>
          <w:tcPr>
            <w:tcW w:w="4536" w:type="dxa"/>
          </w:tcPr>
          <w:p w14:paraId="74285B5B" w14:textId="3E9F82AE" w:rsidR="00825192" w:rsidRPr="001E47E5" w:rsidRDefault="00825192"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Predpokladáme že podniky so spracovanou analýzou rizík aspoň do určitej miery (50%) majú spracovanú dokumentáciu, ktorej vypracovanie stanovuje zákon ako povinnosť</w:t>
            </w:r>
          </w:p>
        </w:tc>
        <w:tc>
          <w:tcPr>
            <w:tcW w:w="1276" w:type="dxa"/>
          </w:tcPr>
          <w:p w14:paraId="4B45AF0A" w14:textId="2A8A85CB" w:rsidR="00825192" w:rsidRPr="001E47E5" w:rsidRDefault="00237C3F"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60% (po odpočítaní podnikov, ktoré majú aj BCP do ďalších výpočtov vstupuje hodnota 31%)</w:t>
            </w:r>
          </w:p>
        </w:tc>
      </w:tr>
      <w:tr w:rsidR="00825192" w:rsidRPr="001E47E5" w14:paraId="6A19EA1F" w14:textId="77777777" w:rsidTr="00825192">
        <w:tc>
          <w:tcPr>
            <w:tcW w:w="3681" w:type="dxa"/>
          </w:tcPr>
          <w:p w14:paraId="6B5DE2F1" w14:textId="1D8A917E" w:rsidR="00825192" w:rsidRPr="001E47E5" w:rsidRDefault="00825192" w:rsidP="00A513CD">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Podiel stredne veľkých podnikov, ktoré majú vypracované a pripravené plány kontinuity činnosti organizácie (BCP)</w:t>
            </w:r>
          </w:p>
        </w:tc>
        <w:tc>
          <w:tcPr>
            <w:tcW w:w="4536" w:type="dxa"/>
          </w:tcPr>
          <w:p w14:paraId="0BD8355C" w14:textId="254E8FB7" w:rsidR="00825192" w:rsidRPr="001E47E5" w:rsidRDefault="00825192" w:rsidP="00A513CD">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Predpokladáme že podniky so spracovanou BCP majú do vysokej  miery (90%) majú spracovanú dokumentáciu, ktorej vypracovanie stanovuje zákon ako povinnosť</w:t>
            </w:r>
          </w:p>
        </w:tc>
        <w:tc>
          <w:tcPr>
            <w:tcW w:w="1276" w:type="dxa"/>
          </w:tcPr>
          <w:p w14:paraId="0083BD01" w14:textId="7A2BDD9E" w:rsidR="00825192" w:rsidRPr="001E47E5" w:rsidRDefault="00237C3F" w:rsidP="00A513CD">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29%</w:t>
            </w:r>
          </w:p>
        </w:tc>
      </w:tr>
    </w:tbl>
    <w:p w14:paraId="6CFE643E" w14:textId="6879A86B" w:rsidR="00655EB5" w:rsidRPr="001E47E5" w:rsidRDefault="00F35D5B" w:rsidP="00F35D5B">
      <w:pPr>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Zdroj údajov: </w:t>
      </w:r>
      <w:hyperlink r:id="rId13" w:history="1">
        <w:r w:rsidRPr="001E47E5">
          <w:rPr>
            <w:rStyle w:val="Hypertextovprepojenie"/>
            <w:rFonts w:ascii="Times New Roman" w:hAnsi="Times New Roman" w:cs="Times New Roman"/>
            <w:bCs/>
            <w:iCs/>
            <w:noProof/>
            <w:sz w:val="24"/>
            <w:szCs w:val="24"/>
          </w:rPr>
          <w:t>https://cybercompetence.sk/wp-content/uploads/dokumenty/na_stiahnutie/letak_KB-prieskum_verejnej_mienky_msp_2023.pdf</w:t>
        </w:r>
      </w:hyperlink>
    </w:p>
    <w:p w14:paraId="6C5A072B" w14:textId="77777777" w:rsidR="00F35D5B" w:rsidRPr="001E47E5" w:rsidRDefault="00F35D5B" w:rsidP="00A513CD">
      <w:pPr>
        <w:jc w:val="both"/>
        <w:rPr>
          <w:rFonts w:ascii="Times New Roman" w:hAnsi="Times New Roman" w:cs="Times New Roman"/>
          <w:bCs/>
          <w:iCs/>
          <w:noProof/>
          <w:sz w:val="24"/>
          <w:szCs w:val="24"/>
        </w:rPr>
      </w:pPr>
    </w:p>
    <w:tbl>
      <w:tblPr>
        <w:tblStyle w:val="Mriekatabuky"/>
        <w:tblW w:w="9566" w:type="dxa"/>
        <w:tblLook w:val="04A0" w:firstRow="1" w:lastRow="0" w:firstColumn="1" w:lastColumn="0" w:noHBand="0" w:noVBand="1"/>
      </w:tblPr>
      <w:tblGrid>
        <w:gridCol w:w="846"/>
        <w:gridCol w:w="2614"/>
        <w:gridCol w:w="1524"/>
        <w:gridCol w:w="1340"/>
        <w:gridCol w:w="1618"/>
        <w:gridCol w:w="1624"/>
      </w:tblGrid>
      <w:tr w:rsidR="00EE03E0" w:rsidRPr="001E47E5" w14:paraId="4F58AE89" w14:textId="240C846F" w:rsidTr="00EE03E0">
        <w:tc>
          <w:tcPr>
            <w:tcW w:w="3460" w:type="dxa"/>
            <w:gridSpan w:val="2"/>
            <w:vMerge w:val="restart"/>
            <w:shd w:val="clear" w:color="auto" w:fill="D9D9D9" w:themeFill="background1" w:themeFillShade="D9"/>
          </w:tcPr>
          <w:p w14:paraId="10702FB2" w14:textId="6E70D0B6" w:rsidR="00EE03E0" w:rsidRPr="001E47E5" w:rsidRDefault="00EE03E0" w:rsidP="00F35D5B">
            <w:pPr>
              <w:jc w:val="center"/>
              <w:rPr>
                <w:rFonts w:ascii="Times New Roman" w:hAnsi="Times New Roman" w:cs="Times New Roman"/>
                <w:b/>
                <w:iCs/>
                <w:noProof/>
                <w:color w:val="000000" w:themeColor="text1"/>
                <w:sz w:val="24"/>
                <w:szCs w:val="24"/>
              </w:rPr>
            </w:pPr>
            <w:r w:rsidRPr="001E47E5">
              <w:rPr>
                <w:rFonts w:ascii="Times New Roman" w:hAnsi="Times New Roman" w:cs="Times New Roman"/>
                <w:b/>
                <w:iCs/>
                <w:noProof/>
                <w:color w:val="000000" w:themeColor="text1"/>
                <w:sz w:val="24"/>
                <w:szCs w:val="24"/>
              </w:rPr>
              <w:t>Typ podnikov</w:t>
            </w:r>
          </w:p>
          <w:p w14:paraId="28545336" w14:textId="7DCC9614" w:rsidR="00EE03E0" w:rsidRPr="001E47E5" w:rsidRDefault="00EE03E0" w:rsidP="00F35D5B">
            <w:pPr>
              <w:jc w:val="center"/>
              <w:rPr>
                <w:rFonts w:ascii="Times New Roman" w:hAnsi="Times New Roman" w:cs="Times New Roman"/>
                <w:b/>
                <w:iCs/>
                <w:noProof/>
                <w:color w:val="000000" w:themeColor="text1"/>
                <w:sz w:val="24"/>
                <w:szCs w:val="24"/>
              </w:rPr>
            </w:pPr>
          </w:p>
        </w:tc>
        <w:tc>
          <w:tcPr>
            <w:tcW w:w="2864" w:type="dxa"/>
            <w:gridSpan w:val="2"/>
            <w:shd w:val="clear" w:color="auto" w:fill="D9D9D9" w:themeFill="background1" w:themeFillShade="D9"/>
          </w:tcPr>
          <w:p w14:paraId="2E83BBD6" w14:textId="0A001174" w:rsidR="00EE03E0" w:rsidRPr="001E47E5" w:rsidRDefault="00EE03E0" w:rsidP="00F35D5B">
            <w:pPr>
              <w:jc w:val="center"/>
              <w:rPr>
                <w:rFonts w:ascii="Times New Roman" w:hAnsi="Times New Roman" w:cs="Times New Roman"/>
                <w:b/>
                <w:iCs/>
                <w:noProof/>
                <w:color w:val="000000" w:themeColor="text1"/>
                <w:sz w:val="24"/>
                <w:szCs w:val="24"/>
              </w:rPr>
            </w:pPr>
            <w:r w:rsidRPr="001E47E5">
              <w:rPr>
                <w:rFonts w:ascii="Times New Roman" w:hAnsi="Times New Roman" w:cs="Times New Roman"/>
                <w:b/>
                <w:iCs/>
                <w:noProof/>
                <w:color w:val="000000" w:themeColor="text1"/>
                <w:sz w:val="24"/>
                <w:szCs w:val="24"/>
              </w:rPr>
              <w:t>Počet subjektov</w:t>
            </w:r>
          </w:p>
        </w:tc>
        <w:tc>
          <w:tcPr>
            <w:tcW w:w="3242" w:type="dxa"/>
            <w:gridSpan w:val="2"/>
            <w:shd w:val="clear" w:color="auto" w:fill="D9D9D9" w:themeFill="background1" w:themeFillShade="D9"/>
          </w:tcPr>
          <w:p w14:paraId="0F416F1E" w14:textId="4051142F" w:rsidR="00EE03E0" w:rsidRPr="001E47E5" w:rsidRDefault="00EE03E0" w:rsidP="00F35D5B">
            <w:pPr>
              <w:jc w:val="center"/>
              <w:rPr>
                <w:rFonts w:ascii="Times New Roman" w:hAnsi="Times New Roman" w:cs="Times New Roman"/>
                <w:b/>
                <w:iCs/>
                <w:noProof/>
                <w:color w:val="000000" w:themeColor="text1"/>
                <w:sz w:val="24"/>
                <w:szCs w:val="24"/>
              </w:rPr>
            </w:pPr>
            <w:r w:rsidRPr="001E47E5">
              <w:rPr>
                <w:rFonts w:ascii="Times New Roman" w:hAnsi="Times New Roman" w:cs="Times New Roman"/>
                <w:b/>
                <w:iCs/>
                <w:noProof/>
                <w:color w:val="000000" w:themeColor="text1"/>
                <w:sz w:val="24"/>
                <w:szCs w:val="24"/>
              </w:rPr>
              <w:t>Náklad na 1 subjekt</w:t>
            </w:r>
          </w:p>
        </w:tc>
      </w:tr>
      <w:tr w:rsidR="00EE03E0" w:rsidRPr="001E47E5" w14:paraId="52746A30" w14:textId="77777777" w:rsidTr="00EE03E0">
        <w:tc>
          <w:tcPr>
            <w:tcW w:w="3460" w:type="dxa"/>
            <w:gridSpan w:val="2"/>
            <w:vMerge/>
            <w:shd w:val="clear" w:color="auto" w:fill="D9D9D9" w:themeFill="background1" w:themeFillShade="D9"/>
          </w:tcPr>
          <w:p w14:paraId="3D9D6907" w14:textId="1EBB6D95" w:rsidR="00EE03E0" w:rsidRPr="001E47E5" w:rsidRDefault="00EE03E0" w:rsidP="00F35D5B">
            <w:pPr>
              <w:jc w:val="center"/>
              <w:rPr>
                <w:rFonts w:ascii="Times New Roman" w:hAnsi="Times New Roman" w:cs="Times New Roman"/>
                <w:b/>
                <w:iCs/>
                <w:noProof/>
                <w:color w:val="000000" w:themeColor="text1"/>
                <w:sz w:val="24"/>
                <w:szCs w:val="24"/>
              </w:rPr>
            </w:pPr>
          </w:p>
        </w:tc>
        <w:tc>
          <w:tcPr>
            <w:tcW w:w="1524" w:type="dxa"/>
            <w:shd w:val="clear" w:color="auto" w:fill="D9D9D9" w:themeFill="background1" w:themeFillShade="D9"/>
          </w:tcPr>
          <w:p w14:paraId="5AD31678" w14:textId="179768FF" w:rsidR="00EE03E0" w:rsidRPr="001E47E5" w:rsidRDefault="00EE03E0" w:rsidP="00F35D5B">
            <w:pPr>
              <w:jc w:val="center"/>
              <w:rPr>
                <w:rFonts w:ascii="Times New Roman" w:hAnsi="Times New Roman" w:cs="Times New Roman"/>
                <w:b/>
                <w:iCs/>
                <w:noProof/>
                <w:color w:val="000000" w:themeColor="text1"/>
                <w:sz w:val="24"/>
                <w:szCs w:val="24"/>
              </w:rPr>
            </w:pPr>
            <w:r w:rsidRPr="001E47E5">
              <w:rPr>
                <w:rFonts w:ascii="Times New Roman" w:hAnsi="Times New Roman" w:cs="Times New Roman"/>
                <w:b/>
                <w:iCs/>
                <w:noProof/>
                <w:color w:val="000000" w:themeColor="text1"/>
                <w:sz w:val="24"/>
                <w:szCs w:val="24"/>
              </w:rPr>
              <w:t>%</w:t>
            </w:r>
          </w:p>
        </w:tc>
        <w:tc>
          <w:tcPr>
            <w:tcW w:w="1340" w:type="dxa"/>
            <w:shd w:val="clear" w:color="auto" w:fill="D9D9D9" w:themeFill="background1" w:themeFillShade="D9"/>
          </w:tcPr>
          <w:p w14:paraId="6F11ED21" w14:textId="4AC0B0DC" w:rsidR="00EE03E0" w:rsidRPr="001E47E5" w:rsidRDefault="00EE03E0" w:rsidP="00F35D5B">
            <w:pPr>
              <w:jc w:val="center"/>
              <w:rPr>
                <w:rFonts w:ascii="Times New Roman" w:hAnsi="Times New Roman" w:cs="Times New Roman"/>
                <w:b/>
                <w:iCs/>
                <w:noProof/>
                <w:color w:val="000000" w:themeColor="text1"/>
                <w:sz w:val="24"/>
                <w:szCs w:val="24"/>
              </w:rPr>
            </w:pPr>
            <w:r w:rsidRPr="001E47E5">
              <w:rPr>
                <w:rFonts w:ascii="Times New Roman" w:hAnsi="Times New Roman" w:cs="Times New Roman"/>
                <w:b/>
                <w:iCs/>
                <w:noProof/>
                <w:color w:val="000000" w:themeColor="text1"/>
                <w:sz w:val="24"/>
                <w:szCs w:val="24"/>
              </w:rPr>
              <w:t>Abs.</w:t>
            </w:r>
          </w:p>
        </w:tc>
        <w:tc>
          <w:tcPr>
            <w:tcW w:w="1618" w:type="dxa"/>
            <w:shd w:val="clear" w:color="auto" w:fill="D9D9D9" w:themeFill="background1" w:themeFillShade="D9"/>
          </w:tcPr>
          <w:p w14:paraId="1DC30EA4" w14:textId="05A92CE3" w:rsidR="00EE03E0" w:rsidRPr="001E47E5" w:rsidRDefault="00EE03E0" w:rsidP="00F35D5B">
            <w:pPr>
              <w:jc w:val="center"/>
              <w:rPr>
                <w:rFonts w:ascii="Times New Roman" w:hAnsi="Times New Roman" w:cs="Times New Roman"/>
                <w:b/>
                <w:iCs/>
                <w:noProof/>
                <w:color w:val="000000" w:themeColor="text1"/>
                <w:sz w:val="24"/>
                <w:szCs w:val="24"/>
              </w:rPr>
            </w:pPr>
            <w:r w:rsidRPr="001E47E5">
              <w:rPr>
                <w:rFonts w:ascii="Times New Roman" w:hAnsi="Times New Roman" w:cs="Times New Roman"/>
                <w:b/>
                <w:iCs/>
                <w:noProof/>
                <w:color w:val="000000" w:themeColor="text1"/>
                <w:sz w:val="24"/>
                <w:szCs w:val="24"/>
              </w:rPr>
              <w:t>%</w:t>
            </w:r>
          </w:p>
        </w:tc>
        <w:tc>
          <w:tcPr>
            <w:tcW w:w="1624" w:type="dxa"/>
            <w:shd w:val="clear" w:color="auto" w:fill="D9D9D9" w:themeFill="background1" w:themeFillShade="D9"/>
          </w:tcPr>
          <w:p w14:paraId="5F156299" w14:textId="462BC16D" w:rsidR="00EE03E0" w:rsidRPr="001E47E5" w:rsidRDefault="00EE03E0" w:rsidP="00F35D5B">
            <w:pPr>
              <w:jc w:val="center"/>
              <w:rPr>
                <w:rFonts w:ascii="Times New Roman" w:hAnsi="Times New Roman" w:cs="Times New Roman"/>
                <w:b/>
                <w:iCs/>
                <w:noProof/>
                <w:color w:val="000000" w:themeColor="text1"/>
                <w:sz w:val="24"/>
                <w:szCs w:val="24"/>
              </w:rPr>
            </w:pPr>
            <w:r w:rsidRPr="001E47E5">
              <w:rPr>
                <w:rFonts w:ascii="Times New Roman" w:hAnsi="Times New Roman" w:cs="Times New Roman"/>
                <w:b/>
                <w:iCs/>
                <w:noProof/>
                <w:color w:val="000000" w:themeColor="text1"/>
                <w:sz w:val="24"/>
                <w:szCs w:val="24"/>
              </w:rPr>
              <w:t>Abs.</w:t>
            </w:r>
          </w:p>
        </w:tc>
      </w:tr>
      <w:tr w:rsidR="00EE03E0" w:rsidRPr="001E47E5" w14:paraId="53D5C2FA" w14:textId="77777777" w:rsidTr="00EE03E0">
        <w:tc>
          <w:tcPr>
            <w:tcW w:w="846" w:type="dxa"/>
          </w:tcPr>
          <w:p w14:paraId="1A04A5D5" w14:textId="756BAE53"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Typ 1</w:t>
            </w:r>
          </w:p>
        </w:tc>
        <w:tc>
          <w:tcPr>
            <w:tcW w:w="2614" w:type="dxa"/>
          </w:tcPr>
          <w:p w14:paraId="7000E1F2" w14:textId="7F27195B"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Stredný podnik bez dokumentácie</w:t>
            </w:r>
          </w:p>
        </w:tc>
        <w:tc>
          <w:tcPr>
            <w:tcW w:w="1524" w:type="dxa"/>
          </w:tcPr>
          <w:p w14:paraId="6CE8FB92" w14:textId="77777777"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40%</w:t>
            </w:r>
          </w:p>
        </w:tc>
        <w:tc>
          <w:tcPr>
            <w:tcW w:w="1340" w:type="dxa"/>
          </w:tcPr>
          <w:p w14:paraId="4107F737" w14:textId="31201721"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1 099</w:t>
            </w:r>
          </w:p>
        </w:tc>
        <w:tc>
          <w:tcPr>
            <w:tcW w:w="1618" w:type="dxa"/>
          </w:tcPr>
          <w:p w14:paraId="69A3D776" w14:textId="77777777"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100%</w:t>
            </w:r>
          </w:p>
        </w:tc>
        <w:tc>
          <w:tcPr>
            <w:tcW w:w="1624" w:type="dxa"/>
          </w:tcPr>
          <w:p w14:paraId="4D8DCBF1" w14:textId="24152431"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25 000</w:t>
            </w:r>
          </w:p>
        </w:tc>
      </w:tr>
      <w:tr w:rsidR="00EE03E0" w:rsidRPr="001E47E5" w14:paraId="377531F6" w14:textId="77777777" w:rsidTr="00EE03E0">
        <w:tc>
          <w:tcPr>
            <w:tcW w:w="846" w:type="dxa"/>
          </w:tcPr>
          <w:p w14:paraId="10E8CF40" w14:textId="2F6F34F9"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Typ 2</w:t>
            </w:r>
          </w:p>
        </w:tc>
        <w:tc>
          <w:tcPr>
            <w:tcW w:w="2614" w:type="dxa"/>
          </w:tcPr>
          <w:p w14:paraId="4AA5D646" w14:textId="3F5A93E7"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Stredný podnik aspoň s analýzou rizík</w:t>
            </w:r>
          </w:p>
        </w:tc>
        <w:tc>
          <w:tcPr>
            <w:tcW w:w="1524" w:type="dxa"/>
          </w:tcPr>
          <w:p w14:paraId="571A1305" w14:textId="77777777"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31%</w:t>
            </w:r>
          </w:p>
        </w:tc>
        <w:tc>
          <w:tcPr>
            <w:tcW w:w="1340" w:type="dxa"/>
          </w:tcPr>
          <w:p w14:paraId="1E588D9F" w14:textId="6227C084"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852</w:t>
            </w:r>
          </w:p>
        </w:tc>
        <w:tc>
          <w:tcPr>
            <w:tcW w:w="1618" w:type="dxa"/>
          </w:tcPr>
          <w:p w14:paraId="463DC854" w14:textId="77777777"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50%</w:t>
            </w:r>
          </w:p>
        </w:tc>
        <w:tc>
          <w:tcPr>
            <w:tcW w:w="1624" w:type="dxa"/>
          </w:tcPr>
          <w:p w14:paraId="4B3B27DD" w14:textId="71F2D323"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12 500</w:t>
            </w:r>
          </w:p>
        </w:tc>
      </w:tr>
      <w:tr w:rsidR="00EE03E0" w:rsidRPr="001E47E5" w14:paraId="347CF4D3" w14:textId="77777777" w:rsidTr="00EE03E0">
        <w:tc>
          <w:tcPr>
            <w:tcW w:w="846" w:type="dxa"/>
          </w:tcPr>
          <w:p w14:paraId="5AEF0DD3" w14:textId="1D69F8AF"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Typ 3</w:t>
            </w:r>
          </w:p>
        </w:tc>
        <w:tc>
          <w:tcPr>
            <w:tcW w:w="2614" w:type="dxa"/>
          </w:tcPr>
          <w:p w14:paraId="260A7AB1" w14:textId="4E6384EB"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Stredný podnik aj s BCP</w:t>
            </w:r>
          </w:p>
        </w:tc>
        <w:tc>
          <w:tcPr>
            <w:tcW w:w="1524" w:type="dxa"/>
          </w:tcPr>
          <w:p w14:paraId="7B11A759" w14:textId="77777777"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29%</w:t>
            </w:r>
          </w:p>
        </w:tc>
        <w:tc>
          <w:tcPr>
            <w:tcW w:w="1340" w:type="dxa"/>
          </w:tcPr>
          <w:p w14:paraId="6F4DF35F" w14:textId="21BAE35E"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796</w:t>
            </w:r>
          </w:p>
        </w:tc>
        <w:tc>
          <w:tcPr>
            <w:tcW w:w="1618" w:type="dxa"/>
          </w:tcPr>
          <w:p w14:paraId="1C7E6EE3" w14:textId="77777777"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10%</w:t>
            </w:r>
          </w:p>
        </w:tc>
        <w:tc>
          <w:tcPr>
            <w:tcW w:w="1624" w:type="dxa"/>
          </w:tcPr>
          <w:p w14:paraId="3970B92E" w14:textId="22065FCF" w:rsidR="00EE03E0" w:rsidRPr="001E47E5" w:rsidRDefault="00EE03E0" w:rsidP="00DE024B">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2 500</w:t>
            </w:r>
          </w:p>
        </w:tc>
      </w:tr>
      <w:tr w:rsidR="00EE03E0" w:rsidRPr="001E47E5" w14:paraId="2142BD60" w14:textId="5C508EBD" w:rsidTr="00EE03E0">
        <w:tc>
          <w:tcPr>
            <w:tcW w:w="846" w:type="dxa"/>
          </w:tcPr>
          <w:p w14:paraId="2D4413B3" w14:textId="131ED32E"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Typ 4</w:t>
            </w:r>
          </w:p>
        </w:tc>
        <w:tc>
          <w:tcPr>
            <w:tcW w:w="2614" w:type="dxa"/>
          </w:tcPr>
          <w:p w14:paraId="182C901E" w14:textId="1FF24B6B"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Veľký podnik bez dokumentácie</w:t>
            </w:r>
          </w:p>
        </w:tc>
        <w:tc>
          <w:tcPr>
            <w:tcW w:w="1524" w:type="dxa"/>
          </w:tcPr>
          <w:p w14:paraId="00A19A48" w14:textId="46E76BCE"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40%</w:t>
            </w:r>
          </w:p>
        </w:tc>
        <w:tc>
          <w:tcPr>
            <w:tcW w:w="1340" w:type="dxa"/>
          </w:tcPr>
          <w:p w14:paraId="706BDC74" w14:textId="7C090B74"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263</w:t>
            </w:r>
          </w:p>
        </w:tc>
        <w:tc>
          <w:tcPr>
            <w:tcW w:w="1618" w:type="dxa"/>
          </w:tcPr>
          <w:p w14:paraId="52A8654B" w14:textId="7092E555"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100%</w:t>
            </w:r>
          </w:p>
        </w:tc>
        <w:tc>
          <w:tcPr>
            <w:tcW w:w="1624" w:type="dxa"/>
          </w:tcPr>
          <w:p w14:paraId="1980D562" w14:textId="3F98AFCC"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45 000</w:t>
            </w:r>
          </w:p>
        </w:tc>
      </w:tr>
      <w:tr w:rsidR="00EE03E0" w:rsidRPr="001E47E5" w14:paraId="08DE23EB" w14:textId="7E86D994" w:rsidTr="00EE03E0">
        <w:tc>
          <w:tcPr>
            <w:tcW w:w="846" w:type="dxa"/>
          </w:tcPr>
          <w:p w14:paraId="54910938" w14:textId="544728AC"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Typ 5</w:t>
            </w:r>
          </w:p>
        </w:tc>
        <w:tc>
          <w:tcPr>
            <w:tcW w:w="2614" w:type="dxa"/>
          </w:tcPr>
          <w:p w14:paraId="1867C3A0" w14:textId="27B48CFA"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Veľký podnik aspoň s analýzou rizík</w:t>
            </w:r>
          </w:p>
        </w:tc>
        <w:tc>
          <w:tcPr>
            <w:tcW w:w="1524" w:type="dxa"/>
          </w:tcPr>
          <w:p w14:paraId="5FC889FE" w14:textId="33A2A00C"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31%</w:t>
            </w:r>
          </w:p>
        </w:tc>
        <w:tc>
          <w:tcPr>
            <w:tcW w:w="1340" w:type="dxa"/>
          </w:tcPr>
          <w:p w14:paraId="00F6A14A" w14:textId="766A8217"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203</w:t>
            </w:r>
          </w:p>
        </w:tc>
        <w:tc>
          <w:tcPr>
            <w:tcW w:w="1618" w:type="dxa"/>
          </w:tcPr>
          <w:p w14:paraId="2B62D04F" w14:textId="339D6DD4"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50%</w:t>
            </w:r>
          </w:p>
        </w:tc>
        <w:tc>
          <w:tcPr>
            <w:tcW w:w="1624" w:type="dxa"/>
          </w:tcPr>
          <w:p w14:paraId="1655FFD3" w14:textId="38EDBBC0"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22 500</w:t>
            </w:r>
          </w:p>
        </w:tc>
      </w:tr>
      <w:tr w:rsidR="00EE03E0" w:rsidRPr="001E47E5" w14:paraId="2BFD2668" w14:textId="7C43FB45" w:rsidTr="00EE03E0">
        <w:tc>
          <w:tcPr>
            <w:tcW w:w="846" w:type="dxa"/>
          </w:tcPr>
          <w:p w14:paraId="48C6BC48" w14:textId="71E2E442"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Typ 6</w:t>
            </w:r>
          </w:p>
        </w:tc>
        <w:tc>
          <w:tcPr>
            <w:tcW w:w="2614" w:type="dxa"/>
          </w:tcPr>
          <w:p w14:paraId="4D14B135" w14:textId="5B1B7E3C"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Veľký podnik aj s BCP</w:t>
            </w:r>
          </w:p>
        </w:tc>
        <w:tc>
          <w:tcPr>
            <w:tcW w:w="1524" w:type="dxa"/>
          </w:tcPr>
          <w:p w14:paraId="2DDF18FE" w14:textId="5AEAABDF"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29%</w:t>
            </w:r>
          </w:p>
        </w:tc>
        <w:tc>
          <w:tcPr>
            <w:tcW w:w="1340" w:type="dxa"/>
          </w:tcPr>
          <w:p w14:paraId="70EE9E13" w14:textId="371E2B55"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190</w:t>
            </w:r>
          </w:p>
        </w:tc>
        <w:tc>
          <w:tcPr>
            <w:tcW w:w="1618" w:type="dxa"/>
          </w:tcPr>
          <w:p w14:paraId="62CEA0D6" w14:textId="2B50139A"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10%</w:t>
            </w:r>
          </w:p>
        </w:tc>
        <w:tc>
          <w:tcPr>
            <w:tcW w:w="1624" w:type="dxa"/>
          </w:tcPr>
          <w:p w14:paraId="570B7A0E" w14:textId="365F10DA" w:rsidR="00EE03E0" w:rsidRPr="001E47E5" w:rsidRDefault="00EE03E0" w:rsidP="00237C3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4 500</w:t>
            </w:r>
          </w:p>
        </w:tc>
      </w:tr>
    </w:tbl>
    <w:p w14:paraId="0080A4AD" w14:textId="77777777" w:rsidR="00C14281" w:rsidRPr="001E47E5" w:rsidRDefault="00C14281" w:rsidP="00A513CD">
      <w:pPr>
        <w:jc w:val="both"/>
        <w:rPr>
          <w:rFonts w:ascii="Times New Roman" w:hAnsi="Times New Roman" w:cs="Times New Roman"/>
          <w:bCs/>
          <w:iCs/>
          <w:noProof/>
          <w:sz w:val="24"/>
          <w:szCs w:val="24"/>
        </w:rPr>
      </w:pPr>
    </w:p>
    <w:p w14:paraId="185B1E38" w14:textId="56B5D8D7" w:rsidR="004D2403" w:rsidRPr="001E47E5" w:rsidRDefault="004D2403" w:rsidP="004D2403">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 xml:space="preserve">3.1.3.4. Zavedenie povinnosti a spôsobu zasielania hlásení pre nové subjekty v súlade so smernicou </w:t>
      </w:r>
      <w:r w:rsidR="009544BD">
        <w:rPr>
          <w:rFonts w:ascii="Times New Roman" w:eastAsia="Calibri" w:hAnsi="Times New Roman" w:cs="Times New Roman"/>
          <w:b/>
          <w:color w:val="000000"/>
          <w:sz w:val="24"/>
          <w:szCs w:val="24"/>
        </w:rPr>
        <w:t>NIS 2</w:t>
      </w:r>
    </w:p>
    <w:p w14:paraId="389F90FB" w14:textId="1BD141D5" w:rsidR="00E22F8D" w:rsidRPr="001E47E5" w:rsidRDefault="00A93C32" w:rsidP="004D2403">
      <w:pPr>
        <w:jc w:val="both"/>
        <w:rPr>
          <w:rFonts w:ascii="Times New Roman" w:hAnsi="Times New Roman" w:cs="Times New Roman"/>
          <w:b/>
          <w:iCs/>
          <w:noProof/>
          <w:sz w:val="24"/>
          <w:szCs w:val="24"/>
        </w:rPr>
      </w:pPr>
      <w:r w:rsidRPr="001E47E5">
        <w:rPr>
          <w:rFonts w:ascii="Times New Roman" w:eastAsia="Calibri" w:hAnsi="Times New Roman" w:cs="Times New Roman"/>
          <w:bCs/>
          <w:color w:val="000000"/>
          <w:sz w:val="24"/>
          <w:szCs w:val="24"/>
        </w:rPr>
        <w:lastRenderedPageBreak/>
        <w:t>Nové subjekty, pre ktoré sa zavádzajú povinnosti prevádzkovateľa základnej služby budú musieť hlásiť každý závažný kybernetický bezpečnostný incident a to prostredníctvom jednotného informačného systému kybernetickej bezpečnosti</w:t>
      </w:r>
      <w:r w:rsidR="00457CBE">
        <w:rPr>
          <w:rFonts w:ascii="Times New Roman" w:eastAsia="Calibri" w:hAnsi="Times New Roman" w:cs="Times New Roman"/>
          <w:bCs/>
          <w:color w:val="000000"/>
          <w:sz w:val="24"/>
          <w:szCs w:val="24"/>
        </w:rPr>
        <w:t xml:space="preserve"> (ďalej len „JISKB“)</w:t>
      </w:r>
      <w:r w:rsidRPr="001E47E5">
        <w:rPr>
          <w:rFonts w:ascii="Times New Roman" w:eastAsia="Calibri" w:hAnsi="Times New Roman" w:cs="Times New Roman"/>
          <w:bCs/>
          <w:color w:val="000000"/>
          <w:sz w:val="24"/>
          <w:szCs w:val="24"/>
        </w:rPr>
        <w:t>. Výpočet nárastu hlásení vychádza z historických dát a z údajov o počte podnikateľských subjektov, ktoré sa stanú novými PZS.</w:t>
      </w:r>
    </w:p>
    <w:tbl>
      <w:tblPr>
        <w:tblStyle w:val="Mriekatabuky"/>
        <w:tblW w:w="0" w:type="auto"/>
        <w:tblLook w:val="04A0" w:firstRow="1" w:lastRow="0" w:firstColumn="1" w:lastColumn="0" w:noHBand="0" w:noVBand="1"/>
      </w:tblPr>
      <w:tblGrid>
        <w:gridCol w:w="4698"/>
        <w:gridCol w:w="4698"/>
      </w:tblGrid>
      <w:tr w:rsidR="00821AFD" w:rsidRPr="001E47E5" w14:paraId="226D13E0" w14:textId="77777777" w:rsidTr="00821AFD">
        <w:tc>
          <w:tcPr>
            <w:tcW w:w="4698" w:type="dxa"/>
          </w:tcPr>
          <w:p w14:paraId="750CC40A" w14:textId="2DC2CB2B" w:rsidR="00821AFD" w:rsidRPr="001E47E5" w:rsidRDefault="00821AFD" w:rsidP="004D2403">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Počet hlásených </w:t>
            </w:r>
            <w:r w:rsidRPr="001E47E5">
              <w:rPr>
                <w:rFonts w:ascii="Times New Roman" w:hAnsi="Times New Roman" w:cs="Times New Roman"/>
                <w:sz w:val="24"/>
                <w:szCs w:val="24"/>
              </w:rPr>
              <w:t>kybernetických bezpečnostných incidentov v roku 2023 za PZS mimo verejnej správy</w:t>
            </w:r>
          </w:p>
        </w:tc>
        <w:tc>
          <w:tcPr>
            <w:tcW w:w="4698" w:type="dxa"/>
          </w:tcPr>
          <w:p w14:paraId="05C99BDD" w14:textId="5BEF917D" w:rsidR="00821AFD" w:rsidRPr="001E47E5" w:rsidRDefault="00821AFD" w:rsidP="004D2403">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478</w:t>
            </w:r>
          </w:p>
        </w:tc>
      </w:tr>
      <w:tr w:rsidR="00BD350F" w:rsidRPr="001E47E5" w14:paraId="737A0A4F" w14:textId="77777777" w:rsidTr="00DE024B">
        <w:tc>
          <w:tcPr>
            <w:tcW w:w="4698" w:type="dxa"/>
          </w:tcPr>
          <w:p w14:paraId="5F114F0B" w14:textId="77777777" w:rsidR="00BD350F" w:rsidRPr="001E47E5" w:rsidRDefault="00BD350F" w:rsidP="00DE024B">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Počet PZS mimo verejnej správy </w:t>
            </w:r>
          </w:p>
        </w:tc>
        <w:tc>
          <w:tcPr>
            <w:tcW w:w="4698" w:type="dxa"/>
          </w:tcPr>
          <w:p w14:paraId="361234A2" w14:textId="77777777" w:rsidR="00BD350F" w:rsidRPr="001E47E5" w:rsidRDefault="00BD350F" w:rsidP="00DE024B">
            <w:pPr>
              <w:jc w:val="both"/>
              <w:rPr>
                <w:rFonts w:ascii="Times New Roman" w:hAnsi="Times New Roman" w:cs="Times New Roman"/>
                <w:color w:val="000000"/>
                <w:sz w:val="24"/>
                <w:szCs w:val="24"/>
              </w:rPr>
            </w:pPr>
            <w:r w:rsidRPr="001E47E5">
              <w:rPr>
                <w:rFonts w:ascii="Times New Roman" w:hAnsi="Times New Roman" w:cs="Times New Roman"/>
                <w:color w:val="000000"/>
                <w:sz w:val="24"/>
                <w:szCs w:val="24"/>
              </w:rPr>
              <w:t>209</w:t>
            </w:r>
          </w:p>
        </w:tc>
      </w:tr>
      <w:tr w:rsidR="00BD350F" w:rsidRPr="001E47E5" w14:paraId="02FC30CE" w14:textId="77777777" w:rsidTr="00DE024B">
        <w:tc>
          <w:tcPr>
            <w:tcW w:w="4698" w:type="dxa"/>
          </w:tcPr>
          <w:p w14:paraId="3F88C552" w14:textId="55A9A789" w:rsidR="00BD350F" w:rsidRPr="001E47E5" w:rsidRDefault="00BD350F" w:rsidP="00DE024B">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Počet incidentov na 1 PZS </w:t>
            </w:r>
            <w:r w:rsidR="004C4FF0" w:rsidRPr="001E47E5">
              <w:rPr>
                <w:rFonts w:ascii="Times New Roman" w:eastAsia="Calibri" w:hAnsi="Times New Roman" w:cs="Times New Roman"/>
                <w:bCs/>
                <w:color w:val="000000"/>
                <w:sz w:val="24"/>
                <w:szCs w:val="24"/>
              </w:rPr>
              <w:t>mimo verejnej správy</w:t>
            </w:r>
          </w:p>
        </w:tc>
        <w:tc>
          <w:tcPr>
            <w:tcW w:w="4698" w:type="dxa"/>
          </w:tcPr>
          <w:p w14:paraId="7D06A531" w14:textId="77777777" w:rsidR="00BD350F" w:rsidRPr="001E47E5" w:rsidRDefault="00BD350F" w:rsidP="00DE024B">
            <w:pPr>
              <w:jc w:val="both"/>
              <w:rPr>
                <w:rFonts w:ascii="Times New Roman" w:hAnsi="Times New Roman" w:cs="Times New Roman"/>
                <w:color w:val="000000"/>
                <w:sz w:val="24"/>
                <w:szCs w:val="24"/>
              </w:rPr>
            </w:pPr>
            <w:r w:rsidRPr="001E47E5">
              <w:rPr>
                <w:rFonts w:ascii="Times New Roman" w:hAnsi="Times New Roman" w:cs="Times New Roman"/>
                <w:color w:val="000000"/>
                <w:sz w:val="24"/>
                <w:szCs w:val="24"/>
              </w:rPr>
              <w:t>2,3</w:t>
            </w:r>
          </w:p>
        </w:tc>
      </w:tr>
      <w:tr w:rsidR="00821AFD" w:rsidRPr="001E47E5" w14:paraId="315A5489" w14:textId="77777777" w:rsidTr="00821AFD">
        <w:tc>
          <w:tcPr>
            <w:tcW w:w="4698" w:type="dxa"/>
          </w:tcPr>
          <w:p w14:paraId="4DA040C1" w14:textId="0C013B64" w:rsidR="00821AFD" w:rsidRPr="001E47E5" w:rsidRDefault="00BD350F" w:rsidP="004D2403">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Odhadovaný počet nových hlásení </w:t>
            </w:r>
          </w:p>
        </w:tc>
        <w:tc>
          <w:tcPr>
            <w:tcW w:w="4698" w:type="dxa"/>
          </w:tcPr>
          <w:p w14:paraId="58A98B2A" w14:textId="77777777" w:rsidR="00704B55" w:rsidRPr="001E47E5" w:rsidRDefault="00704B55" w:rsidP="004D2403">
            <w:pPr>
              <w:jc w:val="both"/>
              <w:rPr>
                <w:rFonts w:ascii="Times New Roman" w:hAnsi="Times New Roman" w:cs="Times New Roman"/>
                <w:color w:val="000000"/>
                <w:sz w:val="24"/>
                <w:szCs w:val="24"/>
              </w:rPr>
            </w:pPr>
            <w:r w:rsidRPr="001E47E5">
              <w:rPr>
                <w:rFonts w:ascii="Times New Roman" w:hAnsi="Times New Roman" w:cs="Times New Roman"/>
                <w:color w:val="000000"/>
                <w:sz w:val="24"/>
                <w:szCs w:val="24"/>
              </w:rPr>
              <w:t xml:space="preserve">7346,2 </w:t>
            </w:r>
          </w:p>
          <w:p w14:paraId="3C27B3B5" w14:textId="0595A362" w:rsidR="00821AFD" w:rsidRPr="001E47E5" w:rsidRDefault="00BD350F" w:rsidP="004D2403">
            <w:pPr>
              <w:jc w:val="both"/>
              <w:rPr>
                <w:rFonts w:ascii="Times New Roman" w:hAnsi="Times New Roman" w:cs="Times New Roman"/>
                <w:color w:val="000000"/>
                <w:sz w:val="24"/>
                <w:szCs w:val="24"/>
              </w:rPr>
            </w:pPr>
            <w:r w:rsidRPr="001E47E5">
              <w:rPr>
                <w:rFonts w:ascii="Times New Roman" w:hAnsi="Times New Roman" w:cs="Times New Roman"/>
                <w:color w:val="000000"/>
                <w:sz w:val="24"/>
                <w:szCs w:val="24"/>
              </w:rPr>
              <w:t>((Počet malých a stredných podnikov – počet súčasných PZS mimo VS)*Priemerný počet hlásení na 1 podnikateľský subjekt)</w:t>
            </w:r>
          </w:p>
          <w:p w14:paraId="17E117CA" w14:textId="52603F58" w:rsidR="00BD350F" w:rsidRPr="001E47E5" w:rsidRDefault="00BD350F" w:rsidP="00BD350F">
            <w:pPr>
              <w:rPr>
                <w:rFonts w:ascii="Times New Roman" w:hAnsi="Times New Roman" w:cs="Times New Roman"/>
                <w:color w:val="000000"/>
                <w:sz w:val="24"/>
                <w:szCs w:val="24"/>
              </w:rPr>
            </w:pPr>
            <w:r w:rsidRPr="001E47E5">
              <w:rPr>
                <w:rFonts w:ascii="Times New Roman" w:hAnsi="Times New Roman" w:cs="Times New Roman"/>
                <w:color w:val="000000"/>
                <w:sz w:val="24"/>
                <w:szCs w:val="24"/>
              </w:rPr>
              <w:t>((3 403-209) *2,3)</w:t>
            </w:r>
          </w:p>
        </w:tc>
      </w:tr>
    </w:tbl>
    <w:p w14:paraId="2F5ED1C0" w14:textId="1E949B23" w:rsidR="00821AFD" w:rsidRPr="001E47E5" w:rsidRDefault="009F539F" w:rsidP="004D2403">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Zdroj: </w:t>
      </w:r>
      <w:hyperlink r:id="rId14" w:history="1">
        <w:r w:rsidRPr="001E47E5">
          <w:rPr>
            <w:rStyle w:val="Hypertextovprepojenie"/>
            <w:rFonts w:ascii="Times New Roman" w:hAnsi="Times New Roman" w:cs="Times New Roman"/>
            <w:sz w:val="24"/>
            <w:szCs w:val="24"/>
          </w:rPr>
          <w:t>https://www.nbu.gov.sk/data/att/2781.pdf</w:t>
        </w:r>
      </w:hyperlink>
      <w:r w:rsidRPr="001E47E5">
        <w:rPr>
          <w:rFonts w:ascii="Times New Roman" w:hAnsi="Times New Roman" w:cs="Times New Roman"/>
          <w:sz w:val="24"/>
          <w:szCs w:val="24"/>
        </w:rPr>
        <w:t xml:space="preserve">, </w:t>
      </w:r>
      <w:hyperlink r:id="rId15" w:history="1">
        <w:r w:rsidR="006E3BCF" w:rsidRPr="001E47E5">
          <w:rPr>
            <w:rStyle w:val="Hypertextovprepojenie"/>
            <w:rFonts w:ascii="Times New Roman" w:hAnsi="Times New Roman" w:cs="Times New Roman"/>
            <w:sz w:val="24"/>
            <w:szCs w:val="24"/>
          </w:rPr>
          <w:t>https://www.nbu.gov.sk/data/att/2758.pdf</w:t>
        </w:r>
      </w:hyperlink>
      <w:r w:rsidR="006E3BCF" w:rsidRPr="001E47E5">
        <w:rPr>
          <w:rFonts w:ascii="Times New Roman" w:hAnsi="Times New Roman" w:cs="Times New Roman"/>
          <w:sz w:val="24"/>
          <w:szCs w:val="24"/>
        </w:rPr>
        <w:t xml:space="preserve"> </w:t>
      </w:r>
    </w:p>
    <w:p w14:paraId="1B749141" w14:textId="77777777" w:rsidR="006E3BCF" w:rsidRPr="001E47E5" w:rsidRDefault="006E3BCF" w:rsidP="001F2E4A">
      <w:pPr>
        <w:spacing w:after="0"/>
        <w:jc w:val="both"/>
        <w:rPr>
          <w:rFonts w:ascii="Times New Roman" w:eastAsia="Calibri" w:hAnsi="Times New Roman" w:cs="Times New Roman"/>
          <w:b/>
          <w:color w:val="000000"/>
          <w:sz w:val="24"/>
          <w:szCs w:val="24"/>
        </w:rPr>
      </w:pPr>
    </w:p>
    <w:p w14:paraId="5AC4E964" w14:textId="29FB6794" w:rsidR="004D2403" w:rsidRPr="001E47E5" w:rsidRDefault="000A1753" w:rsidP="000A1753">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w:t>
      </w:r>
      <w:r w:rsidR="006E3BCF" w:rsidRPr="001E47E5">
        <w:rPr>
          <w:rFonts w:ascii="Times New Roman" w:eastAsia="Calibri" w:hAnsi="Times New Roman" w:cs="Times New Roman"/>
          <w:b/>
          <w:color w:val="000000"/>
          <w:sz w:val="24"/>
          <w:szCs w:val="24"/>
        </w:rPr>
        <w:t>5</w:t>
      </w:r>
      <w:r w:rsidRPr="001E47E5">
        <w:rPr>
          <w:rFonts w:ascii="Times New Roman" w:eastAsia="Calibri" w:hAnsi="Times New Roman" w:cs="Times New Roman"/>
          <w:b/>
          <w:color w:val="000000"/>
          <w:sz w:val="24"/>
          <w:szCs w:val="24"/>
        </w:rPr>
        <w:t xml:space="preserve">. </w:t>
      </w:r>
      <w:r w:rsidR="004D2403" w:rsidRPr="001E47E5">
        <w:rPr>
          <w:rFonts w:ascii="Times New Roman" w:eastAsia="Calibri" w:hAnsi="Times New Roman" w:cs="Times New Roman"/>
          <w:b/>
          <w:color w:val="000000"/>
          <w:sz w:val="24"/>
          <w:szCs w:val="24"/>
        </w:rPr>
        <w:t xml:space="preserve">Zavedenie povinnosti auditu kybernetickej bezpečnosti pre nové subjekty v súlade so smernicou </w:t>
      </w:r>
      <w:r w:rsidR="009544BD">
        <w:rPr>
          <w:rFonts w:ascii="Times New Roman" w:eastAsia="Calibri" w:hAnsi="Times New Roman" w:cs="Times New Roman"/>
          <w:b/>
          <w:color w:val="000000"/>
          <w:sz w:val="24"/>
          <w:szCs w:val="24"/>
        </w:rPr>
        <w:t>NIS 2</w:t>
      </w:r>
    </w:p>
    <w:p w14:paraId="57C424A1" w14:textId="77777777" w:rsidR="000A1753" w:rsidRPr="001E47E5" w:rsidRDefault="00F86789" w:rsidP="007F019C">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Nové subjekty, pre ktoré sa zavádzajú povinnosti prevádzkovateľa základnej služby budú musieť absolvovať audit kybernetickej bezpečnosti. Náročnosť a cenu </w:t>
      </w:r>
      <w:r w:rsidR="00DC2165" w:rsidRPr="001E47E5">
        <w:rPr>
          <w:rFonts w:ascii="Times New Roman" w:eastAsia="Calibri" w:hAnsi="Times New Roman" w:cs="Times New Roman"/>
          <w:bCs/>
          <w:color w:val="000000"/>
          <w:sz w:val="24"/>
          <w:szCs w:val="24"/>
        </w:rPr>
        <w:t xml:space="preserve">vykonania auditu kybernetickej bezpečnosti </w:t>
      </w:r>
      <w:r w:rsidR="000A1753" w:rsidRPr="001E47E5">
        <w:rPr>
          <w:rFonts w:ascii="Times New Roman" w:eastAsia="Calibri" w:hAnsi="Times New Roman" w:cs="Times New Roman"/>
          <w:bCs/>
          <w:color w:val="000000"/>
          <w:sz w:val="24"/>
          <w:szCs w:val="24"/>
        </w:rPr>
        <w:t>definuje nasledujúca tabuľka:</w:t>
      </w:r>
    </w:p>
    <w:tbl>
      <w:tblPr>
        <w:tblStyle w:val="Mriekatabuky"/>
        <w:tblW w:w="9467" w:type="dxa"/>
        <w:tblLook w:val="04A0" w:firstRow="1" w:lastRow="0" w:firstColumn="1" w:lastColumn="0" w:noHBand="0" w:noVBand="1"/>
      </w:tblPr>
      <w:tblGrid>
        <w:gridCol w:w="2352"/>
        <w:gridCol w:w="2038"/>
        <w:gridCol w:w="2268"/>
        <w:gridCol w:w="2809"/>
      </w:tblGrid>
      <w:tr w:rsidR="005401B1" w:rsidRPr="001E47E5" w14:paraId="3E483FB6" w14:textId="77777777" w:rsidTr="005401B1">
        <w:tc>
          <w:tcPr>
            <w:tcW w:w="2352" w:type="dxa"/>
            <w:shd w:val="clear" w:color="auto" w:fill="D9D9D9" w:themeFill="background1" w:themeFillShade="D9"/>
          </w:tcPr>
          <w:p w14:paraId="7F5EE54E" w14:textId="77777777" w:rsidR="000A1753" w:rsidRPr="001E47E5" w:rsidRDefault="000A1753" w:rsidP="000A1753">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Dotknutý subjekt</w:t>
            </w:r>
          </w:p>
        </w:tc>
        <w:tc>
          <w:tcPr>
            <w:tcW w:w="2038" w:type="dxa"/>
            <w:shd w:val="clear" w:color="auto" w:fill="D9D9D9" w:themeFill="background1" w:themeFillShade="D9"/>
          </w:tcPr>
          <w:p w14:paraId="10ACCC35" w14:textId="2B7E161E" w:rsidR="000A1753" w:rsidRPr="001E47E5" w:rsidRDefault="000A1753" w:rsidP="000A1753">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Počet človekodní</w:t>
            </w:r>
          </w:p>
        </w:tc>
        <w:tc>
          <w:tcPr>
            <w:tcW w:w="2268" w:type="dxa"/>
            <w:shd w:val="clear" w:color="auto" w:fill="D9D9D9" w:themeFill="background1" w:themeFillShade="D9"/>
          </w:tcPr>
          <w:p w14:paraId="768FCD61" w14:textId="10FD8207" w:rsidR="000A1753" w:rsidRPr="001E47E5" w:rsidRDefault="000A1753" w:rsidP="000A1753">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Cena za človekodeň</w:t>
            </w:r>
          </w:p>
        </w:tc>
        <w:tc>
          <w:tcPr>
            <w:tcW w:w="2809" w:type="dxa"/>
            <w:shd w:val="clear" w:color="auto" w:fill="D9D9D9" w:themeFill="background1" w:themeFillShade="D9"/>
          </w:tcPr>
          <w:p w14:paraId="05C6FF99" w14:textId="2BBB71BE" w:rsidR="000A1753" w:rsidRPr="001E47E5" w:rsidRDefault="000A1753" w:rsidP="000A1753">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Cena celkom</w:t>
            </w:r>
          </w:p>
        </w:tc>
      </w:tr>
      <w:tr w:rsidR="000A1753" w:rsidRPr="001E47E5" w14:paraId="7DA7FC69" w14:textId="77777777" w:rsidTr="000A1753">
        <w:tc>
          <w:tcPr>
            <w:tcW w:w="2352" w:type="dxa"/>
          </w:tcPr>
          <w:p w14:paraId="74C10C9E" w14:textId="77777777" w:rsidR="000A1753" w:rsidRPr="001E47E5" w:rsidRDefault="000A1753" w:rsidP="000A1753">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Stredné podniky</w:t>
            </w:r>
          </w:p>
        </w:tc>
        <w:tc>
          <w:tcPr>
            <w:tcW w:w="2038" w:type="dxa"/>
          </w:tcPr>
          <w:p w14:paraId="6392D1B6" w14:textId="45AAF806" w:rsidR="000A1753" w:rsidRPr="001E47E5" w:rsidRDefault="000A1753" w:rsidP="000A1753">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20</w:t>
            </w:r>
          </w:p>
        </w:tc>
        <w:tc>
          <w:tcPr>
            <w:tcW w:w="2268" w:type="dxa"/>
          </w:tcPr>
          <w:p w14:paraId="2D0E11FF" w14:textId="673AF7F7" w:rsidR="000A1753" w:rsidRPr="001E47E5" w:rsidRDefault="000A1753" w:rsidP="000A1753">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700</w:t>
            </w:r>
          </w:p>
        </w:tc>
        <w:tc>
          <w:tcPr>
            <w:tcW w:w="2809" w:type="dxa"/>
          </w:tcPr>
          <w:p w14:paraId="0FD51C36" w14:textId="541511AA" w:rsidR="000A1753" w:rsidRPr="001E47E5" w:rsidRDefault="000A1753" w:rsidP="000A1753">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14 000</w:t>
            </w:r>
          </w:p>
        </w:tc>
      </w:tr>
      <w:tr w:rsidR="000A1753" w:rsidRPr="001E47E5" w14:paraId="3EC1D662" w14:textId="77777777" w:rsidTr="000A1753">
        <w:tc>
          <w:tcPr>
            <w:tcW w:w="2352" w:type="dxa"/>
          </w:tcPr>
          <w:p w14:paraId="308B3C36" w14:textId="77777777" w:rsidR="000A1753" w:rsidRPr="001E47E5" w:rsidRDefault="000A1753" w:rsidP="000A1753">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Veľké podniky</w:t>
            </w:r>
          </w:p>
        </w:tc>
        <w:tc>
          <w:tcPr>
            <w:tcW w:w="2038" w:type="dxa"/>
          </w:tcPr>
          <w:p w14:paraId="71E5E2A9" w14:textId="76993102" w:rsidR="000A1753" w:rsidRPr="001E47E5" w:rsidRDefault="000A1753" w:rsidP="000A1753">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50</w:t>
            </w:r>
          </w:p>
        </w:tc>
        <w:tc>
          <w:tcPr>
            <w:tcW w:w="2268" w:type="dxa"/>
          </w:tcPr>
          <w:p w14:paraId="6891A507" w14:textId="7796B305" w:rsidR="000A1753" w:rsidRPr="001E47E5" w:rsidRDefault="000A1753" w:rsidP="000A1753">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700</w:t>
            </w:r>
          </w:p>
        </w:tc>
        <w:tc>
          <w:tcPr>
            <w:tcW w:w="2809" w:type="dxa"/>
          </w:tcPr>
          <w:p w14:paraId="3674ED56" w14:textId="2D01E37B" w:rsidR="000A1753" w:rsidRPr="001E47E5" w:rsidRDefault="000A1753" w:rsidP="000A1753">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35 000</w:t>
            </w:r>
          </w:p>
        </w:tc>
      </w:tr>
    </w:tbl>
    <w:p w14:paraId="58ACFC7B" w14:textId="5837962F" w:rsidR="000A1753" w:rsidRPr="001E47E5" w:rsidRDefault="000A1753" w:rsidP="007F019C">
      <w:pPr>
        <w:jc w:val="both"/>
        <w:rPr>
          <w:rFonts w:ascii="Times New Roman" w:eastAsia="Calibri" w:hAnsi="Times New Roman" w:cs="Times New Roman"/>
          <w:bCs/>
          <w:color w:val="000000"/>
          <w:sz w:val="24"/>
          <w:szCs w:val="24"/>
        </w:rPr>
      </w:pPr>
      <w:r w:rsidRPr="001E47E5">
        <w:rPr>
          <w:rFonts w:ascii="Times New Roman" w:hAnsi="Times New Roman" w:cs="Times New Roman"/>
          <w:bCs/>
          <w:iCs/>
          <w:noProof/>
          <w:sz w:val="24"/>
          <w:szCs w:val="24"/>
        </w:rPr>
        <w:t xml:space="preserve">Zdroj: Počet človekodní vychádza z expertného odhadu </w:t>
      </w:r>
      <w:r w:rsidR="00420C40">
        <w:rPr>
          <w:rFonts w:ascii="Times New Roman" w:hAnsi="Times New Roman" w:cs="Times New Roman"/>
          <w:bCs/>
          <w:iCs/>
          <w:noProof/>
          <w:sz w:val="24"/>
          <w:szCs w:val="24"/>
        </w:rPr>
        <w:t>k</w:t>
      </w:r>
      <w:r w:rsidRPr="001E47E5">
        <w:rPr>
          <w:rFonts w:ascii="Times New Roman" w:hAnsi="Times New Roman" w:cs="Times New Roman"/>
          <w:bCs/>
          <w:iCs/>
          <w:noProof/>
          <w:sz w:val="24"/>
          <w:szCs w:val="24"/>
        </w:rPr>
        <w:t xml:space="preserve">ompetenčného </w:t>
      </w:r>
      <w:r w:rsidR="00420C40">
        <w:rPr>
          <w:rFonts w:ascii="Times New Roman" w:hAnsi="Times New Roman" w:cs="Times New Roman"/>
          <w:bCs/>
          <w:iCs/>
          <w:noProof/>
          <w:sz w:val="24"/>
          <w:szCs w:val="24"/>
        </w:rPr>
        <w:t>centra</w:t>
      </w:r>
      <w:r w:rsidR="003A678E" w:rsidRPr="001E47E5">
        <w:rPr>
          <w:rFonts w:ascii="Times New Roman" w:hAnsi="Times New Roman" w:cs="Times New Roman"/>
          <w:bCs/>
          <w:iCs/>
          <w:noProof/>
          <w:sz w:val="24"/>
          <w:szCs w:val="24"/>
        </w:rPr>
        <w:t xml:space="preserve">, cena vychádza z cenníku </w:t>
      </w:r>
      <w:r w:rsidR="00420C40">
        <w:rPr>
          <w:rFonts w:ascii="Times New Roman" w:hAnsi="Times New Roman" w:cs="Times New Roman"/>
          <w:bCs/>
          <w:iCs/>
          <w:noProof/>
          <w:sz w:val="24"/>
          <w:szCs w:val="24"/>
        </w:rPr>
        <w:t>kompetenčného centra</w:t>
      </w:r>
      <w:r w:rsidRPr="001E47E5">
        <w:rPr>
          <w:rFonts w:ascii="Times New Roman" w:hAnsi="Times New Roman" w:cs="Times New Roman"/>
          <w:bCs/>
          <w:iCs/>
          <w:noProof/>
          <w:sz w:val="24"/>
          <w:szCs w:val="24"/>
        </w:rPr>
        <w:t xml:space="preserve"> </w:t>
      </w:r>
      <w:hyperlink r:id="rId16" w:history="1">
        <w:r w:rsidR="003A678E" w:rsidRPr="001E47E5">
          <w:rPr>
            <w:rStyle w:val="Hypertextovprepojenie"/>
            <w:rFonts w:ascii="Times New Roman" w:hAnsi="Times New Roman" w:cs="Times New Roman"/>
            <w:bCs/>
            <w:iCs/>
            <w:noProof/>
            <w:sz w:val="24"/>
            <w:szCs w:val="24"/>
          </w:rPr>
          <w:t>https://cybercompetence.sk/wp-content/uploads/dokumenty/ine/KCCKB-Cennik.pdf</w:t>
        </w:r>
      </w:hyperlink>
      <w:r w:rsidR="003A678E" w:rsidRPr="001E47E5">
        <w:rPr>
          <w:rFonts w:ascii="Times New Roman" w:hAnsi="Times New Roman" w:cs="Times New Roman"/>
          <w:bCs/>
          <w:iCs/>
          <w:noProof/>
          <w:sz w:val="24"/>
          <w:szCs w:val="24"/>
        </w:rPr>
        <w:t xml:space="preserve"> </w:t>
      </w:r>
    </w:p>
    <w:p w14:paraId="703C05DB" w14:textId="4FA7CE9B" w:rsidR="003A678E" w:rsidRPr="001E47E5" w:rsidRDefault="003A678E" w:rsidP="007F019C">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Pri výpočte vplyvu tejto povinnosti je potrebné zohľadniť § 29 ods</w:t>
      </w:r>
      <w:r w:rsidR="007F019C">
        <w:rPr>
          <w:rFonts w:ascii="Times New Roman" w:eastAsia="Calibri" w:hAnsi="Times New Roman" w:cs="Times New Roman"/>
          <w:bCs/>
          <w:color w:val="000000"/>
          <w:sz w:val="24"/>
          <w:szCs w:val="24"/>
        </w:rPr>
        <w:t>.</w:t>
      </w:r>
      <w:r w:rsidRPr="001E47E5">
        <w:rPr>
          <w:rFonts w:ascii="Times New Roman" w:eastAsia="Calibri" w:hAnsi="Times New Roman" w:cs="Times New Roman"/>
          <w:bCs/>
          <w:color w:val="000000"/>
          <w:sz w:val="24"/>
          <w:szCs w:val="24"/>
        </w:rPr>
        <w:t xml:space="preserve"> 8 navrhovaného znenia zákona</w:t>
      </w:r>
      <w:r w:rsidR="007F019C">
        <w:rPr>
          <w:rFonts w:ascii="Times New Roman" w:eastAsia="Calibri" w:hAnsi="Times New Roman" w:cs="Times New Roman"/>
          <w:bCs/>
          <w:color w:val="000000"/>
          <w:sz w:val="24"/>
          <w:szCs w:val="24"/>
        </w:rPr>
        <w:t>,</w:t>
      </w:r>
      <w:r w:rsidRPr="001E47E5">
        <w:rPr>
          <w:rFonts w:ascii="Times New Roman" w:eastAsia="Calibri" w:hAnsi="Times New Roman" w:cs="Times New Roman"/>
          <w:bCs/>
          <w:color w:val="000000"/>
          <w:sz w:val="24"/>
          <w:szCs w:val="24"/>
        </w:rPr>
        <w:t xml:space="preserve"> ktorý znie.</w:t>
      </w:r>
    </w:p>
    <w:p w14:paraId="3B6CF2AA" w14:textId="651A63A1" w:rsidR="00C14281" w:rsidRPr="001E47E5" w:rsidRDefault="003A678E" w:rsidP="003A678E">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„(8) Prevádzkovateľ základnej služby, ktorý nie je prevádzkovateľom kritickej základnej služby, môže v periodicite určenej osobitným predpisom zabezpečiť plnenie povinnosti vykonať audit kybernetickej bezpečnosti vykonaním preverenia účinnosti prijatých bezpečnostných opatrení a</w:t>
      </w:r>
      <w:r w:rsidR="003F1508">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plnenia požiadaviek ustanovených týmto zákonom funkcionalitou jednotného informačného systému kybernetickej bezpečnosti. Preverenie účinnosti podľa predchádzajúcej vety vykonáva manažér kybernetickej bezpečnosti. Takýto prevádzkovateľ základnej služby je povinný podrobiť sa auditu kybernetickej bezpečnosti do šiestich rokov odo dňa zaradenia do registra prevádzkovateľov základnej služby a následne podľa periodicity určenej osobitným predpisom. V</w:t>
      </w:r>
      <w:r w:rsidR="003F1508">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 xml:space="preserve">čase povinnosti vykonať audit kybernetickej bezpečnosti sa preverenie účinnosti prijatých </w:t>
      </w:r>
      <w:r w:rsidRPr="001E47E5">
        <w:rPr>
          <w:rFonts w:ascii="Times New Roman" w:eastAsia="Calibri" w:hAnsi="Times New Roman" w:cs="Times New Roman"/>
          <w:bCs/>
          <w:color w:val="000000"/>
          <w:sz w:val="24"/>
          <w:szCs w:val="24"/>
        </w:rPr>
        <w:lastRenderedPageBreak/>
        <w:t>bezpečnostných opatrení a plnenie požiadaviek ustanovených týmto zákonom funkcionalitou jednotného informačného systému kybernetickej bezpečnosti nevykonáva.“.</w:t>
      </w:r>
    </w:p>
    <w:p w14:paraId="6E7D51BA" w14:textId="5FF036AB" w:rsidR="003A678E" w:rsidRPr="001E47E5" w:rsidRDefault="00F47D02" w:rsidP="003A678E">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Vzhľadom na uvedené ustanovenie a vzhľadom na skutočnosť, že stredné a veľké podniky vykonávajú audit kybernetickej bezpečnosti (alebo iný spôsob analýzy zraniteľnosti voči kybernetickým incidentom) je možné predpokladať, že veľká časť nových PZS využije možnosť vykonať preverenie účinnosti prijatých bezpečnostných opatrení a plnenia požiadaviek ustanovených zákonom funkcionalitou jednotného informačného systému kybernetickej bezpečnosti. Expertným odhadom bol</w:t>
      </w:r>
      <w:r w:rsidR="005401B1" w:rsidRPr="001E47E5">
        <w:rPr>
          <w:rFonts w:ascii="Times New Roman" w:eastAsia="Calibri" w:hAnsi="Times New Roman" w:cs="Times New Roman"/>
          <w:bCs/>
          <w:color w:val="000000"/>
          <w:sz w:val="24"/>
          <w:szCs w:val="24"/>
        </w:rPr>
        <w:t>o stanovené rozdelenie nových subjektov nasledovne:</w:t>
      </w:r>
    </w:p>
    <w:tbl>
      <w:tblPr>
        <w:tblStyle w:val="Mriekatabuky"/>
        <w:tblW w:w="9396" w:type="dxa"/>
        <w:tblLook w:val="04A0" w:firstRow="1" w:lastRow="0" w:firstColumn="1" w:lastColumn="0" w:noHBand="0" w:noVBand="1"/>
      </w:tblPr>
      <w:tblGrid>
        <w:gridCol w:w="1713"/>
        <w:gridCol w:w="1684"/>
        <w:gridCol w:w="1418"/>
        <w:gridCol w:w="1843"/>
        <w:gridCol w:w="1419"/>
        <w:gridCol w:w="1319"/>
      </w:tblGrid>
      <w:tr w:rsidR="005401B1" w:rsidRPr="001E47E5" w14:paraId="6D2D3961" w14:textId="468D3443" w:rsidTr="005401B1">
        <w:tc>
          <w:tcPr>
            <w:tcW w:w="1713" w:type="dxa"/>
            <w:vMerge w:val="restart"/>
            <w:shd w:val="clear" w:color="auto" w:fill="D9D9D9" w:themeFill="background1" w:themeFillShade="D9"/>
          </w:tcPr>
          <w:p w14:paraId="779E44B8" w14:textId="591ED76E" w:rsidR="005401B1" w:rsidRPr="001E47E5" w:rsidRDefault="005401B1" w:rsidP="00DE024B">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Dotknutý subjekt</w:t>
            </w:r>
          </w:p>
        </w:tc>
        <w:tc>
          <w:tcPr>
            <w:tcW w:w="6364" w:type="dxa"/>
            <w:gridSpan w:val="4"/>
            <w:shd w:val="clear" w:color="auto" w:fill="D9D9D9" w:themeFill="background1" w:themeFillShade="D9"/>
          </w:tcPr>
          <w:p w14:paraId="67135EEB" w14:textId="63FC8DB8" w:rsidR="005401B1" w:rsidRPr="001E47E5" w:rsidRDefault="005401B1" w:rsidP="00DE024B">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Z toho</w:t>
            </w:r>
          </w:p>
        </w:tc>
        <w:tc>
          <w:tcPr>
            <w:tcW w:w="1319" w:type="dxa"/>
            <w:vMerge w:val="restart"/>
            <w:shd w:val="clear" w:color="auto" w:fill="D9D9D9" w:themeFill="background1" w:themeFillShade="D9"/>
          </w:tcPr>
          <w:p w14:paraId="321AC482" w14:textId="5EADD0DF" w:rsidR="005401B1" w:rsidRPr="001E47E5" w:rsidRDefault="005401B1" w:rsidP="00DE024B">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Celkom</w:t>
            </w:r>
          </w:p>
        </w:tc>
      </w:tr>
      <w:tr w:rsidR="005401B1" w:rsidRPr="001E47E5" w14:paraId="2772EBA3" w14:textId="47F184B8" w:rsidTr="005401B1">
        <w:tc>
          <w:tcPr>
            <w:tcW w:w="1713" w:type="dxa"/>
            <w:vMerge/>
            <w:shd w:val="clear" w:color="auto" w:fill="D9D9D9" w:themeFill="background1" w:themeFillShade="D9"/>
          </w:tcPr>
          <w:p w14:paraId="6BFF9C20" w14:textId="04291EC1" w:rsidR="005401B1" w:rsidRPr="001E47E5" w:rsidRDefault="005401B1" w:rsidP="00DE024B">
            <w:pPr>
              <w:jc w:val="both"/>
              <w:rPr>
                <w:rFonts w:ascii="Times New Roman" w:hAnsi="Times New Roman" w:cs="Times New Roman"/>
                <w:b/>
                <w:iCs/>
                <w:noProof/>
                <w:sz w:val="24"/>
                <w:szCs w:val="24"/>
              </w:rPr>
            </w:pPr>
          </w:p>
        </w:tc>
        <w:tc>
          <w:tcPr>
            <w:tcW w:w="3102" w:type="dxa"/>
            <w:gridSpan w:val="2"/>
            <w:shd w:val="clear" w:color="auto" w:fill="D9D9D9" w:themeFill="background1" w:themeFillShade="D9"/>
          </w:tcPr>
          <w:p w14:paraId="48156071" w14:textId="2AC102FE" w:rsidR="005401B1" w:rsidRPr="001E47E5" w:rsidRDefault="005401B1" w:rsidP="005401B1">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Vykonajú audit KB</w:t>
            </w:r>
          </w:p>
        </w:tc>
        <w:tc>
          <w:tcPr>
            <w:tcW w:w="3262" w:type="dxa"/>
            <w:gridSpan w:val="2"/>
            <w:shd w:val="clear" w:color="auto" w:fill="D9D9D9" w:themeFill="background1" w:themeFillShade="D9"/>
          </w:tcPr>
          <w:p w14:paraId="5FBB171F" w14:textId="5FB57347" w:rsidR="005401B1" w:rsidRPr="001E47E5" w:rsidRDefault="005401B1" w:rsidP="005401B1">
            <w:pPr>
              <w:jc w:val="both"/>
              <w:rPr>
                <w:rFonts w:ascii="Times New Roman" w:hAnsi="Times New Roman" w:cs="Times New Roman"/>
                <w:b/>
                <w:iCs/>
                <w:noProof/>
                <w:sz w:val="24"/>
                <w:szCs w:val="24"/>
              </w:rPr>
            </w:pPr>
            <w:r w:rsidRPr="001E47E5">
              <w:rPr>
                <w:rFonts w:ascii="Times New Roman" w:eastAsia="Calibri" w:hAnsi="Times New Roman" w:cs="Times New Roman"/>
                <w:b/>
                <w:color w:val="000000"/>
                <w:sz w:val="24"/>
                <w:szCs w:val="24"/>
              </w:rPr>
              <w:t>Využijú funkcionalitu JISKB</w:t>
            </w:r>
          </w:p>
        </w:tc>
        <w:tc>
          <w:tcPr>
            <w:tcW w:w="1319" w:type="dxa"/>
            <w:vMerge/>
            <w:shd w:val="clear" w:color="auto" w:fill="D9D9D9" w:themeFill="background1" w:themeFillShade="D9"/>
          </w:tcPr>
          <w:p w14:paraId="177D6A5A" w14:textId="77777777" w:rsidR="005401B1" w:rsidRPr="001E47E5" w:rsidRDefault="005401B1" w:rsidP="005401B1">
            <w:pPr>
              <w:jc w:val="both"/>
              <w:rPr>
                <w:rFonts w:ascii="Times New Roman" w:eastAsia="Calibri" w:hAnsi="Times New Roman" w:cs="Times New Roman"/>
                <w:b/>
                <w:color w:val="000000"/>
                <w:sz w:val="24"/>
                <w:szCs w:val="24"/>
              </w:rPr>
            </w:pPr>
          </w:p>
        </w:tc>
      </w:tr>
      <w:tr w:rsidR="005401B1" w:rsidRPr="001E47E5" w14:paraId="122301B9" w14:textId="4165BA90" w:rsidTr="005401B1">
        <w:tc>
          <w:tcPr>
            <w:tcW w:w="1713" w:type="dxa"/>
            <w:vMerge/>
            <w:shd w:val="clear" w:color="auto" w:fill="D9D9D9" w:themeFill="background1" w:themeFillShade="D9"/>
          </w:tcPr>
          <w:p w14:paraId="13E78B25" w14:textId="30622016" w:rsidR="005401B1" w:rsidRPr="001E47E5" w:rsidRDefault="005401B1" w:rsidP="005401B1">
            <w:pPr>
              <w:jc w:val="both"/>
              <w:rPr>
                <w:rFonts w:ascii="Times New Roman" w:hAnsi="Times New Roman" w:cs="Times New Roman"/>
                <w:bCs/>
                <w:iCs/>
                <w:noProof/>
                <w:sz w:val="24"/>
                <w:szCs w:val="24"/>
              </w:rPr>
            </w:pPr>
          </w:p>
        </w:tc>
        <w:tc>
          <w:tcPr>
            <w:tcW w:w="1684" w:type="dxa"/>
            <w:shd w:val="clear" w:color="auto" w:fill="D9D9D9" w:themeFill="background1" w:themeFillShade="D9"/>
          </w:tcPr>
          <w:p w14:paraId="34D1CCFB" w14:textId="7482AE5B" w:rsidR="005401B1" w:rsidRPr="001E47E5" w:rsidRDefault="005401B1" w:rsidP="005401B1">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Abs.</w:t>
            </w:r>
          </w:p>
        </w:tc>
        <w:tc>
          <w:tcPr>
            <w:tcW w:w="1418" w:type="dxa"/>
            <w:shd w:val="clear" w:color="auto" w:fill="D9D9D9" w:themeFill="background1" w:themeFillShade="D9"/>
          </w:tcPr>
          <w:p w14:paraId="6FB1780C" w14:textId="2E8DF685" w:rsidR="005401B1" w:rsidRPr="001E47E5" w:rsidRDefault="005401B1" w:rsidP="005401B1">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w:t>
            </w:r>
          </w:p>
        </w:tc>
        <w:tc>
          <w:tcPr>
            <w:tcW w:w="1843" w:type="dxa"/>
            <w:shd w:val="clear" w:color="auto" w:fill="D9D9D9" w:themeFill="background1" w:themeFillShade="D9"/>
          </w:tcPr>
          <w:p w14:paraId="06574D6A" w14:textId="07DEE4D6" w:rsidR="005401B1" w:rsidRPr="001E47E5" w:rsidRDefault="005401B1" w:rsidP="005401B1">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Abs.</w:t>
            </w:r>
          </w:p>
        </w:tc>
        <w:tc>
          <w:tcPr>
            <w:tcW w:w="1419" w:type="dxa"/>
            <w:shd w:val="clear" w:color="auto" w:fill="D9D9D9" w:themeFill="background1" w:themeFillShade="D9"/>
          </w:tcPr>
          <w:p w14:paraId="5E4181F2" w14:textId="7986D885" w:rsidR="005401B1" w:rsidRPr="001E47E5" w:rsidRDefault="005401B1" w:rsidP="005401B1">
            <w:pPr>
              <w:jc w:val="both"/>
              <w:rPr>
                <w:rFonts w:ascii="Times New Roman" w:hAnsi="Times New Roman" w:cs="Times New Roman"/>
                <w:b/>
                <w:iCs/>
                <w:noProof/>
                <w:sz w:val="24"/>
                <w:szCs w:val="24"/>
              </w:rPr>
            </w:pPr>
            <w:r w:rsidRPr="001E47E5">
              <w:rPr>
                <w:rFonts w:ascii="Times New Roman" w:hAnsi="Times New Roman" w:cs="Times New Roman"/>
                <w:b/>
                <w:iCs/>
                <w:noProof/>
                <w:sz w:val="24"/>
                <w:szCs w:val="24"/>
              </w:rPr>
              <w:t>%</w:t>
            </w:r>
          </w:p>
        </w:tc>
        <w:tc>
          <w:tcPr>
            <w:tcW w:w="1319" w:type="dxa"/>
            <w:vMerge/>
            <w:shd w:val="clear" w:color="auto" w:fill="D9D9D9" w:themeFill="background1" w:themeFillShade="D9"/>
          </w:tcPr>
          <w:p w14:paraId="76B3052B" w14:textId="77777777" w:rsidR="005401B1" w:rsidRPr="001E47E5" w:rsidRDefault="005401B1" w:rsidP="005401B1">
            <w:pPr>
              <w:jc w:val="both"/>
              <w:rPr>
                <w:rFonts w:ascii="Times New Roman" w:hAnsi="Times New Roman" w:cs="Times New Roman"/>
                <w:bCs/>
                <w:iCs/>
                <w:noProof/>
                <w:sz w:val="24"/>
                <w:szCs w:val="24"/>
              </w:rPr>
            </w:pPr>
          </w:p>
        </w:tc>
      </w:tr>
      <w:tr w:rsidR="005401B1" w:rsidRPr="001E47E5" w14:paraId="2E468913" w14:textId="4CDA412D" w:rsidTr="005401B1">
        <w:tc>
          <w:tcPr>
            <w:tcW w:w="1713" w:type="dxa"/>
          </w:tcPr>
          <w:p w14:paraId="7EC68ADA" w14:textId="77777777" w:rsidR="005401B1" w:rsidRPr="001E47E5" w:rsidRDefault="005401B1" w:rsidP="005401B1">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Stredné podniky</w:t>
            </w:r>
          </w:p>
        </w:tc>
        <w:tc>
          <w:tcPr>
            <w:tcW w:w="1684" w:type="dxa"/>
          </w:tcPr>
          <w:p w14:paraId="2C906931" w14:textId="7AEACE8E"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549</w:t>
            </w:r>
          </w:p>
        </w:tc>
        <w:tc>
          <w:tcPr>
            <w:tcW w:w="1418" w:type="dxa"/>
          </w:tcPr>
          <w:p w14:paraId="21C9C7B5" w14:textId="0FAE4B6E"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20</w:t>
            </w:r>
          </w:p>
        </w:tc>
        <w:tc>
          <w:tcPr>
            <w:tcW w:w="1843" w:type="dxa"/>
          </w:tcPr>
          <w:p w14:paraId="54FF1DA1" w14:textId="1A9DAB83"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2 198</w:t>
            </w:r>
          </w:p>
        </w:tc>
        <w:tc>
          <w:tcPr>
            <w:tcW w:w="1419" w:type="dxa"/>
          </w:tcPr>
          <w:p w14:paraId="5A209024" w14:textId="39B6CADE"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80</w:t>
            </w:r>
          </w:p>
        </w:tc>
        <w:tc>
          <w:tcPr>
            <w:tcW w:w="1319" w:type="dxa"/>
          </w:tcPr>
          <w:p w14:paraId="6C032D3E" w14:textId="54291F42" w:rsidR="005401B1" w:rsidRPr="001E47E5" w:rsidRDefault="005401B1" w:rsidP="005401B1">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2 747</w:t>
            </w:r>
          </w:p>
        </w:tc>
      </w:tr>
      <w:tr w:rsidR="005401B1" w:rsidRPr="001E47E5" w14:paraId="56A2486B" w14:textId="50EB91D1" w:rsidTr="005401B1">
        <w:tc>
          <w:tcPr>
            <w:tcW w:w="1713" w:type="dxa"/>
          </w:tcPr>
          <w:p w14:paraId="13C7E8FA" w14:textId="77777777" w:rsidR="005401B1" w:rsidRPr="001E47E5" w:rsidRDefault="005401B1" w:rsidP="005401B1">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Veľké podniky</w:t>
            </w:r>
          </w:p>
        </w:tc>
        <w:tc>
          <w:tcPr>
            <w:tcW w:w="1684" w:type="dxa"/>
          </w:tcPr>
          <w:p w14:paraId="77418C38" w14:textId="0A7091C8"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131</w:t>
            </w:r>
          </w:p>
        </w:tc>
        <w:tc>
          <w:tcPr>
            <w:tcW w:w="1418" w:type="dxa"/>
          </w:tcPr>
          <w:p w14:paraId="28AD3289" w14:textId="3952AE56"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20</w:t>
            </w:r>
          </w:p>
        </w:tc>
        <w:tc>
          <w:tcPr>
            <w:tcW w:w="1843" w:type="dxa"/>
          </w:tcPr>
          <w:p w14:paraId="177884B8" w14:textId="5524A887"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525</w:t>
            </w:r>
          </w:p>
        </w:tc>
        <w:tc>
          <w:tcPr>
            <w:tcW w:w="1419" w:type="dxa"/>
          </w:tcPr>
          <w:p w14:paraId="05883D3F" w14:textId="01017771" w:rsidR="005401B1" w:rsidRPr="001E47E5" w:rsidRDefault="005401B1" w:rsidP="005401B1">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80</w:t>
            </w:r>
          </w:p>
        </w:tc>
        <w:tc>
          <w:tcPr>
            <w:tcW w:w="1319" w:type="dxa"/>
          </w:tcPr>
          <w:p w14:paraId="7845E726" w14:textId="48A0F773" w:rsidR="005401B1" w:rsidRPr="001E47E5" w:rsidRDefault="005401B1" w:rsidP="005401B1">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656</w:t>
            </w:r>
          </w:p>
        </w:tc>
      </w:tr>
    </w:tbl>
    <w:p w14:paraId="27EF981F" w14:textId="77777777" w:rsidR="005401B1" w:rsidRPr="001E47E5" w:rsidRDefault="005401B1" w:rsidP="001F2E4A">
      <w:pPr>
        <w:spacing w:after="0"/>
        <w:jc w:val="both"/>
        <w:rPr>
          <w:rFonts w:ascii="Times New Roman" w:eastAsia="Calibri" w:hAnsi="Times New Roman" w:cs="Times New Roman"/>
          <w:bCs/>
          <w:color w:val="000000"/>
          <w:sz w:val="24"/>
          <w:szCs w:val="24"/>
          <w:highlight w:val="yellow"/>
        </w:rPr>
      </w:pPr>
    </w:p>
    <w:p w14:paraId="7B021397" w14:textId="5AAF6FFF" w:rsidR="00C14281" w:rsidRPr="001E47E5" w:rsidRDefault="005401B1" w:rsidP="00C14281">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Do samotnej kalkulačky</w:t>
      </w:r>
      <w:r w:rsidR="00393441" w:rsidRPr="001E47E5">
        <w:rPr>
          <w:rFonts w:ascii="Times New Roman" w:eastAsia="Calibri" w:hAnsi="Times New Roman" w:cs="Times New Roman"/>
          <w:bCs/>
          <w:color w:val="000000"/>
          <w:sz w:val="24"/>
          <w:szCs w:val="24"/>
        </w:rPr>
        <w:t xml:space="preserve"> pre Výpočet vplyvov jednotlivých regulácií boli doplnené 4 riadky pričom pre subjekty, ktoré vykonajú audit </w:t>
      </w:r>
      <w:r w:rsidR="00BD7E59">
        <w:rPr>
          <w:rFonts w:ascii="Times New Roman" w:eastAsia="Calibri" w:hAnsi="Times New Roman" w:cs="Times New Roman"/>
          <w:bCs/>
          <w:color w:val="000000"/>
          <w:sz w:val="24"/>
          <w:szCs w:val="24"/>
        </w:rPr>
        <w:t>kybernetickej bezpečnosti</w:t>
      </w:r>
      <w:r w:rsidR="00393441" w:rsidRPr="001E47E5">
        <w:rPr>
          <w:rFonts w:ascii="Times New Roman" w:eastAsia="Calibri" w:hAnsi="Times New Roman" w:cs="Times New Roman"/>
          <w:bCs/>
          <w:color w:val="000000"/>
          <w:sz w:val="24"/>
          <w:szCs w:val="24"/>
        </w:rPr>
        <w:t xml:space="preserve"> bola doplnená cena na základe odhadovaného počtu človekodní a trhovej ceny za človekodeň a pre subjekty, ktoré využijú funkcionalitu JISKB bol využitý benchmark uvedený v rámci typických informačných povinností.</w:t>
      </w:r>
    </w:p>
    <w:p w14:paraId="73F1DE2F" w14:textId="77777777" w:rsidR="00997A0A" w:rsidRPr="001E47E5" w:rsidRDefault="00997A0A" w:rsidP="00997A0A">
      <w:pPr>
        <w:spacing w:after="0"/>
        <w:jc w:val="both"/>
        <w:rPr>
          <w:rFonts w:ascii="Times New Roman" w:eastAsia="Calibri" w:hAnsi="Times New Roman" w:cs="Times New Roman"/>
          <w:bCs/>
          <w:color w:val="000000"/>
          <w:sz w:val="24"/>
          <w:szCs w:val="24"/>
          <w:highlight w:val="yellow"/>
        </w:rPr>
      </w:pPr>
    </w:p>
    <w:p w14:paraId="4F3A7CAA" w14:textId="76CDA92F" w:rsidR="004D2403" w:rsidRPr="001E47E5" w:rsidRDefault="00242D45" w:rsidP="00242D45">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w:t>
      </w:r>
      <w:r w:rsidR="006E3BCF" w:rsidRPr="001E47E5">
        <w:rPr>
          <w:rFonts w:ascii="Times New Roman" w:eastAsia="Calibri" w:hAnsi="Times New Roman" w:cs="Times New Roman"/>
          <w:b/>
          <w:color w:val="000000"/>
          <w:sz w:val="24"/>
          <w:szCs w:val="24"/>
        </w:rPr>
        <w:t>6</w:t>
      </w:r>
      <w:r w:rsidRPr="001E47E5">
        <w:rPr>
          <w:rFonts w:ascii="Times New Roman" w:eastAsia="Calibri" w:hAnsi="Times New Roman" w:cs="Times New Roman"/>
          <w:b/>
          <w:color w:val="000000"/>
          <w:sz w:val="24"/>
          <w:szCs w:val="24"/>
        </w:rPr>
        <w:t xml:space="preserve">. </w:t>
      </w:r>
      <w:r w:rsidR="004D2403" w:rsidRPr="001E47E5">
        <w:rPr>
          <w:rFonts w:ascii="Times New Roman" w:eastAsia="Calibri" w:hAnsi="Times New Roman" w:cs="Times New Roman"/>
          <w:b/>
          <w:color w:val="000000"/>
          <w:sz w:val="24"/>
          <w:szCs w:val="24"/>
        </w:rPr>
        <w:t>Zavedenie poriadkovej pokuty, priestupku a správnych deliktov pre nové subjekty</w:t>
      </w:r>
    </w:p>
    <w:p w14:paraId="13731E6A" w14:textId="29194443" w:rsidR="004D2403" w:rsidRPr="001E47E5" w:rsidRDefault="00925C80" w:rsidP="00997A0A">
      <w:pPr>
        <w:widowControl w:val="0"/>
        <w:spacing w:after="0"/>
        <w:jc w:val="both"/>
        <w:rPr>
          <w:rFonts w:ascii="Times New Roman" w:eastAsia="Calibri" w:hAnsi="Times New Roman" w:cs="Times New Roman"/>
          <w:bCs/>
          <w:i/>
          <w:iCs/>
          <w:color w:val="000000"/>
          <w:sz w:val="24"/>
          <w:szCs w:val="24"/>
          <w:highlight w:val="yellow"/>
        </w:rPr>
      </w:pPr>
      <w:r w:rsidRPr="001E47E5">
        <w:rPr>
          <w:rFonts w:ascii="Times New Roman" w:eastAsia="Calibri" w:hAnsi="Times New Roman" w:cs="Times New Roman"/>
          <w:bCs/>
          <w:color w:val="000000"/>
          <w:sz w:val="24"/>
          <w:szCs w:val="24"/>
        </w:rPr>
        <w:t>V zmysle zákona č. 69/2018</w:t>
      </w:r>
      <w:r w:rsidR="000D397E">
        <w:rPr>
          <w:rFonts w:ascii="Times New Roman" w:eastAsia="Calibri" w:hAnsi="Times New Roman" w:cs="Times New Roman"/>
          <w:bCs/>
          <w:color w:val="000000"/>
          <w:sz w:val="24"/>
          <w:szCs w:val="24"/>
        </w:rPr>
        <w:t xml:space="preserve"> Z. z.</w:t>
      </w:r>
      <w:r w:rsidRPr="001E47E5">
        <w:rPr>
          <w:rFonts w:ascii="Times New Roman" w:eastAsia="Calibri" w:hAnsi="Times New Roman" w:cs="Times New Roman"/>
          <w:bCs/>
          <w:color w:val="000000"/>
          <w:sz w:val="24"/>
          <w:szCs w:val="24"/>
        </w:rPr>
        <w:t xml:space="preserve"> o kybernetickej bezpečnosti je úrad oprávnený uložiť pokutu, ak PZS</w:t>
      </w:r>
      <w:r w:rsidR="000D397E">
        <w:rPr>
          <w:rFonts w:ascii="Times New Roman" w:eastAsia="Calibri" w:hAnsi="Times New Roman" w:cs="Times New Roman"/>
          <w:bCs/>
          <w:color w:val="000000"/>
          <w:sz w:val="24"/>
          <w:szCs w:val="24"/>
        </w:rPr>
        <w:t xml:space="preserve"> </w:t>
      </w:r>
      <w:r w:rsidRPr="001E47E5">
        <w:rPr>
          <w:rFonts w:ascii="Times New Roman" w:eastAsia="Calibri" w:hAnsi="Times New Roman" w:cs="Times New Roman"/>
          <w:bCs/>
          <w:color w:val="000000"/>
          <w:sz w:val="24"/>
          <w:szCs w:val="24"/>
        </w:rPr>
        <w:t>poruší svoje povinnosti, ktoré mu z tohto zákona vyplývajú. V roku 2022 vykonal úrad viacero</w:t>
      </w:r>
      <w:r w:rsidR="00997A0A" w:rsidRPr="001E47E5">
        <w:rPr>
          <w:rFonts w:ascii="Times New Roman" w:eastAsia="Calibri" w:hAnsi="Times New Roman" w:cs="Times New Roman"/>
          <w:bCs/>
          <w:color w:val="000000"/>
          <w:sz w:val="24"/>
          <w:szCs w:val="24"/>
        </w:rPr>
        <w:t xml:space="preserve"> </w:t>
      </w:r>
      <w:r w:rsidRPr="001E47E5">
        <w:rPr>
          <w:rFonts w:ascii="Times New Roman" w:eastAsia="Calibri" w:hAnsi="Times New Roman" w:cs="Times New Roman"/>
          <w:bCs/>
          <w:color w:val="000000"/>
          <w:sz w:val="24"/>
          <w:szCs w:val="24"/>
        </w:rPr>
        <w:t>kontrol plnenia zákonných povinností prevádzkovateľmi základnej služby. Úrad uložil pokutu</w:t>
      </w:r>
      <w:r w:rsidR="00997A0A" w:rsidRPr="001E47E5">
        <w:rPr>
          <w:rFonts w:ascii="Times New Roman" w:eastAsia="Calibri" w:hAnsi="Times New Roman" w:cs="Times New Roman"/>
          <w:bCs/>
          <w:color w:val="000000"/>
          <w:sz w:val="24"/>
          <w:szCs w:val="24"/>
        </w:rPr>
        <w:t xml:space="preserve"> </w:t>
      </w:r>
      <w:r w:rsidRPr="001E47E5">
        <w:rPr>
          <w:rFonts w:ascii="Times New Roman" w:eastAsia="Calibri" w:hAnsi="Times New Roman" w:cs="Times New Roman"/>
          <w:bCs/>
          <w:color w:val="000000"/>
          <w:sz w:val="24"/>
          <w:szCs w:val="24"/>
        </w:rPr>
        <w:t xml:space="preserve">dvom subjektom v celkovej výške 26 000 </w:t>
      </w:r>
      <w:r w:rsidR="00997A0A" w:rsidRPr="001E47E5">
        <w:rPr>
          <w:rFonts w:ascii="Times New Roman" w:eastAsia="Calibri" w:hAnsi="Times New Roman" w:cs="Times New Roman"/>
          <w:bCs/>
          <w:color w:val="000000"/>
          <w:sz w:val="24"/>
          <w:szCs w:val="24"/>
        </w:rPr>
        <w:t>EUR</w:t>
      </w:r>
      <w:r w:rsidRPr="001E47E5">
        <w:rPr>
          <w:rFonts w:ascii="Times New Roman" w:eastAsia="Calibri" w:hAnsi="Times New Roman" w:cs="Times New Roman"/>
          <w:bCs/>
          <w:color w:val="000000"/>
          <w:sz w:val="24"/>
          <w:szCs w:val="24"/>
        </w:rPr>
        <w:t>.</w:t>
      </w:r>
      <w:r w:rsidR="00997A0A" w:rsidRPr="001E47E5">
        <w:rPr>
          <w:rFonts w:ascii="Times New Roman" w:eastAsia="Calibri" w:hAnsi="Times New Roman" w:cs="Times New Roman"/>
          <w:bCs/>
          <w:color w:val="000000"/>
          <w:sz w:val="24"/>
          <w:szCs w:val="24"/>
        </w:rPr>
        <w:t xml:space="preserve"> V roku 2023 bolo uložených 38 pokút v celkovej výške 28 300 EUR. Keďže výška pokút nerastie lineárne s počtom pokút, je možné výšku budúcich pokút len odhadnúť </w:t>
      </w:r>
      <w:r w:rsidR="00BD7E59">
        <w:rPr>
          <w:rFonts w:ascii="Times New Roman" w:eastAsia="Calibri" w:hAnsi="Times New Roman" w:cs="Times New Roman"/>
          <w:bCs/>
          <w:color w:val="000000"/>
          <w:sz w:val="24"/>
          <w:szCs w:val="24"/>
        </w:rPr>
        <w:t xml:space="preserve">približne </w:t>
      </w:r>
      <w:r w:rsidR="00997A0A" w:rsidRPr="001E47E5">
        <w:rPr>
          <w:rFonts w:ascii="Times New Roman" w:eastAsia="Calibri" w:hAnsi="Times New Roman" w:cs="Times New Roman"/>
          <w:bCs/>
          <w:color w:val="000000"/>
          <w:sz w:val="24"/>
          <w:szCs w:val="24"/>
        </w:rPr>
        <w:t xml:space="preserve">na </w:t>
      </w:r>
      <w:r w:rsidR="001F2E4A" w:rsidRPr="001E47E5">
        <w:rPr>
          <w:rFonts w:ascii="Times New Roman" w:eastAsia="Calibri" w:hAnsi="Times New Roman" w:cs="Times New Roman"/>
          <w:bCs/>
          <w:color w:val="000000"/>
          <w:sz w:val="24"/>
          <w:szCs w:val="24"/>
        </w:rPr>
        <w:t>102 000</w:t>
      </w:r>
      <w:r w:rsidR="00997A0A" w:rsidRPr="001E47E5">
        <w:rPr>
          <w:rFonts w:ascii="Times New Roman" w:eastAsia="Calibri" w:hAnsi="Times New Roman" w:cs="Times New Roman"/>
          <w:bCs/>
          <w:color w:val="000000"/>
          <w:sz w:val="24"/>
          <w:szCs w:val="24"/>
        </w:rPr>
        <w:t xml:space="preserve"> EUR ročne.</w:t>
      </w:r>
    </w:p>
    <w:p w14:paraId="5985A9D6" w14:textId="77777777" w:rsidR="004D2403" w:rsidRPr="001E47E5" w:rsidRDefault="004D2403" w:rsidP="004D2403">
      <w:pPr>
        <w:widowControl w:val="0"/>
        <w:spacing w:before="120" w:after="120"/>
        <w:jc w:val="both"/>
        <w:rPr>
          <w:rFonts w:ascii="Times New Roman" w:eastAsia="Calibri" w:hAnsi="Times New Roman" w:cs="Times New Roman"/>
          <w:bCs/>
          <w:i/>
          <w:iCs/>
          <w:color w:val="000000"/>
          <w:sz w:val="24"/>
          <w:szCs w:val="24"/>
          <w:highlight w:val="yellow"/>
        </w:rPr>
      </w:pPr>
    </w:p>
    <w:p w14:paraId="53285AB6" w14:textId="0A5CBF2F" w:rsidR="00346D0F" w:rsidRPr="001E47E5" w:rsidRDefault="00925C80" w:rsidP="00925C80">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 xml:space="preserve">3.1.3.7. </w:t>
      </w:r>
      <w:r w:rsidR="00346D0F" w:rsidRPr="001E47E5">
        <w:rPr>
          <w:rFonts w:ascii="Times New Roman" w:eastAsia="Calibri" w:hAnsi="Times New Roman" w:cs="Times New Roman"/>
          <w:b/>
          <w:color w:val="000000"/>
          <w:sz w:val="24"/>
          <w:szCs w:val="24"/>
        </w:rPr>
        <w:t xml:space="preserve">Bližší popis </w:t>
      </w:r>
      <w:r w:rsidRPr="001E47E5">
        <w:rPr>
          <w:rFonts w:ascii="Times New Roman" w:eastAsia="Calibri" w:hAnsi="Times New Roman" w:cs="Times New Roman"/>
          <w:b/>
          <w:color w:val="000000"/>
          <w:sz w:val="24"/>
          <w:szCs w:val="24"/>
        </w:rPr>
        <w:t xml:space="preserve">všeobecných </w:t>
      </w:r>
      <w:r w:rsidR="00346D0F" w:rsidRPr="001E47E5">
        <w:rPr>
          <w:rFonts w:ascii="Times New Roman" w:eastAsia="Calibri" w:hAnsi="Times New Roman" w:cs="Times New Roman"/>
          <w:b/>
          <w:color w:val="000000"/>
          <w:sz w:val="24"/>
          <w:szCs w:val="24"/>
        </w:rPr>
        <w:t>ekonomických dopadov</w:t>
      </w:r>
    </w:p>
    <w:p w14:paraId="166C620A" w14:textId="57037C89" w:rsidR="00D422AF" w:rsidRPr="001E47E5" w:rsidRDefault="00D422AF" w:rsidP="00D422AF">
      <w:pPr>
        <w:pStyle w:val="Normal1"/>
        <w:shd w:val="clear" w:color="auto" w:fill="FFFFFF"/>
        <w:spacing w:before="0" w:beforeAutospacing="0" w:after="0" w:afterAutospacing="0"/>
        <w:jc w:val="both"/>
        <w:textAlignment w:val="baseline"/>
        <w:rPr>
          <w:color w:val="000000"/>
          <w:lang w:val="sk-SK"/>
        </w:rPr>
      </w:pPr>
      <w:r w:rsidRPr="001E47E5">
        <w:rPr>
          <w:noProof/>
          <w:lang w:val="sk-SK"/>
        </w:rPr>
        <w:t>Pokiaľ ide o ekonomické dopady, samotná Európska komisia vykonala posúdenie vplyvov v rámci celej E</w:t>
      </w:r>
      <w:r w:rsidR="00EF08E0">
        <w:rPr>
          <w:noProof/>
          <w:lang w:val="sk-SK"/>
        </w:rPr>
        <w:t>urópskej únie</w:t>
      </w:r>
      <w:r w:rsidRPr="001E47E5">
        <w:rPr>
          <w:noProof/>
          <w:lang w:val="sk-SK"/>
        </w:rPr>
        <w:t xml:space="preserve">, </w:t>
      </w:r>
      <w:r w:rsidRPr="001E47E5">
        <w:rPr>
          <w:color w:val="000000"/>
          <w:bdr w:val="none" w:sz="0" w:space="0" w:color="auto" w:frame="1"/>
          <w:lang w:val="sk-SK"/>
        </w:rPr>
        <w:t>ktoré bolo 23. októbra 2020 predložené výboru pre kontrolu regulácie a ktoré 20. novembra 2020 získalo pozitívne stanovisko s pripomienkami od výboru pre kontrolu regulácie. E</w:t>
      </w:r>
      <w:r w:rsidR="00EF08E0">
        <w:rPr>
          <w:color w:val="000000"/>
          <w:bdr w:val="none" w:sz="0" w:space="0" w:color="auto" w:frame="1"/>
          <w:lang w:val="sk-SK"/>
        </w:rPr>
        <w:t>urópska komisia</w:t>
      </w:r>
      <w:r w:rsidRPr="001E47E5">
        <w:rPr>
          <w:color w:val="000000"/>
          <w:bdr w:val="none" w:sz="0" w:space="0" w:color="auto" w:frame="1"/>
          <w:lang w:val="sk-SK"/>
        </w:rPr>
        <w:t xml:space="preserve"> zvážila niekoľko možností politiky na zlepšenie právneho rámca v oblasti kybernetickej odolnosti a reakcie na kybernetický incident:</w:t>
      </w:r>
    </w:p>
    <w:p w14:paraId="56F9D606" w14:textId="77777777" w:rsidR="00D422AF" w:rsidRPr="001E47E5" w:rsidRDefault="00D422AF" w:rsidP="00D422AF">
      <w:pPr>
        <w:pStyle w:val="li"/>
        <w:numPr>
          <w:ilvl w:val="0"/>
          <w:numId w:val="16"/>
        </w:numPr>
        <w:shd w:val="clear" w:color="auto" w:fill="FFFFFF"/>
        <w:spacing w:before="0" w:beforeAutospacing="0" w:after="0" w:afterAutospacing="0"/>
        <w:ind w:left="426" w:hanging="426"/>
        <w:jc w:val="both"/>
        <w:textAlignment w:val="baseline"/>
        <w:rPr>
          <w:color w:val="000000"/>
          <w:lang w:val="sk-SK"/>
        </w:rPr>
      </w:pPr>
      <w:r w:rsidRPr="001E47E5">
        <w:rPr>
          <w:color w:val="000000"/>
          <w:bdr w:val="none" w:sz="0" w:space="0" w:color="auto" w:frame="1"/>
          <w:lang w:val="sk-SK"/>
        </w:rPr>
        <w:t>„Nevykonať žiadne opatrenia“: Smernica NIS by zostala nezmenená a neprijali by sa žiadne iné opatrenia nelegislatívnej povahy na odstránenie problémov zistených pri hodnotení smernice NIS.</w:t>
      </w:r>
    </w:p>
    <w:p w14:paraId="49948D74" w14:textId="0AED52F2" w:rsidR="00D422AF" w:rsidRPr="001E47E5" w:rsidRDefault="00D422AF" w:rsidP="00D422AF">
      <w:pPr>
        <w:pStyle w:val="li"/>
        <w:numPr>
          <w:ilvl w:val="0"/>
          <w:numId w:val="16"/>
        </w:numPr>
        <w:shd w:val="clear" w:color="auto" w:fill="FFFFFF"/>
        <w:spacing w:before="0" w:beforeAutospacing="0" w:after="0" w:afterAutospacing="0"/>
        <w:ind w:left="426" w:hanging="426"/>
        <w:jc w:val="both"/>
        <w:textAlignment w:val="baseline"/>
        <w:rPr>
          <w:color w:val="000000"/>
          <w:lang w:val="sk-SK"/>
        </w:rPr>
      </w:pPr>
      <w:r w:rsidRPr="001E47E5">
        <w:rPr>
          <w:color w:val="000000"/>
          <w:bdr w:val="none" w:sz="0" w:space="0" w:color="auto" w:frame="1"/>
          <w:lang w:val="sk-SK"/>
        </w:rPr>
        <w:t xml:space="preserve">Možnosť 1: Na legislatívnej úrovni by sa nevykonali žiadne zmeny. Namiesto toho by </w:t>
      </w:r>
      <w:r w:rsidR="00DD223B">
        <w:rPr>
          <w:color w:val="000000"/>
          <w:bdr w:val="none" w:sz="0" w:space="0" w:color="auto" w:frame="1"/>
          <w:lang w:val="sk-SK"/>
        </w:rPr>
        <w:t>Európska k</w:t>
      </w:r>
      <w:r w:rsidRPr="001E47E5">
        <w:rPr>
          <w:color w:val="000000"/>
          <w:bdr w:val="none" w:sz="0" w:space="0" w:color="auto" w:frame="1"/>
          <w:lang w:val="sk-SK"/>
        </w:rPr>
        <w:t xml:space="preserve">omisia vydala odporúčania a usmernenia (napríklad, pokiaľ ide o identifikáciu prevádzkovateľov základných služieb, bezpečnostné požiadavky, postupy oznamovania </w:t>
      </w:r>
      <w:r w:rsidRPr="001E47E5">
        <w:rPr>
          <w:color w:val="000000"/>
          <w:bdr w:val="none" w:sz="0" w:space="0" w:color="auto" w:frame="1"/>
          <w:lang w:val="sk-SK"/>
        </w:rPr>
        <w:lastRenderedPageBreak/>
        <w:t>incidentov a dohľad), a to po konzultácii</w:t>
      </w:r>
      <w:r w:rsidR="002C30D5">
        <w:rPr>
          <w:color w:val="000000"/>
          <w:bdr w:val="none" w:sz="0" w:space="0" w:color="auto" w:frame="1"/>
          <w:lang w:val="sk-SK"/>
        </w:rPr>
        <w:t xml:space="preserve"> so skupinou pre spoluprácu, s A</w:t>
      </w:r>
      <w:r w:rsidRPr="001E47E5">
        <w:rPr>
          <w:color w:val="000000"/>
          <w:bdr w:val="none" w:sz="0" w:space="0" w:color="auto" w:frame="1"/>
          <w:lang w:val="sk-SK"/>
        </w:rPr>
        <w:t>gentúrou E</w:t>
      </w:r>
      <w:r w:rsidR="002C30D5">
        <w:rPr>
          <w:color w:val="000000"/>
          <w:bdr w:val="none" w:sz="0" w:space="0" w:color="auto" w:frame="1"/>
          <w:lang w:val="sk-SK"/>
        </w:rPr>
        <w:t>urópskej únie</w:t>
      </w:r>
      <w:r w:rsidRPr="001E47E5">
        <w:rPr>
          <w:color w:val="000000"/>
          <w:bdr w:val="none" w:sz="0" w:space="0" w:color="auto" w:frame="1"/>
          <w:lang w:val="sk-SK"/>
        </w:rPr>
        <w:t xml:space="preserve"> pre kybernetickú bezpečnosť (ENISA) a prípadne so sieťou jednotiek pre riešenie počítačových bezpečnostných incidentov (jednotky CSIRT).</w:t>
      </w:r>
    </w:p>
    <w:p w14:paraId="63037CD8" w14:textId="77777777" w:rsidR="00D422AF" w:rsidRPr="001E47E5" w:rsidRDefault="00D422AF" w:rsidP="00D422AF">
      <w:pPr>
        <w:pStyle w:val="li"/>
        <w:numPr>
          <w:ilvl w:val="0"/>
          <w:numId w:val="16"/>
        </w:numPr>
        <w:shd w:val="clear" w:color="auto" w:fill="FFFFFF"/>
        <w:spacing w:before="0" w:beforeAutospacing="0" w:after="0" w:afterAutospacing="0"/>
        <w:ind w:left="426" w:hanging="426"/>
        <w:jc w:val="both"/>
        <w:textAlignment w:val="baseline"/>
        <w:rPr>
          <w:color w:val="000000"/>
          <w:lang w:val="sk-SK"/>
        </w:rPr>
      </w:pPr>
      <w:r w:rsidRPr="001E47E5">
        <w:rPr>
          <w:color w:val="000000"/>
          <w:bdr w:val="none" w:sz="0" w:space="0" w:color="auto" w:frame="1"/>
          <w:lang w:val="sk-SK"/>
        </w:rPr>
        <w:t>Možnosť 2: Táto možnosť zahŕňa cielené zmeny smernice NIS vrátane rozšírenia rozsahu jej pôsobnosti a niekoľkých ďalších zmien, ktorých cieľom by bolo zaistiť určité okamžité riešenia zistených problémov, pričom by poskytovali väčšiu zrozumiteľnosť a ďalšiu harmonizáciu (ako napríklad ustanovenia na harmonizáciu prahových hodnôt na identifikáciu). V zmenenej smernici NIS by však zostali zachované hlavné stavebné prvky, prístup a hodnoty.</w:t>
      </w:r>
    </w:p>
    <w:p w14:paraId="17D96547" w14:textId="512F5AE8" w:rsidR="00D422AF" w:rsidRPr="001E47E5" w:rsidRDefault="00D422AF" w:rsidP="00D422AF">
      <w:pPr>
        <w:pStyle w:val="li"/>
        <w:numPr>
          <w:ilvl w:val="0"/>
          <w:numId w:val="16"/>
        </w:numPr>
        <w:shd w:val="clear" w:color="auto" w:fill="FFFFFF"/>
        <w:spacing w:before="0" w:beforeAutospacing="0" w:after="0" w:afterAutospacing="0"/>
        <w:ind w:left="426" w:hanging="426"/>
        <w:jc w:val="both"/>
        <w:textAlignment w:val="baseline"/>
        <w:rPr>
          <w:color w:val="000000"/>
          <w:lang w:val="sk-SK"/>
        </w:rPr>
      </w:pPr>
      <w:r w:rsidRPr="001E47E5">
        <w:rPr>
          <w:color w:val="000000"/>
          <w:bdr w:val="none" w:sz="0" w:space="0" w:color="auto" w:frame="1"/>
          <w:lang w:val="sk-SK"/>
        </w:rPr>
        <w:t>Možnosť 3: V tomto scenári sú zahrnuté systémové a štrukturálne zmeny smernice NIS (prostredníctvom novej smernice), v rámci ktorých sa plánuje zásadnejšia zmena prístupu, a to v podobe zahrnutia širšej oblasti hospodárstiev v</w:t>
      </w:r>
      <w:r w:rsidR="002C30D5">
        <w:rPr>
          <w:color w:val="000000"/>
          <w:bdr w:val="none" w:sz="0" w:space="0" w:color="auto" w:frame="1"/>
          <w:lang w:val="sk-SK"/>
        </w:rPr>
        <w:t> Európskej únii</w:t>
      </w:r>
      <w:r w:rsidRPr="001E47E5">
        <w:rPr>
          <w:color w:val="000000"/>
          <w:bdr w:val="none" w:sz="0" w:space="0" w:color="auto" w:frame="1"/>
          <w:lang w:val="sk-SK"/>
        </w:rPr>
        <w:t>, ale zároveň aj cielenejší dohľad zameraný na veľkých a kľúčových účastníkov. Takisto by sa tým zefektívnili povinnosti uložené podnikom a zabezpečila by sa vyššia úroveň ich harmonizácie, vytvorilo by sa účinnejšie nastavenie prevádzkových aspektov a tak</w:t>
      </w:r>
      <w:r w:rsidR="00B1283B">
        <w:rPr>
          <w:color w:val="000000"/>
          <w:bdr w:val="none" w:sz="0" w:space="0" w:color="auto" w:frame="1"/>
          <w:lang w:val="sk-SK"/>
        </w:rPr>
        <w:t>tiež</w:t>
      </w:r>
      <w:r w:rsidRPr="001E47E5">
        <w:rPr>
          <w:color w:val="000000"/>
          <w:bdr w:val="none" w:sz="0" w:space="0" w:color="auto" w:frame="1"/>
          <w:lang w:val="sk-SK"/>
        </w:rPr>
        <w:t xml:space="preserve"> by vznikol jasný základ pre posilnenú spoločnú zodpovednosť a zodpovednosť rôznych zainteresovaných strán, pokiaľ ide o opatrenia v oblasti kybernetickej bezpečnosti.</w:t>
      </w:r>
    </w:p>
    <w:p w14:paraId="0A0F2379" w14:textId="77777777" w:rsidR="00D422AF" w:rsidRPr="001E47E5" w:rsidRDefault="00D422AF" w:rsidP="00D422AF">
      <w:pPr>
        <w:pStyle w:val="Normal1"/>
        <w:shd w:val="clear" w:color="auto" w:fill="FFFFFF"/>
        <w:spacing w:before="0" w:beforeAutospacing="0" w:after="0" w:afterAutospacing="0"/>
        <w:jc w:val="both"/>
        <w:textAlignment w:val="baseline"/>
        <w:rPr>
          <w:color w:val="000000"/>
          <w:bdr w:val="none" w:sz="0" w:space="0" w:color="auto" w:frame="1"/>
          <w:lang w:val="sk-SK"/>
        </w:rPr>
      </w:pPr>
    </w:p>
    <w:p w14:paraId="01D081CC" w14:textId="73259135" w:rsidR="00D422AF" w:rsidRPr="001E47E5" w:rsidRDefault="00D422AF" w:rsidP="00D422AF">
      <w:pPr>
        <w:pStyle w:val="Normal1"/>
        <w:shd w:val="clear" w:color="auto" w:fill="FFFFFF"/>
        <w:spacing w:before="0" w:beforeAutospacing="0" w:after="0" w:afterAutospacing="0"/>
        <w:jc w:val="both"/>
        <w:textAlignment w:val="baseline"/>
        <w:rPr>
          <w:color w:val="000000"/>
          <w:lang w:val="sk-SK"/>
        </w:rPr>
      </w:pPr>
      <w:r w:rsidRPr="001E47E5">
        <w:rPr>
          <w:color w:val="000000"/>
          <w:bdr w:val="none" w:sz="0" w:space="0" w:color="auto" w:frame="1"/>
          <w:lang w:val="sk-SK"/>
        </w:rPr>
        <w:t>Z vyššie uvedených možností bola vybraná možnosť 3 (t. j. systémové a štrukturálne zmeny rámca smernice NIS). Pokiaľ ide o účinnosť, táto možnosť jasne stanovila rozsah pôsobnosti smernice NIS</w:t>
      </w:r>
      <w:r w:rsidR="001A2F50">
        <w:rPr>
          <w:color w:val="000000"/>
          <w:bdr w:val="none" w:sz="0" w:space="0" w:color="auto" w:frame="1"/>
          <w:lang w:val="sk-SK"/>
        </w:rPr>
        <w:t xml:space="preserve"> 2</w:t>
      </w:r>
      <w:r w:rsidRPr="001E47E5">
        <w:rPr>
          <w:color w:val="000000"/>
          <w:bdr w:val="none" w:sz="0" w:space="0" w:color="auto" w:frame="1"/>
          <w:lang w:val="sk-SK"/>
        </w:rPr>
        <w:t>, ktorý sa rozšíril na reprezentatívnejšiu časť hospodárstiev a spoločností v</w:t>
      </w:r>
      <w:r w:rsidR="001A2F50">
        <w:rPr>
          <w:color w:val="000000"/>
          <w:bdr w:val="none" w:sz="0" w:space="0" w:color="auto" w:frame="1"/>
          <w:lang w:val="sk-SK"/>
        </w:rPr>
        <w:t> </w:t>
      </w:r>
      <w:r w:rsidRPr="001E47E5">
        <w:rPr>
          <w:color w:val="000000"/>
          <w:bdr w:val="none" w:sz="0" w:space="0" w:color="auto" w:frame="1"/>
          <w:lang w:val="sk-SK"/>
        </w:rPr>
        <w:t>E</w:t>
      </w:r>
      <w:r w:rsidR="001A2F50">
        <w:rPr>
          <w:color w:val="000000"/>
          <w:bdr w:val="none" w:sz="0" w:space="0" w:color="auto" w:frame="1"/>
          <w:lang w:val="sk-SK"/>
        </w:rPr>
        <w:t>urópskej únii.</w:t>
      </w:r>
      <w:r w:rsidRPr="001E47E5">
        <w:rPr>
          <w:color w:val="000000"/>
          <w:bdr w:val="none" w:sz="0" w:space="0" w:color="auto" w:frame="1"/>
          <w:lang w:val="sk-SK"/>
        </w:rPr>
        <w:t xml:space="preserve"> Táto možnosť tak</w:t>
      </w:r>
      <w:r w:rsidR="00346D89">
        <w:rPr>
          <w:color w:val="000000"/>
          <w:bdr w:val="none" w:sz="0" w:space="0" w:color="auto" w:frame="1"/>
          <w:lang w:val="sk-SK"/>
        </w:rPr>
        <w:t>tiež</w:t>
      </w:r>
      <w:r w:rsidRPr="001E47E5">
        <w:rPr>
          <w:color w:val="000000"/>
          <w:bdr w:val="none" w:sz="0" w:space="0" w:color="auto" w:frame="1"/>
          <w:lang w:val="sk-SK"/>
        </w:rPr>
        <w:t xml:space="preserve"> zahŕňa opatrenia zamerané na zlepšenie prístupov v oblasti tvorby politík na úrovni členských štátov a na zmenu ich paradigmy, pričom podporuje nové rámce pre riadenie rizika v rámci vzťahov s dodávateľmi a koordinované zverejňovanie informácií o zraniteľnosti. Pokiaľ ide o efektívnosť, E</w:t>
      </w:r>
      <w:r w:rsidR="001A2F50">
        <w:rPr>
          <w:color w:val="000000"/>
          <w:bdr w:val="none" w:sz="0" w:space="0" w:color="auto" w:frame="1"/>
          <w:lang w:val="sk-SK"/>
        </w:rPr>
        <w:t>urópska komisia</w:t>
      </w:r>
      <w:r w:rsidRPr="001E47E5">
        <w:rPr>
          <w:color w:val="000000"/>
          <w:bdr w:val="none" w:sz="0" w:space="0" w:color="auto" w:frame="1"/>
          <w:lang w:val="sk-SK"/>
        </w:rPr>
        <w:t xml:space="preserve"> vyhodnotila, že zatiaľ čo uprednostňovaná možnosť so sebou prináša dodatočné náklady pre podniky a členské štáty na dodržiavanie pravidiel a presadzovanie, mala by viesť tak</w:t>
      </w:r>
      <w:r w:rsidR="00346D89">
        <w:rPr>
          <w:color w:val="000000"/>
          <w:bdr w:val="none" w:sz="0" w:space="0" w:color="auto" w:frame="1"/>
          <w:lang w:val="sk-SK"/>
        </w:rPr>
        <w:t>tiež</w:t>
      </w:r>
      <w:r w:rsidRPr="001E47E5">
        <w:rPr>
          <w:color w:val="000000"/>
          <w:bdr w:val="none" w:sz="0" w:space="0" w:color="auto" w:frame="1"/>
          <w:lang w:val="sk-SK"/>
        </w:rPr>
        <w:t xml:space="preserve"> k účinným kompromisom a synergiám, keďže má najlepší potenciál zo všetkých analyzovaných možností politiky na zabezpečenie zvýšenej a konzistentnej úrovne kybernetickej odolnosti kľúčových subjektov v</w:t>
      </w:r>
      <w:r w:rsidR="001A2F50">
        <w:rPr>
          <w:color w:val="000000"/>
          <w:bdr w:val="none" w:sz="0" w:space="0" w:color="auto" w:frame="1"/>
          <w:lang w:val="sk-SK"/>
        </w:rPr>
        <w:t> Európskej únii</w:t>
      </w:r>
      <w:r w:rsidRPr="001E47E5">
        <w:rPr>
          <w:color w:val="000000"/>
          <w:bdr w:val="none" w:sz="0" w:space="0" w:color="auto" w:frame="1"/>
          <w:lang w:val="sk-SK"/>
        </w:rPr>
        <w:t>, čo by v konečnom dôsledku viedlo k úspore nákladov pre podniky aj spoločnosť. Táto možnosť vedie k určitému dodatočnému administratívnemu zaťaženiu a dodatočným nákladom na dodržiavanie predpisov pre orgány členských štátov. Avšak po dôkladnom zvážení, v strednodobom a dlhodobom horizonte by táto možnosť mala priniesť značné výhody.</w:t>
      </w:r>
      <w:r w:rsidRPr="001E47E5">
        <w:rPr>
          <w:rStyle w:val="Odkaznapoznmkupodiarou"/>
          <w:color w:val="000000"/>
          <w:bdr w:val="none" w:sz="0" w:space="0" w:color="auto" w:frame="1"/>
          <w:lang w:val="sk-SK"/>
        </w:rPr>
        <w:footnoteReference w:id="3"/>
      </w:r>
    </w:p>
    <w:p w14:paraId="3710225C" w14:textId="77777777" w:rsidR="00D422AF" w:rsidRPr="001E47E5" w:rsidRDefault="00D422AF" w:rsidP="001F2E4A">
      <w:pPr>
        <w:spacing w:after="0" w:line="240" w:lineRule="auto"/>
        <w:ind w:right="-28"/>
        <w:jc w:val="both"/>
        <w:rPr>
          <w:rFonts w:ascii="Times New Roman" w:hAnsi="Times New Roman" w:cs="Times New Roman"/>
          <w:noProof/>
          <w:sz w:val="24"/>
          <w:szCs w:val="24"/>
        </w:rPr>
      </w:pPr>
      <w:r w:rsidRPr="001E47E5">
        <w:rPr>
          <w:rFonts w:ascii="Times New Roman" w:hAnsi="Times New Roman" w:cs="Times New Roman"/>
          <w:noProof/>
          <w:sz w:val="24"/>
          <w:szCs w:val="24"/>
        </w:rPr>
        <w:t xml:space="preserve">S cieľom určiť potenciálny vplyv možností politiky na podniky sa v posúdení vplyvu zohľadnili tieto kroky: </w:t>
      </w:r>
    </w:p>
    <w:p w14:paraId="0103068F" w14:textId="4AC48A70" w:rsidR="00D422AF" w:rsidRPr="001E47E5" w:rsidRDefault="00D422AF" w:rsidP="001F2E4A">
      <w:pPr>
        <w:pStyle w:val="Odsekzoznamu"/>
        <w:numPr>
          <w:ilvl w:val="0"/>
          <w:numId w:val="17"/>
        </w:numPr>
        <w:spacing w:after="0" w:line="240" w:lineRule="auto"/>
        <w:ind w:left="426" w:right="-28"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určenie subjektov pôsobiacich v súčasných a budúcich odvetviach, pododvetviach a druhoch služieb, ktoré spadajú do rozsahu pôsobnosti NIS</w:t>
      </w:r>
      <w:r w:rsidR="009455D1">
        <w:rPr>
          <w:rFonts w:ascii="Times New Roman" w:hAnsi="Times New Roman" w:cs="Times New Roman"/>
          <w:noProof/>
          <w:sz w:val="24"/>
          <w:szCs w:val="24"/>
        </w:rPr>
        <w:t>;</w:t>
      </w:r>
      <w:r w:rsidRPr="001E47E5">
        <w:rPr>
          <w:rFonts w:ascii="Times New Roman" w:hAnsi="Times New Roman" w:cs="Times New Roman"/>
          <w:noProof/>
          <w:sz w:val="24"/>
          <w:szCs w:val="24"/>
        </w:rPr>
        <w:t xml:space="preserve"> </w:t>
      </w:r>
    </w:p>
    <w:p w14:paraId="6C1F4BFA" w14:textId="77777777" w:rsidR="00D422AF" w:rsidRPr="001E47E5" w:rsidRDefault="00D422AF" w:rsidP="001F2E4A">
      <w:pPr>
        <w:pStyle w:val="Odsekzoznamu"/>
        <w:numPr>
          <w:ilvl w:val="0"/>
          <w:numId w:val="17"/>
        </w:numPr>
        <w:spacing w:after="0" w:line="240" w:lineRule="auto"/>
        <w:ind w:left="426" w:right="-28"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 xml:space="preserve">odhad priemerných nákladov vypočítaných ako percento výdavkov na bezpečnosť IKT z výdavkov na IKT a celkových príjmov v jednotlivých odvetviach a ich pravdepodobný vývoj; </w:t>
      </w:r>
    </w:p>
    <w:p w14:paraId="07B2A039" w14:textId="77777777" w:rsidR="00D422AF" w:rsidRPr="001E47E5" w:rsidRDefault="00D422AF" w:rsidP="001F2E4A">
      <w:pPr>
        <w:pStyle w:val="Odsekzoznamu"/>
        <w:numPr>
          <w:ilvl w:val="0"/>
          <w:numId w:val="17"/>
        </w:numPr>
        <w:spacing w:after="0" w:line="240" w:lineRule="auto"/>
        <w:ind w:left="426" w:right="-28"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 xml:space="preserve">odhad nákladov a prínosov na úrovni organizácií. </w:t>
      </w:r>
    </w:p>
    <w:p w14:paraId="65B2337C" w14:textId="71C7855C" w:rsidR="00D422AF" w:rsidRPr="001E47E5" w:rsidRDefault="00D422AF" w:rsidP="00D422AF">
      <w:pPr>
        <w:spacing w:before="120" w:after="120"/>
        <w:ind w:right="-29"/>
        <w:jc w:val="both"/>
        <w:rPr>
          <w:rFonts w:ascii="Times New Roman" w:hAnsi="Times New Roman" w:cs="Times New Roman"/>
          <w:noProof/>
          <w:sz w:val="24"/>
          <w:szCs w:val="24"/>
        </w:rPr>
      </w:pPr>
      <w:r w:rsidRPr="001E47E5">
        <w:rPr>
          <w:rFonts w:ascii="Times New Roman" w:hAnsi="Times New Roman" w:cs="Times New Roman"/>
          <w:noProof/>
          <w:sz w:val="24"/>
          <w:szCs w:val="24"/>
        </w:rPr>
        <w:t>Ako sa zdôrazňuje v správe IPACSO, hlavným cieľom investícií do kybernetickej bezpečnosti je znížiť riziko narušenia bezpečnosti a zároveň znížiť variabilitu potenciálnych strát z kybernetickej kriminality. V tejto súvislosti majú obmedzené dostupné informácie o odhadovaných nákladoch a</w:t>
      </w:r>
      <w:r w:rsidR="00A5564C">
        <w:rPr>
          <w:rFonts w:ascii="Times New Roman" w:hAnsi="Times New Roman" w:cs="Times New Roman"/>
          <w:noProof/>
          <w:sz w:val="24"/>
          <w:szCs w:val="24"/>
        </w:rPr>
        <w:t> </w:t>
      </w:r>
      <w:r w:rsidRPr="001E47E5">
        <w:rPr>
          <w:rFonts w:ascii="Times New Roman" w:hAnsi="Times New Roman" w:cs="Times New Roman"/>
          <w:noProof/>
          <w:sz w:val="24"/>
          <w:szCs w:val="24"/>
        </w:rPr>
        <w:t xml:space="preserve">prínosoch, kompromisoch a rozpočtových obmedzeniach často negatívny vplyv na rozhodnutie </w:t>
      </w:r>
      <w:r w:rsidRPr="001E47E5">
        <w:rPr>
          <w:rFonts w:ascii="Times New Roman" w:hAnsi="Times New Roman" w:cs="Times New Roman"/>
          <w:noProof/>
          <w:sz w:val="24"/>
          <w:szCs w:val="24"/>
        </w:rPr>
        <w:lastRenderedPageBreak/>
        <w:t>investovať viac na úrovni organizácie. Literatúra zároveň ukázala, že investície do kybernetickej bezpečnosti majú v porovnaní s inými opatreniami, ktoré zlepšujú výnosy, predovšetkým charakter úspory nákladov.  Výskum naznačil, že spoločnosti sa v oblasti kybernetickej bezpečnosti často spoliehajú skôr na reaktívne investičné stratégie než na proaktívne, keďže je často efektívnejšie spoliehať sa na osvedčené existujúce technológie a byť schopný rýchlo implementovať opravy a</w:t>
      </w:r>
      <w:r w:rsidR="00A5564C">
        <w:rPr>
          <w:rFonts w:ascii="Times New Roman" w:hAnsi="Times New Roman" w:cs="Times New Roman"/>
          <w:noProof/>
          <w:sz w:val="24"/>
          <w:szCs w:val="24"/>
        </w:rPr>
        <w:t> </w:t>
      </w:r>
      <w:r w:rsidRPr="001E47E5">
        <w:rPr>
          <w:rFonts w:ascii="Times New Roman" w:hAnsi="Times New Roman" w:cs="Times New Roman"/>
          <w:noProof/>
          <w:sz w:val="24"/>
          <w:szCs w:val="24"/>
        </w:rPr>
        <w:t xml:space="preserve">posilniť bezpečnosť po tom, ako došlo k narušeniu. </w:t>
      </w:r>
    </w:p>
    <w:p w14:paraId="006E01E1" w14:textId="77777777" w:rsidR="00D422AF" w:rsidRPr="001E47E5" w:rsidRDefault="00D422AF" w:rsidP="00D422AF">
      <w:pPr>
        <w:spacing w:before="120" w:after="120"/>
        <w:ind w:right="-29"/>
        <w:jc w:val="both"/>
        <w:rPr>
          <w:rFonts w:ascii="Times New Roman" w:hAnsi="Times New Roman" w:cs="Times New Roman"/>
          <w:noProof/>
          <w:sz w:val="24"/>
          <w:szCs w:val="24"/>
        </w:rPr>
      </w:pPr>
      <w:r w:rsidRPr="001E47E5">
        <w:rPr>
          <w:rFonts w:ascii="Times New Roman" w:hAnsi="Times New Roman" w:cs="Times New Roman"/>
          <w:noProof/>
          <w:sz w:val="24"/>
          <w:szCs w:val="24"/>
        </w:rPr>
        <w:t>Typické náklady a prínosy v oblasti kybernetickej bezpečnosti sú nasledovné:</w:t>
      </w:r>
    </w:p>
    <w:p w14:paraId="174AC273" w14:textId="2033519A" w:rsidR="00D422AF" w:rsidRPr="001E47E5" w:rsidRDefault="00D422AF" w:rsidP="00D422AF">
      <w:pPr>
        <w:pStyle w:val="Odsekzoznamu"/>
        <w:numPr>
          <w:ilvl w:val="0"/>
          <w:numId w:val="18"/>
        </w:numPr>
        <w:spacing w:before="120" w:after="120" w:line="240" w:lineRule="auto"/>
        <w:ind w:left="426" w:right="-29"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Náklady: personálne náklady (napr. zriadenie nových interných tímov), náklady na nákup</w:t>
      </w:r>
      <w:r w:rsidR="00A5564C">
        <w:rPr>
          <w:rFonts w:ascii="Times New Roman" w:hAnsi="Times New Roman" w:cs="Times New Roman"/>
          <w:noProof/>
          <w:sz w:val="24"/>
          <w:szCs w:val="24"/>
        </w:rPr>
        <w:t xml:space="preserve"> tovarov a služieb</w:t>
      </w:r>
      <w:r w:rsidRPr="001E47E5">
        <w:rPr>
          <w:rFonts w:ascii="Times New Roman" w:hAnsi="Times New Roman" w:cs="Times New Roman"/>
          <w:noProof/>
          <w:sz w:val="24"/>
          <w:szCs w:val="24"/>
        </w:rPr>
        <w:t xml:space="preserve"> (hardvér, softvér, poradenské služby), administratívne náklady, náklady na</w:t>
      </w:r>
      <w:r w:rsidR="00A5564C">
        <w:rPr>
          <w:rFonts w:ascii="Times New Roman" w:hAnsi="Times New Roman" w:cs="Times New Roman"/>
          <w:noProof/>
          <w:sz w:val="24"/>
          <w:szCs w:val="24"/>
        </w:rPr>
        <w:t> </w:t>
      </w:r>
      <w:r w:rsidRPr="001E47E5">
        <w:rPr>
          <w:rFonts w:ascii="Times New Roman" w:hAnsi="Times New Roman" w:cs="Times New Roman"/>
          <w:noProof/>
          <w:sz w:val="24"/>
          <w:szCs w:val="24"/>
        </w:rPr>
        <w:t>ušlé príležitosti, interný výskum a vývoj.</w:t>
      </w:r>
    </w:p>
    <w:p w14:paraId="2A12619D" w14:textId="77777777" w:rsidR="00D422AF" w:rsidRPr="001E47E5" w:rsidRDefault="00D422AF" w:rsidP="00D422AF">
      <w:pPr>
        <w:pStyle w:val="Odsekzoznamu"/>
        <w:numPr>
          <w:ilvl w:val="0"/>
          <w:numId w:val="18"/>
        </w:numPr>
        <w:spacing w:before="120" w:after="120" w:line="240" w:lineRule="auto"/>
        <w:ind w:left="426" w:right="-29"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Prínosy: zníženie počtu bezpečnostných incidentov a strát z počítačovej kriminality; zníženie nákladov na zodpovednosť za narušenie; zvýšenie dôvery zákazníkov; zvýšenie reputácie spoločnosti; ochrana pred nekalou konkurenciou (priemyselná špionáž); zníženie počtu nespokojných zákazníkov, ktorí menia dodávateľa, zvýšenie súladu s predpismi.</w:t>
      </w:r>
    </w:p>
    <w:p w14:paraId="0FD299D2" w14:textId="61F8B729" w:rsidR="00D422AF" w:rsidRPr="001E47E5" w:rsidRDefault="00D422AF" w:rsidP="00D422AF">
      <w:pPr>
        <w:widowControl w:val="0"/>
        <w:spacing w:before="120" w:after="120"/>
        <w:jc w:val="both"/>
        <w:rPr>
          <w:rFonts w:ascii="Times New Roman" w:hAnsi="Times New Roman" w:cs="Times New Roman"/>
          <w:b/>
          <w:bCs/>
          <w:noProof/>
          <w:sz w:val="24"/>
          <w:szCs w:val="24"/>
        </w:rPr>
      </w:pPr>
      <w:r w:rsidRPr="001E47E5">
        <w:rPr>
          <w:rFonts w:ascii="Times New Roman" w:hAnsi="Times New Roman" w:cs="Times New Roman"/>
          <w:b/>
          <w:bCs/>
          <w:noProof/>
          <w:sz w:val="24"/>
          <w:szCs w:val="24"/>
        </w:rPr>
        <w:t xml:space="preserve">Neexistujú žiadne porovnateľné ekonomické údaje na meranie skutočného vplyvu smernice </w:t>
      </w:r>
      <w:r w:rsidR="009544BD">
        <w:rPr>
          <w:rFonts w:ascii="Times New Roman" w:hAnsi="Times New Roman" w:cs="Times New Roman"/>
          <w:b/>
          <w:bCs/>
          <w:noProof/>
          <w:sz w:val="24"/>
          <w:szCs w:val="24"/>
        </w:rPr>
        <w:t>NIS 2</w:t>
      </w:r>
      <w:r w:rsidRPr="001E47E5">
        <w:rPr>
          <w:rFonts w:ascii="Times New Roman" w:hAnsi="Times New Roman" w:cs="Times New Roman"/>
          <w:b/>
          <w:bCs/>
          <w:noProof/>
          <w:sz w:val="24"/>
          <w:szCs w:val="24"/>
        </w:rPr>
        <w:t xml:space="preserve"> na náklady a prínosy spoločností pôsobiacich v odvetviach a pododvetviach alebo poskytujúcich služby v rámci rozsahu pôsobnosti </w:t>
      </w:r>
      <w:r w:rsidR="009544BD">
        <w:rPr>
          <w:rFonts w:ascii="Times New Roman" w:hAnsi="Times New Roman" w:cs="Times New Roman"/>
          <w:b/>
          <w:bCs/>
          <w:noProof/>
          <w:sz w:val="24"/>
          <w:szCs w:val="24"/>
        </w:rPr>
        <w:t>NIS 2</w:t>
      </w:r>
      <w:r w:rsidRPr="001E47E5">
        <w:rPr>
          <w:rFonts w:ascii="Times New Roman" w:hAnsi="Times New Roman" w:cs="Times New Roman"/>
          <w:b/>
          <w:bCs/>
          <w:noProof/>
          <w:sz w:val="24"/>
          <w:szCs w:val="24"/>
        </w:rPr>
        <w:t xml:space="preserve">. Vzhľadom na tieto nedostatky by sa analýzy hospodárskeho vplyvu a efektívnosti v rámci všetkých možností politiky vrátane základného scenára odvolávali na všeobecne uznávané kvalitatívne ukazovatele na posúdenie nákladov a prínosov rôznych opatrení v oblasti kybernetickej bezpečnosti v súlade s vyššie opísanými zásadami, kvantitatívne odhady alebo predpoklady a informácie získané prostredníctvom návštev krajín v rámci preskúmania </w:t>
      </w:r>
      <w:r w:rsidR="009544BD">
        <w:rPr>
          <w:rFonts w:ascii="Times New Roman" w:hAnsi="Times New Roman" w:cs="Times New Roman"/>
          <w:b/>
          <w:bCs/>
          <w:noProof/>
          <w:sz w:val="24"/>
          <w:szCs w:val="24"/>
        </w:rPr>
        <w:t>NIS 2</w:t>
      </w:r>
      <w:r w:rsidRPr="001E47E5">
        <w:rPr>
          <w:rFonts w:ascii="Times New Roman" w:hAnsi="Times New Roman" w:cs="Times New Roman"/>
          <w:b/>
          <w:bCs/>
          <w:noProof/>
          <w:sz w:val="24"/>
          <w:szCs w:val="24"/>
        </w:rPr>
        <w:t xml:space="preserve"> alebo konzultácií, ktoré sa v</w:t>
      </w:r>
      <w:r w:rsidR="00D342C6">
        <w:rPr>
          <w:rFonts w:ascii="Times New Roman" w:hAnsi="Times New Roman" w:cs="Times New Roman"/>
          <w:b/>
          <w:bCs/>
          <w:noProof/>
          <w:sz w:val="24"/>
          <w:szCs w:val="24"/>
        </w:rPr>
        <w:t> </w:t>
      </w:r>
      <w:r w:rsidRPr="001E47E5">
        <w:rPr>
          <w:rFonts w:ascii="Times New Roman" w:hAnsi="Times New Roman" w:cs="Times New Roman"/>
          <w:b/>
          <w:bCs/>
          <w:noProof/>
          <w:sz w:val="24"/>
          <w:szCs w:val="24"/>
        </w:rPr>
        <w:t xml:space="preserve">tomto procese uskutočnili s príslušnými zainteresovanými stranami. </w:t>
      </w:r>
    </w:p>
    <w:p w14:paraId="5ADCF3DC" w14:textId="136717CB" w:rsidR="00E812C3" w:rsidRPr="001E47E5" w:rsidRDefault="00E812C3" w:rsidP="001F2E4A">
      <w:pPr>
        <w:widowControl w:val="0"/>
        <w:spacing w:before="120" w:after="120"/>
        <w:jc w:val="both"/>
        <w:rPr>
          <w:rFonts w:ascii="Times New Roman" w:hAnsi="Times New Roman" w:cs="Times New Roman"/>
          <w:bCs/>
          <w:iCs/>
          <w:noProof/>
          <w:sz w:val="24"/>
          <w:szCs w:val="24"/>
        </w:rPr>
      </w:pPr>
      <w:r w:rsidRPr="001E47E5">
        <w:rPr>
          <w:rFonts w:ascii="Times New Roman" w:hAnsi="Times New Roman" w:cs="Times New Roman"/>
          <w:b/>
          <w:bCs/>
          <w:noProof/>
          <w:sz w:val="24"/>
          <w:szCs w:val="24"/>
        </w:rPr>
        <w:t xml:space="preserve">Vzhľadom na túto skutočnosť je možné vplyvy len odhadnúť. </w:t>
      </w:r>
      <w:r w:rsidRPr="001E47E5">
        <w:rPr>
          <w:rFonts w:ascii="Times New Roman" w:hAnsi="Times New Roman" w:cs="Times New Roman"/>
          <w:bCs/>
          <w:iCs/>
          <w:noProof/>
          <w:sz w:val="24"/>
          <w:szCs w:val="24"/>
        </w:rPr>
        <w:t xml:space="preserve">Implementáciou smernice </w:t>
      </w:r>
      <w:r w:rsidR="009544BD">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xml:space="preserve"> do praxe podnikom v rámci nových sektorov, pododvetví a druhov služieb vznikajú nové náklady na dodržiavanie </w:t>
      </w:r>
      <w:r w:rsidR="00CA64E4">
        <w:rPr>
          <w:rFonts w:ascii="Times New Roman" w:hAnsi="Times New Roman" w:cs="Times New Roman"/>
          <w:bCs/>
          <w:iCs/>
          <w:noProof/>
          <w:sz w:val="24"/>
          <w:szCs w:val="24"/>
        </w:rPr>
        <w:t>povinností</w:t>
      </w:r>
      <w:r w:rsidRPr="001E47E5">
        <w:rPr>
          <w:rFonts w:ascii="Times New Roman" w:hAnsi="Times New Roman" w:cs="Times New Roman"/>
          <w:bCs/>
          <w:iCs/>
          <w:noProof/>
          <w:sz w:val="24"/>
          <w:szCs w:val="24"/>
        </w:rPr>
        <w:t xml:space="preserve"> vyplývajúc</w:t>
      </w:r>
      <w:r w:rsidR="00CA64E4">
        <w:rPr>
          <w:rFonts w:ascii="Times New Roman" w:hAnsi="Times New Roman" w:cs="Times New Roman"/>
          <w:bCs/>
          <w:iCs/>
          <w:noProof/>
          <w:sz w:val="24"/>
          <w:szCs w:val="24"/>
        </w:rPr>
        <w:t>ich</w:t>
      </w:r>
      <w:r w:rsidRPr="001E47E5">
        <w:rPr>
          <w:rFonts w:ascii="Times New Roman" w:hAnsi="Times New Roman" w:cs="Times New Roman"/>
          <w:bCs/>
          <w:iCs/>
          <w:noProof/>
          <w:sz w:val="24"/>
          <w:szCs w:val="24"/>
        </w:rPr>
        <w:t xml:space="preserve"> z legislatívy. Na druhej strane väčšina prevádzkovateľov a poskytovateľov služieb dodržiava medzinárodné normy, pokiaľ ide o bezpečnostné požiadavky. Preto je pomerne ťažké oddeliť vplyv smernice </w:t>
      </w:r>
      <w:r w:rsidR="009544BD">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xml:space="preserve"> na výdavky na IKT na úrovni organizácií od</w:t>
      </w:r>
      <w:r w:rsidR="00D342C6">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celkového vplyvu vývoja medzinárodnej bezpečnosti. Nové bezpečnostné požiadavky v rámci smernice </w:t>
      </w:r>
      <w:r w:rsidR="009544BD">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xml:space="preserve"> boli založené na riadení rizík a do veľkej miery by sa riadili existujúcimi medzinárodnými normami a postupmi väčšiny členských štátov. Okrem toho sa zjednodušili povinnosti týkajúce sa oznamovania incidentov, aby sa zabezpečila väčšia zrozumiteľnosť obsahu, vzoru a času predloženia, čím sa znížila dodatočná administratívna záťaž pre podniky.</w:t>
      </w:r>
      <w:r w:rsidR="001F2E4A" w:rsidRPr="001E47E5">
        <w:rPr>
          <w:rFonts w:ascii="Times New Roman" w:hAnsi="Times New Roman" w:cs="Times New Roman"/>
          <w:bCs/>
          <w:iCs/>
          <w:noProof/>
          <w:sz w:val="24"/>
          <w:szCs w:val="24"/>
        </w:rPr>
        <w:t xml:space="preserve"> </w:t>
      </w:r>
      <w:r w:rsidRPr="001E47E5">
        <w:rPr>
          <w:rFonts w:ascii="Times New Roman" w:hAnsi="Times New Roman" w:cs="Times New Roman"/>
          <w:bCs/>
          <w:iCs/>
          <w:noProof/>
          <w:sz w:val="24"/>
          <w:szCs w:val="24"/>
        </w:rPr>
        <w:t>Na základe údajov E</w:t>
      </w:r>
      <w:r w:rsidR="00D342C6">
        <w:rPr>
          <w:rFonts w:ascii="Times New Roman" w:hAnsi="Times New Roman" w:cs="Times New Roman"/>
          <w:bCs/>
          <w:iCs/>
          <w:noProof/>
          <w:sz w:val="24"/>
          <w:szCs w:val="24"/>
        </w:rPr>
        <w:t>urópskej komisie</w:t>
      </w:r>
      <w:r w:rsidRPr="001E47E5">
        <w:rPr>
          <w:rFonts w:ascii="Times New Roman" w:hAnsi="Times New Roman" w:cs="Times New Roman"/>
          <w:bCs/>
          <w:iCs/>
          <w:noProof/>
          <w:sz w:val="24"/>
          <w:szCs w:val="24"/>
        </w:rPr>
        <w:t xml:space="preserve"> sa predpokladá, že v strednodobom horizonte (tri až štyri roky) by nové sektory, ktoré sa majú pridať do rozsahu pôsobnosti NIS, </w:t>
      </w:r>
      <w:r w:rsidR="007D022C" w:rsidRPr="001E47E5">
        <w:rPr>
          <w:rFonts w:ascii="Times New Roman" w:hAnsi="Times New Roman" w:cs="Times New Roman"/>
          <w:bCs/>
          <w:iCs/>
          <w:noProof/>
          <w:sz w:val="24"/>
          <w:szCs w:val="24"/>
        </w:rPr>
        <w:t>za</w:t>
      </w:r>
      <w:r w:rsidRPr="001E47E5">
        <w:rPr>
          <w:rFonts w:ascii="Times New Roman" w:hAnsi="Times New Roman" w:cs="Times New Roman"/>
          <w:bCs/>
          <w:iCs/>
          <w:noProof/>
          <w:sz w:val="24"/>
          <w:szCs w:val="24"/>
        </w:rPr>
        <w:t>znamenali približne 22 % nárast ich výdavkov na</w:t>
      </w:r>
      <w:r w:rsidR="00D342C6">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bezpečnosť IKT. K takémuto nárastu však prirodzene prispe</w:t>
      </w:r>
      <w:r w:rsidR="001F2E4A" w:rsidRPr="001E47E5">
        <w:rPr>
          <w:rFonts w:ascii="Times New Roman" w:hAnsi="Times New Roman" w:cs="Times New Roman"/>
          <w:bCs/>
          <w:iCs/>
          <w:noProof/>
          <w:sz w:val="24"/>
          <w:szCs w:val="24"/>
        </w:rPr>
        <w:t>je</w:t>
      </w:r>
      <w:r w:rsidRPr="001E47E5">
        <w:rPr>
          <w:rFonts w:ascii="Times New Roman" w:hAnsi="Times New Roman" w:cs="Times New Roman"/>
          <w:bCs/>
          <w:iCs/>
          <w:noProof/>
          <w:sz w:val="24"/>
          <w:szCs w:val="24"/>
        </w:rPr>
        <w:t xml:space="preserve"> mnoho ďalších faktorov, ako napríklad vývoj technológií a prostredia hrozieb, GDPR a ďalšie regulačné povinnosti, účinky konkrétnych incidentov, ktoré sa môžu medzitým vyskytnúť, alebo veľkých kríz, úroveň informovanosti, úroveň digitalizácie atď. </w:t>
      </w:r>
    </w:p>
    <w:p w14:paraId="69841683" w14:textId="53722F23" w:rsidR="00E812C3" w:rsidRPr="001E47E5" w:rsidRDefault="00E812C3" w:rsidP="00E812C3">
      <w:pPr>
        <w:spacing w:before="120" w:after="120"/>
        <w:ind w:right="-29"/>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Hlavné náklady, ktoré spoločnostiam vznikajú v súvislosti s rámcom </w:t>
      </w:r>
      <w:r w:rsidR="009544BD">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sú náklady na</w:t>
      </w:r>
      <w:r w:rsidR="004D6EE7">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dodržiavanie predpisov, najmä v súvislosti s implementáciou bezpečnostných požiadaviek (t. j. </w:t>
      </w:r>
      <w:r w:rsidRPr="001E47E5">
        <w:rPr>
          <w:rFonts w:ascii="Times New Roman" w:hAnsi="Times New Roman" w:cs="Times New Roman"/>
          <w:bCs/>
          <w:iCs/>
          <w:noProof/>
          <w:sz w:val="24"/>
          <w:szCs w:val="24"/>
        </w:rPr>
        <w:lastRenderedPageBreak/>
        <w:t>povinnosti riadenia rizík), oznamovacích povinností (t. j. povinnosti hlásenia incidentov) a</w:t>
      </w:r>
      <w:r w:rsidR="004D6EE7">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 uplatňovania opatrení dohľadu (t. j. dokumentovanie súladu prostredníctvom audítorských správ, výsledkov testov, skenovania atď.).</w:t>
      </w:r>
      <w:r w:rsidRPr="001E47E5">
        <w:rPr>
          <w:rStyle w:val="Odkaznapoznmkupodiarou"/>
          <w:rFonts w:ascii="Times New Roman" w:hAnsi="Times New Roman" w:cs="Times New Roman"/>
          <w:bCs/>
          <w:iCs/>
          <w:noProof/>
          <w:sz w:val="24"/>
          <w:szCs w:val="24"/>
        </w:rPr>
        <w:footnoteReference w:id="4"/>
      </w:r>
      <w:r w:rsidRPr="001E47E5">
        <w:rPr>
          <w:rFonts w:ascii="Times New Roman" w:hAnsi="Times New Roman" w:cs="Times New Roman"/>
          <w:bCs/>
          <w:iCs/>
          <w:noProof/>
          <w:sz w:val="24"/>
          <w:szCs w:val="24"/>
        </w:rPr>
        <w:t xml:space="preserve"> Na účely zváženia nákladov a prínosov sa v revíznej štúdii NIS vypracoval model vychádzajúci z anualizovaných nákladov na kybernetickú kriminalitu, ktorý sa použil ako náhradný ukazovateľ nákladov na kybernetický bezpečnostný incident. Tento údaj sa vzťahoval na odhad Eurostatu, podľa ktorého sa v roku 2019 vyskytlo približne 450 kybernetických bezpečnostných incidentov týkajúcich sa kritických infraštruktúr, ako sú zdravotníctvo, financie a</w:t>
      </w:r>
      <w:r w:rsidR="004D6EE7">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energetika. Podľa modelovania sa vďaka zavedeniu </w:t>
      </w:r>
      <w:r w:rsidR="009544BD">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xml:space="preserve"> v desaťročnom horizonte znížia náklady na incidenty v oblasti kybernetickej bezpečnosti o 11,3 miliardy EUR.</w:t>
      </w:r>
    </w:p>
    <w:p w14:paraId="15F29D3F" w14:textId="77777777" w:rsidR="002228DF" w:rsidRPr="001E47E5" w:rsidRDefault="001F2E4A" w:rsidP="002228DF">
      <w:pPr>
        <w:widowControl w:val="0"/>
        <w:spacing w:before="120" w:after="120"/>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Prehľad hlavných prínosov a nákladov poskytujú nasledovné tabuľky.</w:t>
      </w:r>
      <w:r w:rsidR="002228DF" w:rsidRPr="001E47E5">
        <w:rPr>
          <w:rFonts w:ascii="Times New Roman" w:hAnsi="Times New Roman" w:cs="Times New Roman"/>
          <w:bCs/>
          <w:iCs/>
          <w:noProof/>
          <w:sz w:val="24"/>
          <w:szCs w:val="24"/>
        </w:rPr>
        <w:t xml:space="preserve"> </w:t>
      </w:r>
    </w:p>
    <w:p w14:paraId="215B7874" w14:textId="794589E7" w:rsidR="001A4738" w:rsidRPr="001E47E5" w:rsidRDefault="001A4738" w:rsidP="002228DF">
      <w:pPr>
        <w:widowControl w:val="0"/>
        <w:spacing w:before="120" w:after="120"/>
        <w:jc w:val="both"/>
        <w:rPr>
          <w:rFonts w:ascii="Arial" w:hAnsi="Arial" w:cs="Arial"/>
          <w:i/>
          <w:noProof/>
          <w:highlight w:val="yellow"/>
        </w:rPr>
      </w:pPr>
      <w:r w:rsidRPr="001E47E5">
        <w:rPr>
          <w:rFonts w:ascii="Times New Roman" w:hAnsi="Times New Roman" w:cs="Times New Roman"/>
          <w:b/>
          <w:bCs/>
          <w:noProof/>
          <w:sz w:val="24"/>
          <w:szCs w:val="24"/>
        </w:rPr>
        <w:t>Prehľad nákladov a prínosov pre podniky na základe posúdenia vplyvov vykonaného E</w:t>
      </w:r>
      <w:r w:rsidR="004D6EE7">
        <w:rPr>
          <w:rFonts w:ascii="Times New Roman" w:hAnsi="Times New Roman" w:cs="Times New Roman"/>
          <w:b/>
          <w:bCs/>
          <w:noProof/>
          <w:sz w:val="24"/>
          <w:szCs w:val="24"/>
        </w:rPr>
        <w:t>urópskou komisiou</w:t>
      </w:r>
    </w:p>
    <w:tbl>
      <w:tblPr>
        <w:tblStyle w:val="CV12"/>
        <w:tblW w:w="9072"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072"/>
      </w:tblGrid>
      <w:tr w:rsidR="001A4738" w:rsidRPr="001E47E5" w14:paraId="31E33B29" w14:textId="77777777" w:rsidTr="001A4738">
        <w:tc>
          <w:tcPr>
            <w:tcW w:w="9072" w:type="dxa"/>
            <w:tcBorders>
              <w:top w:val="double" w:sz="4" w:space="0" w:color="auto"/>
              <w:bottom w:val="single" w:sz="4" w:space="0" w:color="auto"/>
            </w:tcBorders>
            <w:shd w:val="clear" w:color="auto" w:fill="BFBFBF" w:themeFill="background1" w:themeFillShade="BF"/>
          </w:tcPr>
          <w:p w14:paraId="2F21C63B" w14:textId="77777777" w:rsidR="001A4738" w:rsidRPr="001E47E5" w:rsidRDefault="001A4738" w:rsidP="001F2E4A">
            <w:pPr>
              <w:pStyle w:val="P68B1DB1-Normal1"/>
              <w:tabs>
                <w:tab w:val="num" w:pos="425"/>
              </w:tabs>
              <w:jc w:val="both"/>
              <w:rPr>
                <w:rFonts w:ascii="Times New Roman" w:hAnsi="Times New Roman" w:cs="Times New Roman"/>
                <w:i w:val="0"/>
                <w:iCs/>
                <w:szCs w:val="24"/>
                <w:highlight w:val="none"/>
                <w:lang w:val="sk-SK"/>
              </w:rPr>
            </w:pPr>
            <w:r w:rsidRPr="001E47E5">
              <w:rPr>
                <w:rFonts w:ascii="Times New Roman" w:hAnsi="Times New Roman" w:cs="Times New Roman"/>
                <w:i w:val="0"/>
                <w:iCs/>
                <w:szCs w:val="24"/>
                <w:highlight w:val="none"/>
                <w:lang w:val="sk-SK"/>
              </w:rPr>
              <w:t xml:space="preserve">I. Prehľad prínosov </w:t>
            </w:r>
          </w:p>
        </w:tc>
      </w:tr>
      <w:tr w:rsidR="001A4738" w:rsidRPr="001E47E5" w14:paraId="7F10B114" w14:textId="77777777" w:rsidTr="001A4738">
        <w:tc>
          <w:tcPr>
            <w:tcW w:w="9072" w:type="dxa"/>
            <w:tcBorders>
              <w:top w:val="single" w:sz="4" w:space="0" w:color="auto"/>
            </w:tcBorders>
            <w:shd w:val="clear" w:color="auto" w:fill="BFBFBF" w:themeFill="background1" w:themeFillShade="BF"/>
          </w:tcPr>
          <w:p w14:paraId="7561566E" w14:textId="77777777" w:rsidR="001A4738" w:rsidRPr="001E47E5" w:rsidRDefault="001A4738" w:rsidP="001F2E4A">
            <w:pPr>
              <w:pStyle w:val="P68B1DB1-Normal1"/>
              <w:tabs>
                <w:tab w:val="num" w:pos="425"/>
              </w:tabs>
              <w:jc w:val="both"/>
              <w:rPr>
                <w:rFonts w:ascii="Times New Roman" w:hAnsi="Times New Roman" w:cs="Times New Roman"/>
                <w:i w:val="0"/>
                <w:iCs/>
                <w:szCs w:val="24"/>
                <w:highlight w:val="none"/>
                <w:lang w:val="sk-SK"/>
              </w:rPr>
            </w:pPr>
            <w:r w:rsidRPr="001E47E5">
              <w:rPr>
                <w:rFonts w:ascii="Times New Roman" w:hAnsi="Times New Roman" w:cs="Times New Roman"/>
                <w:i w:val="0"/>
                <w:iCs/>
                <w:szCs w:val="24"/>
                <w:highlight w:val="none"/>
                <w:lang w:val="sk-SK"/>
              </w:rPr>
              <w:t>Popis</w:t>
            </w:r>
          </w:p>
        </w:tc>
      </w:tr>
      <w:tr w:rsidR="001A4738" w:rsidRPr="001E47E5" w14:paraId="467C8285" w14:textId="77777777" w:rsidTr="001A4738">
        <w:tc>
          <w:tcPr>
            <w:tcW w:w="9072" w:type="dxa"/>
            <w:tcBorders>
              <w:top w:val="double" w:sz="4" w:space="0" w:color="auto"/>
            </w:tcBorders>
          </w:tcPr>
          <w:p w14:paraId="204EB327" w14:textId="6644ED85"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Zníženie administratívnej záťaže vyradením procesu identifikácie</w:t>
            </w:r>
          </w:p>
        </w:tc>
      </w:tr>
      <w:tr w:rsidR="001A4738" w:rsidRPr="001E47E5" w14:paraId="3167F979" w14:textId="77777777" w:rsidTr="001A4738">
        <w:tc>
          <w:tcPr>
            <w:tcW w:w="9072" w:type="dxa"/>
            <w:tcBorders>
              <w:top w:val="double" w:sz="4" w:space="0" w:color="auto"/>
              <w:bottom w:val="double" w:sz="4" w:space="0" w:color="auto"/>
            </w:tcBorders>
          </w:tcPr>
          <w:p w14:paraId="692D0CB0" w14:textId="77777777"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Zvýšenie súladu s bezpečnostnými požiadavkami </w:t>
            </w:r>
          </w:p>
        </w:tc>
      </w:tr>
      <w:tr w:rsidR="001A4738" w:rsidRPr="001E47E5" w14:paraId="0348B85D" w14:textId="77777777" w:rsidTr="001A4738">
        <w:tc>
          <w:tcPr>
            <w:tcW w:w="9072" w:type="dxa"/>
            <w:tcBorders>
              <w:top w:val="double" w:sz="4" w:space="0" w:color="auto"/>
              <w:bottom w:val="single" w:sz="4" w:space="0" w:color="auto"/>
            </w:tcBorders>
          </w:tcPr>
          <w:p w14:paraId="7CDA6E2C" w14:textId="5123FE1B"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Jednotné kontaktné miesto pre oznámenia o narušení bezpečnosti vyplývajúce zo smernice </w:t>
            </w:r>
            <w:r w:rsidR="009544BD">
              <w:rPr>
                <w:rFonts w:ascii="Times New Roman" w:hAnsi="Times New Roman" w:cs="Times New Roman"/>
                <w:szCs w:val="24"/>
                <w:highlight w:val="none"/>
                <w:lang w:val="sk-SK"/>
              </w:rPr>
              <w:t>NIS 2</w:t>
            </w:r>
            <w:r w:rsidRPr="001E47E5">
              <w:rPr>
                <w:rFonts w:ascii="Times New Roman" w:hAnsi="Times New Roman" w:cs="Times New Roman"/>
                <w:szCs w:val="24"/>
                <w:highlight w:val="none"/>
                <w:lang w:val="sk-SK"/>
              </w:rPr>
              <w:t>, všeobecného nariadenia o ochrane údajov a smernice o súkromí a elektronických komunikáciách, čím sa znižuje administratívna záťaž vyplývajúca z ohlasovacích povinností</w:t>
            </w:r>
          </w:p>
        </w:tc>
      </w:tr>
      <w:tr w:rsidR="001A4738" w:rsidRPr="001E47E5" w14:paraId="12562663" w14:textId="77777777" w:rsidTr="001A4738">
        <w:tc>
          <w:tcPr>
            <w:tcW w:w="9072" w:type="dxa"/>
            <w:tcBorders>
              <w:top w:val="single" w:sz="4" w:space="0" w:color="auto"/>
              <w:bottom w:val="single" w:sz="4" w:space="0" w:color="auto"/>
            </w:tcBorders>
          </w:tcPr>
          <w:p w14:paraId="17D57139" w14:textId="37872361" w:rsidR="001A4738" w:rsidRPr="001E47E5" w:rsidRDefault="001A4738" w:rsidP="001F2E4A">
            <w:pPr>
              <w:pStyle w:val="P68B1DB1-Normal2"/>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Zníženie strát z počítačovej kriminality (strednodobý</w:t>
            </w:r>
            <w:r w:rsidR="00122F04">
              <w:rPr>
                <w:rFonts w:ascii="Times New Roman" w:hAnsi="Times New Roman" w:cs="Times New Roman"/>
                <w:szCs w:val="24"/>
                <w:highlight w:val="none"/>
                <w:lang w:val="sk-SK"/>
              </w:rPr>
              <w:t>m</w:t>
            </w:r>
            <w:r w:rsidRPr="001E47E5">
              <w:rPr>
                <w:rFonts w:ascii="Times New Roman" w:hAnsi="Times New Roman" w:cs="Times New Roman"/>
                <w:szCs w:val="24"/>
                <w:highlight w:val="none"/>
                <w:lang w:val="sk-SK"/>
              </w:rPr>
              <w:t>/dlhodobý</w:t>
            </w:r>
            <w:r w:rsidR="00122F04">
              <w:rPr>
                <w:rFonts w:ascii="Times New Roman" w:hAnsi="Times New Roman" w:cs="Times New Roman"/>
                <w:szCs w:val="24"/>
                <w:highlight w:val="none"/>
                <w:lang w:val="sk-SK"/>
              </w:rPr>
              <w:t>m</w:t>
            </w:r>
            <w:r w:rsidRPr="001E47E5">
              <w:rPr>
                <w:rFonts w:ascii="Times New Roman" w:hAnsi="Times New Roman" w:cs="Times New Roman"/>
                <w:szCs w:val="24"/>
                <w:highlight w:val="none"/>
                <w:lang w:val="sk-SK"/>
              </w:rPr>
              <w:t xml:space="preserve"> uplatňovaním vyššej úrovne bezpečnostných požiadaviek) Používanie vyššej úrovne bezpečnostných požiadaviek a najmä plne nasadenej bezpečnostnej automatizácie (napr. používanie pokročilých technológií, umelej inteligencie, automatizovaných skenovacích nástrojov atď.) pomáha spoločnostiam znížiť životný cyklus porušenia o 74 dní v porovnaní so spoločnosťami bez nasadenia bezpečnostnej</w:t>
            </w:r>
            <w:r w:rsidR="002A52A5">
              <w:rPr>
                <w:rFonts w:ascii="Times New Roman" w:hAnsi="Times New Roman" w:cs="Times New Roman"/>
                <w:szCs w:val="24"/>
                <w:highlight w:val="none"/>
                <w:lang w:val="sk-SK"/>
              </w:rPr>
              <w:t xml:space="preserve"> automatizácie z 308 na 234 dní</w:t>
            </w:r>
          </w:p>
        </w:tc>
      </w:tr>
      <w:tr w:rsidR="001A4738" w:rsidRPr="001E47E5" w14:paraId="7A6BA413" w14:textId="77777777" w:rsidTr="001A4738">
        <w:tc>
          <w:tcPr>
            <w:tcW w:w="9072" w:type="dxa"/>
            <w:tcBorders>
              <w:top w:val="single" w:sz="4" w:space="0" w:color="auto"/>
              <w:bottom w:val="single" w:sz="4" w:space="0" w:color="auto"/>
            </w:tcBorders>
          </w:tcPr>
          <w:p w14:paraId="1FDA323B" w14:textId="77777777"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Zníženie počtu bezpečnostných incidentov a strát z počítačovej kriminality</w:t>
            </w:r>
          </w:p>
          <w:p w14:paraId="0E0B6ED2" w14:textId="10C5D0C9"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Odhadované zníženie nákladov na kybernetické incidenty o 11,3 miliardy EUR počas 10-ročného obdobia</w:t>
            </w:r>
          </w:p>
        </w:tc>
      </w:tr>
      <w:tr w:rsidR="001A4738" w:rsidRPr="001E47E5" w14:paraId="790F532D" w14:textId="77777777" w:rsidTr="001A4738">
        <w:tc>
          <w:tcPr>
            <w:tcW w:w="9072" w:type="dxa"/>
            <w:tcBorders>
              <w:top w:val="single" w:sz="4" w:space="0" w:color="auto"/>
              <w:bottom w:val="single" w:sz="4" w:space="0" w:color="auto"/>
            </w:tcBorders>
          </w:tcPr>
          <w:p w14:paraId="0E826F6E" w14:textId="77777777"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Zníženie nákladovej zodpovednosti za porušenia</w:t>
            </w:r>
          </w:p>
        </w:tc>
      </w:tr>
      <w:tr w:rsidR="001A4738" w:rsidRPr="001E47E5" w14:paraId="2F096808" w14:textId="77777777" w:rsidTr="001A4738">
        <w:tc>
          <w:tcPr>
            <w:tcW w:w="9072" w:type="dxa"/>
            <w:tcBorders>
              <w:top w:val="single" w:sz="4" w:space="0" w:color="auto"/>
              <w:bottom w:val="single" w:sz="4" w:space="0" w:color="auto"/>
            </w:tcBorders>
          </w:tcPr>
          <w:p w14:paraId="5BF6E519" w14:textId="77777777"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Zvýšenie dôvery zákazníkov</w:t>
            </w:r>
          </w:p>
        </w:tc>
      </w:tr>
      <w:tr w:rsidR="001A4738" w:rsidRPr="001E47E5" w14:paraId="2A3E3797" w14:textId="77777777" w:rsidTr="001A4738">
        <w:tc>
          <w:tcPr>
            <w:tcW w:w="9072" w:type="dxa"/>
            <w:tcBorders>
              <w:top w:val="single" w:sz="4" w:space="0" w:color="auto"/>
              <w:bottom w:val="single" w:sz="4" w:space="0" w:color="auto"/>
            </w:tcBorders>
          </w:tcPr>
          <w:p w14:paraId="16E8B5CD" w14:textId="77777777"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Ochrana pred nekalou hospodárskou súťažou (napr. zabránením priemyselnej špionáži)</w:t>
            </w:r>
          </w:p>
        </w:tc>
      </w:tr>
      <w:tr w:rsidR="001A4738" w:rsidRPr="001E47E5" w14:paraId="7CFBBD97" w14:textId="77777777" w:rsidTr="001A4738">
        <w:tc>
          <w:tcPr>
            <w:tcW w:w="9072" w:type="dxa"/>
            <w:tcBorders>
              <w:top w:val="single" w:sz="4" w:space="0" w:color="auto"/>
              <w:bottom w:val="single" w:sz="4" w:space="0" w:color="auto"/>
            </w:tcBorders>
          </w:tcPr>
          <w:p w14:paraId="2FE7643D" w14:textId="56508176"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Zvýšená a konzistentná úroveň odolnosti na úrovni kľúčových </w:t>
            </w:r>
            <w:r w:rsidR="00D92472">
              <w:rPr>
                <w:rFonts w:ascii="Times New Roman" w:hAnsi="Times New Roman" w:cs="Times New Roman"/>
                <w:szCs w:val="24"/>
                <w:highlight w:val="none"/>
                <w:lang w:val="sk-SK"/>
              </w:rPr>
              <w:t xml:space="preserve">subjektov - </w:t>
            </w:r>
            <w:r w:rsidRPr="001E47E5">
              <w:rPr>
                <w:rFonts w:ascii="Times New Roman" w:hAnsi="Times New Roman" w:cs="Times New Roman"/>
                <w:szCs w:val="24"/>
                <w:highlight w:val="none"/>
                <w:lang w:val="sk-SK"/>
              </w:rPr>
              <w:t>podnikov</w:t>
            </w:r>
          </w:p>
        </w:tc>
      </w:tr>
      <w:tr w:rsidR="001A4738" w:rsidRPr="001E47E5" w14:paraId="5E6AA927" w14:textId="77777777" w:rsidTr="001A4738">
        <w:tc>
          <w:tcPr>
            <w:tcW w:w="9072" w:type="dxa"/>
            <w:tcBorders>
              <w:top w:val="single" w:sz="4" w:space="0" w:color="auto"/>
              <w:bottom w:val="single" w:sz="4" w:space="0" w:color="auto"/>
            </w:tcBorders>
          </w:tcPr>
          <w:p w14:paraId="60A542A3" w14:textId="77777777"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Zlepšenie situačného povedomia</w:t>
            </w:r>
          </w:p>
        </w:tc>
      </w:tr>
      <w:tr w:rsidR="001A4738" w:rsidRPr="001E47E5" w14:paraId="35B152EF" w14:textId="77777777" w:rsidTr="001A4738">
        <w:trPr>
          <w:trHeight w:val="207"/>
        </w:trPr>
        <w:tc>
          <w:tcPr>
            <w:tcW w:w="9072" w:type="dxa"/>
            <w:tcBorders>
              <w:top w:val="single" w:sz="4" w:space="0" w:color="auto"/>
              <w:bottom w:val="double" w:sz="4" w:space="0" w:color="auto"/>
            </w:tcBorders>
          </w:tcPr>
          <w:p w14:paraId="3CE8246B" w14:textId="77777777" w:rsidR="001A4738" w:rsidRPr="001E47E5" w:rsidRDefault="001A4738" w:rsidP="00DE024B">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Zvýšenie operačných spôsobilostí</w:t>
            </w:r>
          </w:p>
        </w:tc>
      </w:tr>
      <w:tr w:rsidR="001A4738" w:rsidRPr="001E47E5" w14:paraId="6DF373D7" w14:textId="77777777" w:rsidTr="001A4738">
        <w:trPr>
          <w:trHeight w:val="14"/>
        </w:trPr>
        <w:tc>
          <w:tcPr>
            <w:tcW w:w="9072" w:type="dxa"/>
            <w:tcBorders>
              <w:top w:val="double" w:sz="4" w:space="0" w:color="auto"/>
            </w:tcBorders>
          </w:tcPr>
          <w:p w14:paraId="4CBB432A"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Lepšia ochrana osobných údajov</w:t>
            </w:r>
          </w:p>
        </w:tc>
      </w:tr>
    </w:tbl>
    <w:p w14:paraId="2FB00454" w14:textId="77777777" w:rsidR="001A4738" w:rsidRPr="001E47E5" w:rsidRDefault="001A4738" w:rsidP="001A4738">
      <w:pPr>
        <w:ind w:right="-964"/>
        <w:jc w:val="both"/>
        <w:rPr>
          <w:rFonts w:ascii="Arial" w:hAnsi="Arial" w:cs="Arial"/>
          <w:i/>
          <w:noProof/>
          <w:highlight w:val="yellow"/>
        </w:rPr>
      </w:pPr>
    </w:p>
    <w:p w14:paraId="4BF6629A" w14:textId="77777777" w:rsidR="001A4738" w:rsidRPr="001E47E5" w:rsidRDefault="001A4738" w:rsidP="001A4738">
      <w:pPr>
        <w:ind w:right="-964"/>
        <w:jc w:val="both"/>
        <w:rPr>
          <w:rFonts w:ascii="Arial" w:hAnsi="Arial" w:cs="Arial"/>
          <w:i/>
          <w:noProof/>
          <w:highlight w:val="yellow"/>
        </w:rPr>
        <w:sectPr w:rsidR="001A4738" w:rsidRPr="001E47E5" w:rsidSect="001A4738">
          <w:pgSz w:w="12240" w:h="15840"/>
          <w:pgMar w:top="1417" w:right="1417" w:bottom="1417" w:left="1417" w:header="708" w:footer="708" w:gutter="0"/>
          <w:cols w:space="708"/>
          <w:docGrid w:linePitch="360"/>
        </w:sectPr>
      </w:pPr>
    </w:p>
    <w:tbl>
      <w:tblPr>
        <w:tblStyle w:val="CV11"/>
        <w:tblW w:w="13326" w:type="dxa"/>
        <w:tblInd w:w="-44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254"/>
        <w:gridCol w:w="992"/>
        <w:gridCol w:w="4678"/>
        <w:gridCol w:w="3402"/>
      </w:tblGrid>
      <w:tr w:rsidR="001A4738" w:rsidRPr="001E47E5" w14:paraId="4328EDBB" w14:textId="77777777" w:rsidTr="001A4738">
        <w:tc>
          <w:tcPr>
            <w:tcW w:w="5246" w:type="dxa"/>
            <w:gridSpan w:val="2"/>
            <w:shd w:val="clear" w:color="auto" w:fill="BFBFBF" w:themeFill="background1" w:themeFillShade="BF"/>
            <w:tcMar>
              <w:top w:w="57" w:type="dxa"/>
              <w:left w:w="57" w:type="dxa"/>
              <w:bottom w:w="57" w:type="dxa"/>
              <w:right w:w="57" w:type="dxa"/>
            </w:tcMar>
          </w:tcPr>
          <w:p w14:paraId="5855950C" w14:textId="77777777" w:rsidR="001A4738" w:rsidRPr="001E47E5" w:rsidRDefault="001A4738" w:rsidP="001F2E4A">
            <w:pPr>
              <w:pStyle w:val="P68B1DB1-Normal1"/>
              <w:tabs>
                <w:tab w:val="num" w:pos="425"/>
              </w:tabs>
              <w:jc w:val="both"/>
              <w:rPr>
                <w:rFonts w:ascii="Times New Roman" w:hAnsi="Times New Roman" w:cs="Times New Roman"/>
                <w:i w:val="0"/>
                <w:iCs/>
                <w:szCs w:val="24"/>
                <w:highlight w:val="none"/>
                <w:lang w:val="sk-SK"/>
              </w:rPr>
            </w:pPr>
            <w:r w:rsidRPr="001E47E5">
              <w:rPr>
                <w:rFonts w:ascii="Times New Roman" w:hAnsi="Times New Roman" w:cs="Times New Roman"/>
                <w:i w:val="0"/>
                <w:iCs/>
                <w:szCs w:val="24"/>
                <w:highlight w:val="none"/>
                <w:lang w:val="sk-SK"/>
              </w:rPr>
              <w:lastRenderedPageBreak/>
              <w:t xml:space="preserve">II. Prehľad nákladov </w:t>
            </w:r>
          </w:p>
        </w:tc>
        <w:tc>
          <w:tcPr>
            <w:tcW w:w="8080" w:type="dxa"/>
            <w:gridSpan w:val="2"/>
            <w:shd w:val="clear" w:color="auto" w:fill="BFBFBF" w:themeFill="background1" w:themeFillShade="BF"/>
          </w:tcPr>
          <w:p w14:paraId="55AD2E1D" w14:textId="77777777" w:rsidR="001A4738" w:rsidRPr="001E47E5" w:rsidRDefault="001A4738" w:rsidP="001F2E4A">
            <w:pPr>
              <w:pStyle w:val="P68B1DB1-Normal1"/>
              <w:tabs>
                <w:tab w:val="num" w:pos="425"/>
              </w:tabs>
              <w:jc w:val="both"/>
              <w:rPr>
                <w:rFonts w:ascii="Times New Roman" w:hAnsi="Times New Roman" w:cs="Times New Roman"/>
                <w:i w:val="0"/>
                <w:iCs/>
                <w:szCs w:val="24"/>
                <w:highlight w:val="none"/>
                <w:lang w:val="sk-SK"/>
              </w:rPr>
            </w:pPr>
          </w:p>
        </w:tc>
      </w:tr>
      <w:tr w:rsidR="001A4738" w:rsidRPr="001E47E5" w14:paraId="1EEC2191" w14:textId="77777777" w:rsidTr="001F2E4A">
        <w:trPr>
          <w:trHeight w:val="278"/>
        </w:trPr>
        <w:tc>
          <w:tcPr>
            <w:tcW w:w="5246"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14:paraId="1434E4EB" w14:textId="77777777" w:rsidR="001A4738" w:rsidRPr="001E47E5" w:rsidRDefault="001A4738" w:rsidP="001F2E4A">
            <w:pPr>
              <w:tabs>
                <w:tab w:val="num" w:pos="425"/>
              </w:tabs>
              <w:jc w:val="both"/>
              <w:rPr>
                <w:sz w:val="24"/>
                <w:szCs w:val="24"/>
                <w:lang w:val="sk-SK"/>
              </w:rPr>
            </w:pPr>
          </w:p>
        </w:tc>
        <w:tc>
          <w:tcPr>
            <w:tcW w:w="8080" w:type="dxa"/>
            <w:gridSpan w:val="2"/>
            <w:tcMar>
              <w:top w:w="57" w:type="dxa"/>
              <w:left w:w="57" w:type="dxa"/>
              <w:bottom w:w="57" w:type="dxa"/>
              <w:right w:w="57" w:type="dxa"/>
            </w:tcMar>
          </w:tcPr>
          <w:p w14:paraId="21EC7150"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Podniky</w:t>
            </w:r>
          </w:p>
        </w:tc>
      </w:tr>
      <w:tr w:rsidR="001A4738" w:rsidRPr="001E47E5" w14:paraId="12BE8BAF" w14:textId="77777777" w:rsidTr="001A4738">
        <w:tc>
          <w:tcPr>
            <w:tcW w:w="5246"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14:paraId="63D06A1A" w14:textId="77777777" w:rsidR="001A4738" w:rsidRPr="001E47E5" w:rsidRDefault="001A4738" w:rsidP="001F2E4A">
            <w:pPr>
              <w:tabs>
                <w:tab w:val="num" w:pos="425"/>
              </w:tabs>
              <w:jc w:val="both"/>
              <w:rPr>
                <w:sz w:val="24"/>
                <w:szCs w:val="24"/>
                <w:lang w:val="sk-SK"/>
              </w:rPr>
            </w:pPr>
          </w:p>
        </w:tc>
        <w:tc>
          <w:tcPr>
            <w:tcW w:w="4678" w:type="dxa"/>
            <w:tcBorders>
              <w:bottom w:val="double" w:sz="4" w:space="0" w:color="auto"/>
            </w:tcBorders>
            <w:tcMar>
              <w:top w:w="57" w:type="dxa"/>
              <w:left w:w="57" w:type="dxa"/>
              <w:bottom w:w="57" w:type="dxa"/>
              <w:right w:w="57" w:type="dxa"/>
            </w:tcMar>
          </w:tcPr>
          <w:p w14:paraId="13EE6887"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Jednorazové</w:t>
            </w:r>
          </w:p>
        </w:tc>
        <w:tc>
          <w:tcPr>
            <w:tcW w:w="3402" w:type="dxa"/>
            <w:tcBorders>
              <w:bottom w:val="double" w:sz="4" w:space="0" w:color="auto"/>
            </w:tcBorders>
            <w:tcMar>
              <w:top w:w="57" w:type="dxa"/>
              <w:left w:w="57" w:type="dxa"/>
              <w:bottom w:w="57" w:type="dxa"/>
              <w:right w:w="57" w:type="dxa"/>
            </w:tcMar>
          </w:tcPr>
          <w:p w14:paraId="3C2CB35F"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Opakované</w:t>
            </w:r>
          </w:p>
        </w:tc>
      </w:tr>
      <w:tr w:rsidR="001A4738" w:rsidRPr="001E47E5" w14:paraId="625D818B" w14:textId="77777777" w:rsidTr="001A4738">
        <w:trPr>
          <w:trHeight w:val="307"/>
        </w:trPr>
        <w:tc>
          <w:tcPr>
            <w:tcW w:w="4254" w:type="dxa"/>
            <w:tcMar>
              <w:top w:w="57" w:type="dxa"/>
              <w:left w:w="57" w:type="dxa"/>
              <w:bottom w:w="57" w:type="dxa"/>
              <w:right w:w="57" w:type="dxa"/>
            </w:tcMar>
            <w:vAlign w:val="center"/>
          </w:tcPr>
          <w:p w14:paraId="33017EC8" w14:textId="77777777"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a)</w:t>
            </w:r>
          </w:p>
          <w:p w14:paraId="5B69A010" w14:textId="77777777" w:rsidR="001A4738" w:rsidRPr="001E47E5" w:rsidRDefault="001A4738" w:rsidP="001F2E4A">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Rozšírenie rozsahu pôsobnosti NIS (vrátane doplnenia veľkostného stropu)</w:t>
            </w:r>
          </w:p>
        </w:tc>
        <w:tc>
          <w:tcPr>
            <w:tcW w:w="992" w:type="dxa"/>
            <w:tcBorders>
              <w:right w:val="double" w:sz="4" w:space="0" w:color="auto"/>
            </w:tcBorders>
            <w:tcMar>
              <w:top w:w="57" w:type="dxa"/>
              <w:left w:w="57" w:type="dxa"/>
              <w:bottom w:w="57" w:type="dxa"/>
              <w:right w:w="57" w:type="dxa"/>
            </w:tcMar>
            <w:vAlign w:val="center"/>
          </w:tcPr>
          <w:p w14:paraId="7E2E64BE"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12B9DFA7" w14:textId="77777777" w:rsidR="001A4738" w:rsidRPr="00BC225E" w:rsidRDefault="001A4738" w:rsidP="001F2E4A">
            <w:pPr>
              <w:pStyle w:val="P68B1DB1-Normal6"/>
              <w:tabs>
                <w:tab w:val="num" w:pos="425"/>
              </w:tabs>
              <w:jc w:val="both"/>
              <w:rPr>
                <w:rFonts w:ascii="Times New Roman" w:hAnsi="Times New Roman" w:cs="Times New Roman"/>
                <w:i w:val="0"/>
                <w:szCs w:val="24"/>
                <w:highlight w:val="none"/>
                <w:lang w:val="sk-SK"/>
              </w:rPr>
            </w:pPr>
            <w:r w:rsidRPr="00BC225E">
              <w:rPr>
                <w:rFonts w:ascii="Times New Roman" w:hAnsi="Times New Roman" w:cs="Times New Roman"/>
                <w:i w:val="0"/>
                <w:szCs w:val="24"/>
                <w:highlight w:val="none"/>
                <w:lang w:val="sk-SK"/>
              </w:rPr>
              <w:t xml:space="preserve">Priemerné 22 % zvýšenie výdavkov na bezpečnosť IKT v nových odvetviach/službách </w:t>
            </w:r>
          </w:p>
          <w:p w14:paraId="7FC5CC20" w14:textId="77777777" w:rsidR="001A4738" w:rsidRPr="00BC225E" w:rsidRDefault="001A4738" w:rsidP="001F2E4A">
            <w:pPr>
              <w:pStyle w:val="P68B1DB1-Normal6"/>
              <w:tabs>
                <w:tab w:val="num" w:pos="425"/>
              </w:tabs>
              <w:jc w:val="both"/>
              <w:rPr>
                <w:rFonts w:ascii="Times New Roman" w:hAnsi="Times New Roman" w:cs="Times New Roman"/>
                <w:i w:val="0"/>
                <w:szCs w:val="24"/>
                <w:highlight w:val="none"/>
                <w:lang w:val="sk-SK"/>
              </w:rPr>
            </w:pPr>
            <w:r w:rsidRPr="00BC225E">
              <w:rPr>
                <w:rFonts w:ascii="Times New Roman" w:hAnsi="Times New Roman" w:cs="Times New Roman"/>
                <w:i w:val="0"/>
                <w:szCs w:val="24"/>
                <w:highlight w:val="none"/>
                <w:lang w:val="sk-SK"/>
              </w:rPr>
              <w:t>V prípade nových odvetví alebo služieb by sa v prípade stredných podnikov mohlo očakávať zvýšenie výdavkov na IKT o približne 25 %.</w:t>
            </w:r>
          </w:p>
          <w:p w14:paraId="6234EC3F" w14:textId="77777777" w:rsidR="001A4738" w:rsidRPr="001E47E5" w:rsidRDefault="001A4738" w:rsidP="001F2E4A">
            <w:pPr>
              <w:pStyle w:val="P68B1DB1-Normal6"/>
              <w:tabs>
                <w:tab w:val="num" w:pos="425"/>
              </w:tabs>
              <w:jc w:val="both"/>
              <w:rPr>
                <w:rFonts w:ascii="Times New Roman" w:hAnsi="Times New Roman" w:cs="Times New Roman"/>
                <w:szCs w:val="24"/>
                <w:highlight w:val="none"/>
                <w:lang w:val="sk-SK"/>
              </w:rPr>
            </w:pPr>
            <w:r w:rsidRPr="00BC225E">
              <w:rPr>
                <w:rFonts w:ascii="Times New Roman" w:hAnsi="Times New Roman" w:cs="Times New Roman"/>
                <w:i w:val="0"/>
                <w:szCs w:val="24"/>
                <w:highlight w:val="none"/>
                <w:lang w:val="sk-SK"/>
              </w:rPr>
              <w:t>Poznámka: celkovo sa okrem odhadovaného zvýšenia výdavkov na IKT vyvolaného rozšírením rozsahu pôsobnosti odvetvia odhaduje priemerný nárast výdavkov na bezpečnosť IKT o 12 % v odvetviach/službách, ktoré v súčasnosti patria do rozsahu pôsobnosti smernice NIS v nasledujúcich 3 – 4 rokoch. V prípade stredných podnikov je tento odhad približne 15 %. Toto zvýšenie sa týka kumulatívneho účinku všetkých opatrení</w:t>
            </w:r>
            <w:r w:rsidRPr="001E47E5">
              <w:rPr>
                <w:rFonts w:ascii="Times New Roman" w:hAnsi="Times New Roman" w:cs="Times New Roman"/>
                <w:szCs w:val="24"/>
                <w:highlight w:val="none"/>
                <w:lang w:val="sk-SK"/>
              </w:rPr>
              <w:t xml:space="preserve"> </w:t>
            </w:r>
          </w:p>
        </w:tc>
        <w:tc>
          <w:tcPr>
            <w:tcW w:w="3402" w:type="dxa"/>
            <w:tcMar>
              <w:top w:w="57" w:type="dxa"/>
              <w:left w:w="57" w:type="dxa"/>
              <w:bottom w:w="57" w:type="dxa"/>
              <w:right w:w="57" w:type="dxa"/>
            </w:tcMar>
          </w:tcPr>
          <w:p w14:paraId="23581A0F"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Náklady na implementáciu vyšších bezpečnostných požiadaviek a zdokumentovaných bezpečnostných opatrení</w:t>
            </w:r>
          </w:p>
        </w:tc>
      </w:tr>
      <w:tr w:rsidR="001A4738" w:rsidRPr="001E47E5" w14:paraId="2A99C591" w14:textId="77777777" w:rsidTr="001A4738">
        <w:tc>
          <w:tcPr>
            <w:tcW w:w="4254" w:type="dxa"/>
            <w:tcBorders>
              <w:top w:val="double" w:sz="4" w:space="0" w:color="auto"/>
            </w:tcBorders>
            <w:tcMar>
              <w:top w:w="57" w:type="dxa"/>
              <w:left w:w="57" w:type="dxa"/>
              <w:bottom w:w="57" w:type="dxa"/>
              <w:right w:w="57" w:type="dxa"/>
            </w:tcMar>
          </w:tcPr>
          <w:p w14:paraId="116D5CE0" w14:textId="77777777"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b)</w:t>
            </w:r>
          </w:p>
          <w:p w14:paraId="2B90B905" w14:textId="77777777" w:rsidR="001A4738" w:rsidRPr="001E47E5" w:rsidRDefault="001A4738" w:rsidP="001F2E4A">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Vyradenie procesu identifikácie a rovnaké postavenie všetkých prevádzkovateľov a poskytovateľov digitálnych služieb pri súčasnom rozlišovaní z dôvodov dôležitosti/kritickosti</w:t>
            </w:r>
          </w:p>
        </w:tc>
        <w:tc>
          <w:tcPr>
            <w:tcW w:w="992" w:type="dxa"/>
            <w:tcBorders>
              <w:top w:val="double" w:sz="4" w:space="0" w:color="auto"/>
              <w:right w:val="double" w:sz="4" w:space="0" w:color="auto"/>
            </w:tcBorders>
            <w:tcMar>
              <w:top w:w="57" w:type="dxa"/>
              <w:left w:w="57" w:type="dxa"/>
              <w:bottom w:w="57" w:type="dxa"/>
              <w:right w:w="57" w:type="dxa"/>
            </w:tcMar>
            <w:vAlign w:val="center"/>
          </w:tcPr>
          <w:p w14:paraId="6A16BEC5"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Borders>
              <w:top w:val="double" w:sz="4" w:space="0" w:color="auto"/>
            </w:tcBorders>
            <w:tcMar>
              <w:top w:w="57" w:type="dxa"/>
              <w:left w:w="57" w:type="dxa"/>
              <w:bottom w:w="57" w:type="dxa"/>
              <w:right w:w="57" w:type="dxa"/>
            </w:tcMar>
          </w:tcPr>
          <w:p w14:paraId="335819E5"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Zanedbateľné personálne náklady (najmä právne oddelenia), žiadne dodatočné FTE</w:t>
            </w:r>
          </w:p>
        </w:tc>
        <w:tc>
          <w:tcPr>
            <w:tcW w:w="3402" w:type="dxa"/>
            <w:tcBorders>
              <w:top w:val="double" w:sz="4" w:space="0" w:color="auto"/>
            </w:tcBorders>
            <w:tcMar>
              <w:top w:w="57" w:type="dxa"/>
              <w:left w:w="57" w:type="dxa"/>
              <w:bottom w:w="57" w:type="dxa"/>
              <w:right w:w="57" w:type="dxa"/>
            </w:tcMar>
          </w:tcPr>
          <w:p w14:paraId="55E643A0"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neuvádza sa</w:t>
            </w:r>
          </w:p>
        </w:tc>
      </w:tr>
      <w:tr w:rsidR="001A4738" w:rsidRPr="001E47E5" w14:paraId="0E3387BB" w14:textId="77777777" w:rsidTr="001A4738">
        <w:trPr>
          <w:trHeight w:val="515"/>
        </w:trPr>
        <w:tc>
          <w:tcPr>
            <w:tcW w:w="4254" w:type="dxa"/>
            <w:tcMar>
              <w:top w:w="57" w:type="dxa"/>
              <w:left w:w="57" w:type="dxa"/>
              <w:bottom w:w="57" w:type="dxa"/>
              <w:right w:w="57" w:type="dxa"/>
            </w:tcMar>
          </w:tcPr>
          <w:p w14:paraId="14C50215" w14:textId="77777777"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c)</w:t>
            </w:r>
          </w:p>
          <w:p w14:paraId="64EDA11D" w14:textId="77777777" w:rsidR="001A4738" w:rsidRPr="001E47E5" w:rsidRDefault="001A4738" w:rsidP="001F2E4A">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Ďalšia harmonizácia a zefektívnenie požiadaviek na riadenie rizík/bezpečnosť</w:t>
            </w:r>
          </w:p>
        </w:tc>
        <w:tc>
          <w:tcPr>
            <w:tcW w:w="992" w:type="dxa"/>
            <w:tcBorders>
              <w:right w:val="double" w:sz="4" w:space="0" w:color="auto"/>
            </w:tcBorders>
            <w:tcMar>
              <w:top w:w="57" w:type="dxa"/>
              <w:left w:w="57" w:type="dxa"/>
              <w:bottom w:w="57" w:type="dxa"/>
              <w:right w:w="57" w:type="dxa"/>
            </w:tcMar>
            <w:vAlign w:val="center"/>
          </w:tcPr>
          <w:p w14:paraId="0B4ACC4D"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6CD696BE" w14:textId="77777777" w:rsidR="001A4738" w:rsidRPr="001E47E5" w:rsidRDefault="001A4738" w:rsidP="001F2E4A">
            <w:pPr>
              <w:pStyle w:val="P68B1DB1-ListBullet4"/>
              <w:numPr>
                <w:ilvl w:val="0"/>
                <w:numId w:val="20"/>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Personál (vrátane potenciálneho vytvorenia nových interných tímov): </w:t>
            </w:r>
            <w:r w:rsidRPr="001E47E5">
              <w:rPr>
                <w:rFonts w:ascii="Times New Roman" w:hAnsi="Times New Roman" w:cs="Times New Roman"/>
                <w:color w:val="000000" w:themeColor="text1"/>
                <w:szCs w:val="24"/>
                <w:highlight w:val="none"/>
                <w:lang w:val="sk-SK"/>
              </w:rPr>
              <w:t>2 – 4 dodatočné FTE</w:t>
            </w:r>
          </w:p>
          <w:p w14:paraId="7F61D880" w14:textId="77777777" w:rsidR="001A4738" w:rsidRPr="001E47E5" w:rsidRDefault="001A4738" w:rsidP="001F2E4A">
            <w:pPr>
              <w:pStyle w:val="P68B1DB1-ListBullet4"/>
              <w:numPr>
                <w:ilvl w:val="0"/>
                <w:numId w:val="20"/>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Administratívne náklady</w:t>
            </w:r>
          </w:p>
          <w:p w14:paraId="67BBB2D7" w14:textId="77777777" w:rsidR="001A4738" w:rsidRPr="001E47E5" w:rsidRDefault="001A4738" w:rsidP="001F2E4A">
            <w:pPr>
              <w:pStyle w:val="P68B1DB1-ListBullet4"/>
              <w:numPr>
                <w:ilvl w:val="0"/>
                <w:numId w:val="20"/>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Príležitostné náklady</w:t>
            </w:r>
          </w:p>
          <w:p w14:paraId="26C8C430" w14:textId="77777777" w:rsidR="001A4738" w:rsidRPr="001E47E5" w:rsidRDefault="001A4738" w:rsidP="001F2E4A">
            <w:pPr>
              <w:pStyle w:val="P68B1DB1-ListBullet4"/>
              <w:numPr>
                <w:ilvl w:val="0"/>
                <w:numId w:val="20"/>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lastRenderedPageBreak/>
              <w:t>Potenciálne zvýšenie nákupných nákladov na kybernetickú bezpečnosť o + 10 – 15 %.</w:t>
            </w:r>
          </w:p>
        </w:tc>
        <w:tc>
          <w:tcPr>
            <w:tcW w:w="3402" w:type="dxa"/>
            <w:tcMar>
              <w:top w:w="57" w:type="dxa"/>
              <w:left w:w="57" w:type="dxa"/>
              <w:bottom w:w="57" w:type="dxa"/>
              <w:right w:w="57" w:type="dxa"/>
            </w:tcMar>
          </w:tcPr>
          <w:p w14:paraId="7F1B365B" w14:textId="77777777" w:rsidR="001A4738" w:rsidRPr="001E47E5" w:rsidRDefault="001A4738" w:rsidP="001F2E4A">
            <w:pPr>
              <w:pStyle w:val="P68B1DB1-ListBullet4"/>
              <w:numPr>
                <w:ilvl w:val="0"/>
                <w:numId w:val="20"/>
              </w:numPr>
              <w:spacing w:after="0"/>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lastRenderedPageBreak/>
              <w:t>Obstarávacie náklady (poradenstvo, audit, penetračné testy atď.)</w:t>
            </w:r>
          </w:p>
        </w:tc>
      </w:tr>
      <w:tr w:rsidR="001A4738" w:rsidRPr="001E47E5" w14:paraId="5C14F1D7" w14:textId="77777777" w:rsidTr="001A4738">
        <w:trPr>
          <w:trHeight w:val="1174"/>
        </w:trPr>
        <w:tc>
          <w:tcPr>
            <w:tcW w:w="4254" w:type="dxa"/>
            <w:tcMar>
              <w:top w:w="57" w:type="dxa"/>
              <w:left w:w="57" w:type="dxa"/>
              <w:bottom w:w="57" w:type="dxa"/>
              <w:right w:w="57" w:type="dxa"/>
            </w:tcMar>
          </w:tcPr>
          <w:p w14:paraId="34E5B2B1" w14:textId="37C10E33"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lastRenderedPageBreak/>
              <w:t>Opatrenie d) Bezpečnostné prvky týkajúce sa dodávateľských vzťahov a posúdenia rizika špecifického pre dodávateľa</w:t>
            </w:r>
          </w:p>
        </w:tc>
        <w:tc>
          <w:tcPr>
            <w:tcW w:w="992" w:type="dxa"/>
            <w:tcBorders>
              <w:right w:val="double" w:sz="4" w:space="0" w:color="auto"/>
            </w:tcBorders>
            <w:tcMar>
              <w:top w:w="57" w:type="dxa"/>
              <w:left w:w="57" w:type="dxa"/>
              <w:bottom w:w="57" w:type="dxa"/>
              <w:right w:w="57" w:type="dxa"/>
            </w:tcMar>
            <w:vAlign w:val="center"/>
          </w:tcPr>
          <w:p w14:paraId="6B04F096"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043A9909" w14:textId="77777777" w:rsidR="001A4738" w:rsidRPr="001E47E5" w:rsidRDefault="001A4738" w:rsidP="001F2E4A">
            <w:pPr>
              <w:pStyle w:val="P68B1DB1-ListBullet4"/>
              <w:numPr>
                <w:ilvl w:val="0"/>
                <w:numId w:val="20"/>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Zamestnanci – v priemere 1 FTE</w:t>
            </w:r>
          </w:p>
          <w:p w14:paraId="570D9B27" w14:textId="77777777" w:rsidR="001A4738" w:rsidRPr="001E47E5" w:rsidRDefault="001A4738" w:rsidP="001F2E4A">
            <w:pPr>
              <w:pStyle w:val="P68B1DB1-ListBullet4"/>
              <w:numPr>
                <w:ilvl w:val="0"/>
                <w:numId w:val="20"/>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Obstarávacie náklady (konzultácia, audit)</w:t>
            </w:r>
          </w:p>
          <w:p w14:paraId="4005F971" w14:textId="77777777" w:rsidR="001A4738" w:rsidRPr="001E47E5" w:rsidRDefault="001A4738" w:rsidP="001F2E4A">
            <w:pPr>
              <w:pStyle w:val="P68B1DB1-ListBullet4"/>
              <w:numPr>
                <w:ilvl w:val="0"/>
                <w:numId w:val="20"/>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Príležitostné náklady</w:t>
            </w:r>
          </w:p>
        </w:tc>
        <w:tc>
          <w:tcPr>
            <w:tcW w:w="3402" w:type="dxa"/>
            <w:tcMar>
              <w:top w:w="57" w:type="dxa"/>
              <w:left w:w="57" w:type="dxa"/>
              <w:bottom w:w="57" w:type="dxa"/>
              <w:right w:w="57" w:type="dxa"/>
            </w:tcMar>
          </w:tcPr>
          <w:p w14:paraId="403F2876" w14:textId="77777777" w:rsidR="001A4738" w:rsidRPr="001E47E5" w:rsidRDefault="001A4738" w:rsidP="001F2E4A">
            <w:pPr>
              <w:pStyle w:val="P68B1DB1-ListBullet4"/>
              <w:numPr>
                <w:ilvl w:val="0"/>
                <w:numId w:val="20"/>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Personálne a potenciálne pravidelné externé zabezpečovanie činností na posudzovanie rizík (najmä pre </w:t>
            </w:r>
            <w:r w:rsidRPr="001E47E5">
              <w:rPr>
                <w:rFonts w:ascii="Times New Roman" w:hAnsi="Times New Roman" w:cs="Times New Roman"/>
                <w:color w:val="000000" w:themeColor="text1"/>
                <w:szCs w:val="24"/>
                <w:highlight w:val="none"/>
                <w:lang w:val="sk-SK"/>
              </w:rPr>
              <w:t xml:space="preserve">MSP): potenciálne zvýšenie nákladov na bezpečnosť IKT o 2 – 4 % </w:t>
            </w:r>
          </w:p>
        </w:tc>
      </w:tr>
      <w:tr w:rsidR="001A4738" w:rsidRPr="001E47E5" w14:paraId="42FA40B0" w14:textId="77777777" w:rsidTr="001A4738">
        <w:trPr>
          <w:trHeight w:val="515"/>
        </w:trPr>
        <w:tc>
          <w:tcPr>
            <w:tcW w:w="4254" w:type="dxa"/>
            <w:tcMar>
              <w:top w:w="57" w:type="dxa"/>
              <w:left w:w="57" w:type="dxa"/>
              <w:bottom w:w="57" w:type="dxa"/>
              <w:right w:w="57" w:type="dxa"/>
            </w:tcMar>
          </w:tcPr>
          <w:p w14:paraId="362C02A7" w14:textId="3FEFE1D2"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e) Zefektívnenie oznámení o incidentoch</w:t>
            </w:r>
          </w:p>
        </w:tc>
        <w:tc>
          <w:tcPr>
            <w:tcW w:w="992" w:type="dxa"/>
            <w:tcBorders>
              <w:right w:val="double" w:sz="4" w:space="0" w:color="auto"/>
            </w:tcBorders>
            <w:tcMar>
              <w:top w:w="57" w:type="dxa"/>
              <w:left w:w="57" w:type="dxa"/>
              <w:bottom w:w="57" w:type="dxa"/>
              <w:right w:w="57" w:type="dxa"/>
            </w:tcMar>
            <w:vAlign w:val="center"/>
          </w:tcPr>
          <w:p w14:paraId="516E9FC0"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2E0FBE56" w14:textId="77777777" w:rsidR="001A4738" w:rsidRPr="001E47E5" w:rsidRDefault="001A4738" w:rsidP="001F2E4A">
            <w:pPr>
              <w:pStyle w:val="P68B1DB1-Normal2"/>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Personálne náklady – potenciálne 1 – 2 FTE</w:t>
            </w:r>
          </w:p>
        </w:tc>
        <w:tc>
          <w:tcPr>
            <w:tcW w:w="3402" w:type="dxa"/>
            <w:tcMar>
              <w:top w:w="57" w:type="dxa"/>
              <w:left w:w="57" w:type="dxa"/>
              <w:bottom w:w="57" w:type="dxa"/>
              <w:right w:w="57" w:type="dxa"/>
            </w:tcMar>
          </w:tcPr>
          <w:p w14:paraId="2D05A4A9"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Pravidelné personálne náklady</w:t>
            </w:r>
          </w:p>
        </w:tc>
      </w:tr>
      <w:tr w:rsidR="001A4738" w:rsidRPr="001E47E5" w14:paraId="6367AA23" w14:textId="77777777" w:rsidTr="001A4738">
        <w:trPr>
          <w:trHeight w:val="515"/>
        </w:trPr>
        <w:tc>
          <w:tcPr>
            <w:tcW w:w="4254" w:type="dxa"/>
            <w:tcMar>
              <w:top w:w="57" w:type="dxa"/>
              <w:left w:w="57" w:type="dxa"/>
              <w:bottom w:w="57" w:type="dxa"/>
              <w:right w:w="57" w:type="dxa"/>
            </w:tcMar>
          </w:tcPr>
          <w:p w14:paraId="143E9702" w14:textId="77777777"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f)</w:t>
            </w:r>
          </w:p>
          <w:p w14:paraId="4033F61A" w14:textId="77777777" w:rsidR="001A4738" w:rsidRPr="001E47E5" w:rsidRDefault="001A4738" w:rsidP="001F2E4A">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Posilnenie a ďalšia harmonizácia dohľadu a presadzovania</w:t>
            </w:r>
          </w:p>
        </w:tc>
        <w:tc>
          <w:tcPr>
            <w:tcW w:w="992" w:type="dxa"/>
            <w:tcBorders>
              <w:right w:val="double" w:sz="4" w:space="0" w:color="auto"/>
            </w:tcBorders>
            <w:tcMar>
              <w:top w:w="57" w:type="dxa"/>
              <w:left w:w="57" w:type="dxa"/>
              <w:bottom w:w="57" w:type="dxa"/>
              <w:right w:w="57" w:type="dxa"/>
            </w:tcMar>
            <w:vAlign w:val="center"/>
          </w:tcPr>
          <w:p w14:paraId="24751D23"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13EA35A0"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Personálne (2 FTE) a náklady na nákup (najmä pre poskytovateľov digitálnych služieb a MSP)</w:t>
            </w:r>
          </w:p>
        </w:tc>
        <w:tc>
          <w:tcPr>
            <w:tcW w:w="3402" w:type="dxa"/>
            <w:tcMar>
              <w:top w:w="57" w:type="dxa"/>
              <w:left w:w="57" w:type="dxa"/>
              <w:bottom w:w="57" w:type="dxa"/>
              <w:right w:w="57" w:type="dxa"/>
            </w:tcMar>
          </w:tcPr>
          <w:p w14:paraId="1B17E78F"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Pravidelné personálne náklady a potenciálne zvýšenie outsourcingu, najmä v prípade auditov (najmä MSP a poskytovateľov digitálnych služieb) – celkovo ďalších 5 % opakujúcich sa nákladov na nákup</w:t>
            </w:r>
          </w:p>
        </w:tc>
      </w:tr>
      <w:tr w:rsidR="001A4738" w:rsidRPr="001E47E5" w14:paraId="3EBCA1F4" w14:textId="77777777" w:rsidTr="001A4738">
        <w:trPr>
          <w:trHeight w:val="515"/>
        </w:trPr>
        <w:tc>
          <w:tcPr>
            <w:tcW w:w="4254" w:type="dxa"/>
            <w:tcMar>
              <w:top w:w="57" w:type="dxa"/>
              <w:left w:w="57" w:type="dxa"/>
              <w:bottom w:w="57" w:type="dxa"/>
              <w:right w:w="57" w:type="dxa"/>
            </w:tcMar>
          </w:tcPr>
          <w:p w14:paraId="0DA72C57" w14:textId="77777777"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Akcia h)</w:t>
            </w:r>
          </w:p>
          <w:p w14:paraId="615CB063" w14:textId="77777777" w:rsidR="001A4738" w:rsidRPr="001E47E5" w:rsidRDefault="001A4738" w:rsidP="001F2E4A">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Posilnenie spolupráce a výmeny informácií (aj prostredníctvom ISACA s účasťou verejných orgánov)</w:t>
            </w:r>
          </w:p>
        </w:tc>
        <w:tc>
          <w:tcPr>
            <w:tcW w:w="992" w:type="dxa"/>
            <w:tcBorders>
              <w:right w:val="double" w:sz="4" w:space="0" w:color="auto"/>
            </w:tcBorders>
            <w:tcMar>
              <w:top w:w="57" w:type="dxa"/>
              <w:left w:w="57" w:type="dxa"/>
              <w:bottom w:w="57" w:type="dxa"/>
              <w:right w:w="57" w:type="dxa"/>
            </w:tcMar>
            <w:vAlign w:val="center"/>
          </w:tcPr>
          <w:p w14:paraId="3BE7BB4E"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0FBD450B"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Personálne náklady – 1 dodatočný FTE</w:t>
            </w:r>
          </w:p>
        </w:tc>
        <w:tc>
          <w:tcPr>
            <w:tcW w:w="3402" w:type="dxa"/>
            <w:tcMar>
              <w:top w:w="57" w:type="dxa"/>
              <w:left w:w="57" w:type="dxa"/>
              <w:bottom w:w="57" w:type="dxa"/>
              <w:right w:w="57" w:type="dxa"/>
            </w:tcMar>
          </w:tcPr>
          <w:p w14:paraId="6B0E684C" w14:textId="77777777" w:rsidR="001A4738" w:rsidRPr="001E47E5" w:rsidRDefault="001A4738" w:rsidP="001F2E4A">
            <w:pPr>
              <w:pStyle w:val="P68B1DB1-Normal2"/>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Väčšie zapojenie do verejno-súkromných partnerstiev a ISAC – opakujúce sa náklady na zamestnancov (</w:t>
            </w:r>
            <w:r w:rsidRPr="001E47E5">
              <w:rPr>
                <w:rFonts w:ascii="Times New Roman" w:hAnsi="Times New Roman" w:cs="Times New Roman"/>
                <w:i/>
                <w:szCs w:val="24"/>
                <w:highlight w:val="none"/>
                <w:lang w:val="sk-SK"/>
              </w:rPr>
              <w:t>stredná úroveň</w:t>
            </w:r>
            <w:r w:rsidRPr="001E47E5">
              <w:rPr>
                <w:rFonts w:ascii="Times New Roman" w:hAnsi="Times New Roman" w:cs="Times New Roman"/>
                <w:szCs w:val="24"/>
                <w:highlight w:val="none"/>
                <w:lang w:val="sk-SK"/>
              </w:rPr>
              <w:t>)</w:t>
            </w:r>
          </w:p>
        </w:tc>
      </w:tr>
      <w:tr w:rsidR="001A4738" w:rsidRPr="001E47E5" w14:paraId="12482BB8" w14:textId="77777777" w:rsidTr="001A4738">
        <w:trPr>
          <w:trHeight w:val="515"/>
        </w:trPr>
        <w:tc>
          <w:tcPr>
            <w:tcW w:w="4254" w:type="dxa"/>
            <w:tcMar>
              <w:top w:w="57" w:type="dxa"/>
              <w:left w:w="57" w:type="dxa"/>
              <w:bottom w:w="57" w:type="dxa"/>
              <w:right w:w="57" w:type="dxa"/>
            </w:tcMar>
          </w:tcPr>
          <w:p w14:paraId="6CB3D187" w14:textId="77777777" w:rsidR="001A4738" w:rsidRPr="001E47E5" w:rsidRDefault="001A4738" w:rsidP="001F2E4A">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i)</w:t>
            </w:r>
          </w:p>
          <w:p w14:paraId="497A0ACC" w14:textId="77777777" w:rsidR="001A4738" w:rsidRPr="001E47E5" w:rsidRDefault="001A4738" w:rsidP="001F2E4A">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Stimulovanie koordinovaného zverejňovania informácií o zraniteľnosti</w:t>
            </w:r>
          </w:p>
        </w:tc>
        <w:tc>
          <w:tcPr>
            <w:tcW w:w="992" w:type="dxa"/>
            <w:tcBorders>
              <w:right w:val="double" w:sz="4" w:space="0" w:color="auto"/>
            </w:tcBorders>
            <w:tcMar>
              <w:top w:w="57" w:type="dxa"/>
              <w:left w:w="57" w:type="dxa"/>
              <w:bottom w:w="57" w:type="dxa"/>
              <w:right w:w="57" w:type="dxa"/>
            </w:tcMar>
            <w:vAlign w:val="center"/>
          </w:tcPr>
          <w:p w14:paraId="69FD1D62"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25B5E31E"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Zanedbateľné personálne náklady (by mohli využívať existujúce ekvivalenty plného pracovného času, ktoré by monitorovali dodatočný vstupný kanál)</w:t>
            </w:r>
          </w:p>
        </w:tc>
        <w:tc>
          <w:tcPr>
            <w:tcW w:w="3402" w:type="dxa"/>
            <w:tcMar>
              <w:top w:w="57" w:type="dxa"/>
              <w:left w:w="57" w:type="dxa"/>
              <w:bottom w:w="57" w:type="dxa"/>
              <w:right w:w="57" w:type="dxa"/>
            </w:tcMar>
          </w:tcPr>
          <w:p w14:paraId="4DD6C519" w14:textId="77777777" w:rsidR="001A4738" w:rsidRPr="001E47E5" w:rsidRDefault="001A4738" w:rsidP="001F2E4A">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Zanedbateľné personálne náklady</w:t>
            </w:r>
          </w:p>
        </w:tc>
      </w:tr>
    </w:tbl>
    <w:p w14:paraId="417E3206" w14:textId="77777777" w:rsidR="001A4738" w:rsidRPr="001E47E5" w:rsidRDefault="001A4738" w:rsidP="001A4738">
      <w:pPr>
        <w:pStyle w:val="Pta"/>
        <w:tabs>
          <w:tab w:val="left" w:pos="708"/>
        </w:tabs>
        <w:rPr>
          <w:rFonts w:cs="Arial"/>
          <w:b/>
          <w:bCs/>
          <w:sz w:val="24"/>
          <w:szCs w:val="24"/>
        </w:rPr>
        <w:sectPr w:rsidR="001A4738" w:rsidRPr="001E47E5" w:rsidSect="001A4738">
          <w:pgSz w:w="15840" w:h="12240" w:orient="landscape"/>
          <w:pgMar w:top="1417" w:right="1417" w:bottom="1417" w:left="1417" w:header="708" w:footer="708" w:gutter="0"/>
          <w:cols w:space="708"/>
          <w:docGrid w:linePitch="360"/>
        </w:sectPr>
      </w:pPr>
    </w:p>
    <w:p w14:paraId="0EB298DB" w14:textId="77777777" w:rsidR="00512BA7" w:rsidRPr="001E47E5" w:rsidRDefault="00511F8F" w:rsidP="00512BA7">
      <w:pPr>
        <w:jc w:val="both"/>
        <w:rPr>
          <w:rFonts w:ascii="Times New Roman" w:eastAsia="Calibri" w:hAnsi="Times New Roman" w:cs="Times New Roman"/>
          <w:b/>
          <w:bCs/>
          <w:i/>
          <w:sz w:val="24"/>
          <w:szCs w:val="24"/>
          <w:u w:val="single"/>
        </w:rPr>
      </w:pPr>
      <w:r w:rsidRPr="001E47E5">
        <w:rPr>
          <w:rFonts w:ascii="Times New Roman" w:eastAsia="Calibri" w:hAnsi="Times New Roman" w:cs="Times New Roman"/>
          <w:b/>
          <w:bCs/>
          <w:i/>
          <w:sz w:val="24"/>
          <w:szCs w:val="24"/>
          <w:u w:val="single"/>
        </w:rPr>
        <w:lastRenderedPageBreak/>
        <w:t xml:space="preserve">3.1.4 </w:t>
      </w:r>
      <w:r w:rsidR="001E24E8" w:rsidRPr="001E47E5">
        <w:rPr>
          <w:rFonts w:ascii="Times New Roman" w:eastAsia="Calibri" w:hAnsi="Times New Roman" w:cs="Times New Roman"/>
          <w:b/>
          <w:bCs/>
          <w:i/>
          <w:sz w:val="24"/>
          <w:szCs w:val="24"/>
          <w:u w:val="single"/>
        </w:rPr>
        <w:t>Odôvodnenie</w:t>
      </w:r>
      <w:r w:rsidR="008F6ADE" w:rsidRPr="001E47E5">
        <w:rPr>
          <w:rFonts w:ascii="Times New Roman" w:eastAsia="Calibri" w:hAnsi="Times New Roman" w:cs="Times New Roman"/>
          <w:b/>
          <w:bCs/>
          <w:i/>
          <w:sz w:val="24"/>
          <w:szCs w:val="24"/>
          <w:u w:val="single"/>
        </w:rPr>
        <w:t xml:space="preserve"> goldplating</w:t>
      </w:r>
      <w:r w:rsidR="0016512E" w:rsidRPr="001E47E5">
        <w:rPr>
          <w:rFonts w:ascii="Times New Roman" w:eastAsia="Calibri" w:hAnsi="Times New Roman" w:cs="Times New Roman"/>
          <w:b/>
          <w:bCs/>
          <w:i/>
          <w:sz w:val="24"/>
          <w:szCs w:val="24"/>
          <w:u w:val="single"/>
        </w:rPr>
        <w:t>u</w:t>
      </w:r>
      <w:r w:rsidR="001E24E8" w:rsidRPr="001E47E5">
        <w:rPr>
          <w:rFonts w:ascii="Times New Roman" w:eastAsia="Calibri" w:hAnsi="Times New Roman" w:cs="Times New Roman"/>
          <w:b/>
          <w:bCs/>
          <w:i/>
          <w:sz w:val="24"/>
          <w:szCs w:val="24"/>
          <w:u w:val="single"/>
        </w:rPr>
        <w:t xml:space="preserve"> </w:t>
      </w:r>
      <w:r w:rsidR="008F6ADE" w:rsidRPr="001E47E5">
        <w:rPr>
          <w:rFonts w:ascii="Times New Roman" w:eastAsia="Calibri" w:hAnsi="Times New Roman" w:cs="Times New Roman"/>
          <w:b/>
          <w:bCs/>
          <w:i/>
          <w:sz w:val="24"/>
          <w:szCs w:val="24"/>
          <w:u w:val="single"/>
        </w:rPr>
        <w:t xml:space="preserve">podľa bodu 4 časti III </w:t>
      </w:r>
      <w:r w:rsidR="00FA6FFE" w:rsidRPr="001E47E5">
        <w:rPr>
          <w:rFonts w:ascii="Times New Roman" w:eastAsia="Calibri" w:hAnsi="Times New Roman" w:cs="Times New Roman"/>
          <w:b/>
          <w:bCs/>
          <w:i/>
          <w:sz w:val="24"/>
          <w:szCs w:val="24"/>
          <w:u w:val="single"/>
        </w:rPr>
        <w:t>j</w:t>
      </w:r>
      <w:r w:rsidR="001E24E8" w:rsidRPr="001E47E5">
        <w:rPr>
          <w:rFonts w:ascii="Times New Roman" w:eastAsia="Calibri" w:hAnsi="Times New Roman" w:cs="Times New Roman"/>
          <w:b/>
          <w:bCs/>
          <w:i/>
          <w:sz w:val="24"/>
          <w:szCs w:val="24"/>
          <w:u w:val="single"/>
        </w:rPr>
        <w:t xml:space="preserve">ednotnej metodiky </w:t>
      </w:r>
      <w:r w:rsidR="00400BA5" w:rsidRPr="001E47E5">
        <w:rPr>
          <w:rFonts w:ascii="Times New Roman" w:eastAsia="Calibri" w:hAnsi="Times New Roman" w:cs="Times New Roman"/>
          <w:b/>
          <w:bCs/>
          <w:i/>
          <w:sz w:val="24"/>
          <w:szCs w:val="24"/>
          <w:u w:val="single"/>
        </w:rPr>
        <w:t>a </w:t>
      </w:r>
      <w:r w:rsidR="00B21D1F" w:rsidRPr="001E47E5">
        <w:rPr>
          <w:rFonts w:ascii="Times New Roman" w:eastAsia="Calibri" w:hAnsi="Times New Roman" w:cs="Times New Roman"/>
          <w:b/>
          <w:bCs/>
          <w:i/>
          <w:sz w:val="24"/>
          <w:szCs w:val="24"/>
          <w:u w:val="single"/>
        </w:rPr>
        <w:t>ďalšie</w:t>
      </w:r>
      <w:r w:rsidR="00400BA5" w:rsidRPr="001E47E5">
        <w:rPr>
          <w:rFonts w:ascii="Times New Roman" w:eastAsia="Calibri" w:hAnsi="Times New Roman" w:cs="Times New Roman"/>
          <w:b/>
          <w:bCs/>
          <w:i/>
          <w:sz w:val="24"/>
          <w:szCs w:val="24"/>
          <w:u w:val="single"/>
        </w:rPr>
        <w:t xml:space="preserve"> d</w:t>
      </w:r>
      <w:r w:rsidR="00512BA7" w:rsidRPr="001E47E5">
        <w:rPr>
          <w:rFonts w:ascii="Times New Roman" w:eastAsia="Calibri" w:hAnsi="Times New Roman" w:cs="Times New Roman"/>
          <w:b/>
          <w:bCs/>
          <w:i/>
          <w:sz w:val="24"/>
          <w:szCs w:val="24"/>
          <w:u w:val="single"/>
        </w:rPr>
        <w:t>oplňujúce informácie</w:t>
      </w:r>
      <w:r w:rsidR="00512BA7" w:rsidRPr="001E47E5">
        <w:rPr>
          <w:rStyle w:val="Odkaznapoznmkupodiarou"/>
          <w:rFonts w:ascii="Times New Roman" w:eastAsia="Calibri" w:hAnsi="Times New Roman" w:cs="Times New Roman"/>
          <w:b/>
          <w:bCs/>
          <w:i/>
          <w:sz w:val="24"/>
          <w:szCs w:val="24"/>
          <w:u w:val="single"/>
        </w:rPr>
        <w:footnoteReference w:id="5"/>
      </w:r>
      <w:r w:rsidR="00512BA7" w:rsidRPr="001E47E5">
        <w:rPr>
          <w:rFonts w:ascii="Times New Roman" w:eastAsia="Calibri" w:hAnsi="Times New Roman" w:cs="Times New Roman"/>
          <w:b/>
          <w:bCs/>
          <w:i/>
          <w:sz w:val="24"/>
          <w:szCs w:val="24"/>
          <w:u w:val="single"/>
        </w:rPr>
        <w:t xml:space="preserve"> </w:t>
      </w:r>
    </w:p>
    <w:p w14:paraId="4BD96D6C" w14:textId="0F5E1D9B" w:rsidR="00024EE4" w:rsidRPr="001E47E5" w:rsidRDefault="00F31C80" w:rsidP="00054C41">
      <w:pPr>
        <w:jc w:val="both"/>
        <w:rPr>
          <w:rFonts w:ascii="Times New Roman" w:eastAsia="Calibri" w:hAnsi="Times New Roman" w:cs="Times New Roman"/>
          <w:bCs/>
          <w:i/>
          <w:iCs/>
          <w:sz w:val="24"/>
          <w:szCs w:val="24"/>
        </w:rPr>
      </w:pPr>
      <w:r w:rsidRPr="001E47E5">
        <w:rPr>
          <w:rFonts w:ascii="Times New Roman" w:eastAsia="Calibri" w:hAnsi="Times New Roman" w:cs="Times New Roman"/>
          <w:bCs/>
          <w:i/>
          <w:iCs/>
          <w:color w:val="000000"/>
          <w:sz w:val="24"/>
          <w:szCs w:val="24"/>
        </w:rPr>
        <w:t>Nerelevantné nedochádza ku goldplatingu</w:t>
      </w:r>
    </w:p>
    <w:p w14:paraId="39D55FBC" w14:textId="44B0C098" w:rsidR="00054C41" w:rsidRPr="001E47E5" w:rsidRDefault="00054C41" w:rsidP="00054C41">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3.2 Vyhodnotenie konzultácií s podnikateľskými subjektmi pred predbežným pripomienkovým konaním</w:t>
      </w:r>
    </w:p>
    <w:p w14:paraId="07B42157" w14:textId="77777777" w:rsidR="00B4368F" w:rsidRPr="001E47E5" w:rsidRDefault="00B4368F" w:rsidP="00B4368F">
      <w:pPr>
        <w:spacing w:after="0"/>
        <w:jc w:val="both"/>
        <w:rPr>
          <w:rFonts w:ascii="Times New Roman" w:eastAsia="Calibri" w:hAnsi="Times New Roman" w:cs="Times New Roman"/>
          <w:i/>
          <w:sz w:val="24"/>
          <w:szCs w:val="24"/>
        </w:rPr>
      </w:pPr>
    </w:p>
    <w:p w14:paraId="1A6986F8" w14:textId="3C6E2CB6" w:rsidR="00506555" w:rsidRPr="001E47E5" w:rsidRDefault="00506555" w:rsidP="00506555">
      <w:pPr>
        <w:jc w:val="both"/>
        <w:rPr>
          <w:rFonts w:ascii="Times New Roman" w:hAnsi="Times New Roman" w:cs="Times New Roman"/>
          <w:sz w:val="24"/>
          <w:szCs w:val="24"/>
        </w:rPr>
      </w:pPr>
      <w:r w:rsidRPr="001E47E5">
        <w:rPr>
          <w:rFonts w:ascii="Times New Roman" w:hAnsi="Times New Roman" w:cs="Times New Roman"/>
          <w:sz w:val="24"/>
          <w:szCs w:val="24"/>
        </w:rPr>
        <w:t xml:space="preserve">Transpozícia smernice </w:t>
      </w:r>
      <w:r w:rsidR="009544BD">
        <w:rPr>
          <w:rFonts w:ascii="Times New Roman" w:hAnsi="Times New Roman" w:cs="Times New Roman"/>
          <w:sz w:val="24"/>
          <w:szCs w:val="24"/>
        </w:rPr>
        <w:t>NIS 2</w:t>
      </w:r>
      <w:r w:rsidRPr="001E47E5">
        <w:rPr>
          <w:rFonts w:ascii="Times New Roman" w:hAnsi="Times New Roman" w:cs="Times New Roman"/>
          <w:sz w:val="24"/>
          <w:szCs w:val="24"/>
        </w:rPr>
        <w:t xml:space="preserve"> poskytuje členským štátom priestor na prispôsobenie sa ich aktuálnej situácii, organizačnému nastaveniu a prípadne vzájomne prepojeným stratégiám, činnostiam a iniciatívam. NBÚ chce túto možnosť v plnej miere využiť na vytvorenie modernizácie a rozšírenie v súčasnosti fungujúcich mechanizmov. Proces transpozície smernice preto prebieha participatívnym spôsobom. Participácia bola v úvodnej fáze realizovaná organizovaným a metodickým procesom, do ktorého sa zapojili všetky zainteresované strany s cieľom iniciovať diskusiu a kooperatívny konzultačný proces zameraný na prijímanie kolektívne záväzných rozhodnutí. Diskusia predstavovala interaktívny proces medzi zainteresovanými partnermi z kybernetickej komunity zastúpenej súkromným sektorom, akademickou obcou, organizáciami a verejnými činiteľmi s cieľom významne prispieť k politickým rozhodnutiam transparentným a zodpovedným spôsobom. V úvodnej fáze sa iniciovala štruktúrovaná diskusia s hlavnými skupinami zainteresovaných strán – orgánmi verejnej správy, reprezentatívnymi organizáciami kritických sektorov, odborníkmi na kybernetickú bezpečnosť, akademickou obcou, súkromnými poskytovateľmi riešení a služieb. </w:t>
      </w:r>
    </w:p>
    <w:p w14:paraId="452594D6" w14:textId="072AFC68" w:rsidR="00506555" w:rsidRPr="001E47E5" w:rsidRDefault="00506555" w:rsidP="00506555">
      <w:pPr>
        <w:jc w:val="both"/>
        <w:rPr>
          <w:rFonts w:ascii="Times New Roman" w:hAnsi="Times New Roman" w:cs="Times New Roman"/>
          <w:sz w:val="24"/>
          <w:szCs w:val="24"/>
        </w:rPr>
      </w:pPr>
      <w:r w:rsidRPr="001E47E5">
        <w:rPr>
          <w:rFonts w:ascii="Times New Roman" w:hAnsi="Times New Roman" w:cs="Times New Roman"/>
          <w:b/>
          <w:bCs/>
          <w:sz w:val="24"/>
          <w:szCs w:val="24"/>
        </w:rPr>
        <w:t>Workshopy a panely</w:t>
      </w:r>
      <w:r w:rsidRPr="001E47E5">
        <w:rPr>
          <w:rFonts w:ascii="Times New Roman" w:hAnsi="Times New Roman" w:cs="Times New Roman"/>
          <w:sz w:val="24"/>
          <w:szCs w:val="24"/>
        </w:rPr>
        <w:t xml:space="preserve"> sú jedným z hlavných nástrojov pre získanie spätnej väzby od širokej kyberbezpečnostnej komunity. V projekte bolo realizované veľké množstvo workshopov a panelov, v ktorých si komunita navzájom odovzdávala skúsenosti so súčasnou legislatívou a prezentovala očakávania v súvislosti s novou legislatívou. Zástupcovia NBÚ aj KCCKB prezentovali požiadavky novej legislatívy, približovali legislatívny proces, a to s cieľom získať spätnú väzbu a pripraviť komunitu na prichádzajúce zmeny súvisiace s aplikáciou </w:t>
      </w:r>
      <w:r w:rsidR="009544BD">
        <w:rPr>
          <w:rFonts w:ascii="Times New Roman" w:hAnsi="Times New Roman" w:cs="Times New Roman"/>
          <w:sz w:val="24"/>
          <w:szCs w:val="24"/>
        </w:rPr>
        <w:t>NIS 2</w:t>
      </w:r>
      <w:r w:rsidRPr="001E47E5">
        <w:rPr>
          <w:rFonts w:ascii="Times New Roman" w:hAnsi="Times New Roman" w:cs="Times New Roman"/>
          <w:sz w:val="24"/>
          <w:szCs w:val="24"/>
        </w:rPr>
        <w:t xml:space="preserve"> do praxe. </w:t>
      </w:r>
      <w:r w:rsidR="00B4368F" w:rsidRPr="001E47E5">
        <w:rPr>
          <w:rFonts w:ascii="Times New Roman" w:hAnsi="Times New Roman" w:cs="Times New Roman"/>
          <w:sz w:val="24"/>
          <w:szCs w:val="24"/>
        </w:rPr>
        <w:t>Prehľad workshopov a panelov, v rámci ktorých prebiehali konzultácie k novej legislatíve od októbra 2023</w:t>
      </w:r>
      <w:r w:rsidR="003A6CDD">
        <w:rPr>
          <w:rFonts w:ascii="Times New Roman" w:hAnsi="Times New Roman" w:cs="Times New Roman"/>
          <w:sz w:val="24"/>
          <w:szCs w:val="24"/>
        </w:rPr>
        <w:t>.</w:t>
      </w:r>
    </w:p>
    <w:tbl>
      <w:tblPr>
        <w:tblStyle w:val="Mriekatabuky"/>
        <w:tblW w:w="9067" w:type="dxa"/>
        <w:tblLayout w:type="fixed"/>
        <w:tblLook w:val="04A0" w:firstRow="1" w:lastRow="0" w:firstColumn="1" w:lastColumn="0" w:noHBand="0" w:noVBand="1"/>
      </w:tblPr>
      <w:tblGrid>
        <w:gridCol w:w="1980"/>
        <w:gridCol w:w="7087"/>
      </w:tblGrid>
      <w:tr w:rsidR="00B4368F" w:rsidRPr="001E47E5" w14:paraId="449314A1" w14:textId="77777777" w:rsidTr="00252F5C">
        <w:tc>
          <w:tcPr>
            <w:tcW w:w="1980" w:type="dxa"/>
            <w:shd w:val="clear" w:color="auto" w:fill="D9D9D9" w:themeFill="background1" w:themeFillShade="D9"/>
          </w:tcPr>
          <w:p w14:paraId="4F4D8683"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6C2E3ACF"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Konferencia Kybernetická bezpečnosť 2023</w:t>
            </w:r>
          </w:p>
        </w:tc>
      </w:tr>
      <w:tr w:rsidR="00B4368F" w:rsidRPr="001E47E5" w14:paraId="3B32911C" w14:textId="77777777" w:rsidTr="00252F5C">
        <w:tc>
          <w:tcPr>
            <w:tcW w:w="1980" w:type="dxa"/>
            <w:shd w:val="clear" w:color="auto" w:fill="D9D9D9" w:themeFill="background1" w:themeFillShade="D9"/>
          </w:tcPr>
          <w:p w14:paraId="598B40E0"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4E44A9CA"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02. – 03.10. 2023</w:t>
            </w:r>
          </w:p>
        </w:tc>
      </w:tr>
      <w:tr w:rsidR="00B4368F" w:rsidRPr="001E47E5" w14:paraId="53B73B97" w14:textId="77777777" w:rsidTr="00252F5C">
        <w:tc>
          <w:tcPr>
            <w:tcW w:w="1980" w:type="dxa"/>
            <w:shd w:val="clear" w:color="auto" w:fill="D9D9D9" w:themeFill="background1" w:themeFillShade="D9"/>
          </w:tcPr>
          <w:p w14:paraId="1DF5BA23"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76F297D2" w14:textId="4BF271FF" w:rsidR="00B4368F" w:rsidRPr="001E47E5" w:rsidRDefault="00B4368F" w:rsidP="00A2779E">
            <w:pPr>
              <w:jc w:val="both"/>
              <w:rPr>
                <w:rFonts w:ascii="Times New Roman" w:hAnsi="Times New Roman" w:cs="Times New Roman"/>
                <w:sz w:val="24"/>
                <w:szCs w:val="24"/>
              </w:rPr>
            </w:pPr>
            <w:r w:rsidRPr="001E47E5">
              <w:rPr>
                <w:rFonts w:ascii="Times New Roman" w:hAnsi="Times New Roman" w:cs="Times New Roman"/>
                <w:sz w:val="24"/>
                <w:szCs w:val="24"/>
              </w:rPr>
              <w:t>Mesiac október bol Európskym mesiacom kybernetickej bezpečnosti. Uskutočnila sa v ňom prestížna EPI konferencia Kybernetická bezpečnosť 2023. Piaty ročník sa venoval širokému spektru tém – od zdôraznenia reálneho presahu notácie informačnej architektúry a kybernetickej bezpečnosti, resp. riadenia kybernetických rizík, cez odolnosť v kyberpriestore založenú na každodennej realite, bilancii auditu a posudzovania kyberbezpečnosti až po ľudské zdroje v</w:t>
            </w:r>
            <w:r w:rsidR="003A6CDD">
              <w:rPr>
                <w:rFonts w:ascii="Times New Roman" w:hAnsi="Times New Roman" w:cs="Times New Roman"/>
                <w:sz w:val="24"/>
                <w:szCs w:val="24"/>
              </w:rPr>
              <w:t> </w:t>
            </w:r>
            <w:r w:rsidRPr="001E47E5">
              <w:rPr>
                <w:rFonts w:ascii="Times New Roman" w:hAnsi="Times New Roman" w:cs="Times New Roman"/>
                <w:sz w:val="24"/>
                <w:szCs w:val="24"/>
              </w:rPr>
              <w:t xml:space="preserve">kyberbezpečnosti a ochrane údajov. Predmetom bolo aj predstavenie </w:t>
            </w:r>
            <w:r w:rsidRPr="001E47E5">
              <w:rPr>
                <w:rFonts w:ascii="Times New Roman" w:hAnsi="Times New Roman" w:cs="Times New Roman"/>
                <w:sz w:val="24"/>
                <w:szCs w:val="24"/>
              </w:rPr>
              <w:lastRenderedPageBreak/>
              <w:t xml:space="preserve">a konzultácie k pripravovanej novele zákona č. 69/2018 </w:t>
            </w:r>
            <w:r w:rsidR="003A6CDD">
              <w:rPr>
                <w:rFonts w:ascii="Times New Roman" w:hAnsi="Times New Roman" w:cs="Times New Roman"/>
                <w:sz w:val="24"/>
                <w:szCs w:val="24"/>
              </w:rPr>
              <w:t xml:space="preserve">Z. z. </w:t>
            </w:r>
            <w:r w:rsidRPr="001E47E5">
              <w:rPr>
                <w:rFonts w:ascii="Times New Roman" w:hAnsi="Times New Roman" w:cs="Times New Roman"/>
                <w:sz w:val="24"/>
                <w:szCs w:val="24"/>
              </w:rPr>
              <w:t>o</w:t>
            </w:r>
            <w:r w:rsidR="003A6CDD">
              <w:rPr>
                <w:rFonts w:ascii="Times New Roman" w:hAnsi="Times New Roman" w:cs="Times New Roman"/>
                <w:sz w:val="24"/>
                <w:szCs w:val="24"/>
              </w:rPr>
              <w:t> </w:t>
            </w:r>
            <w:r w:rsidRPr="001E47E5">
              <w:rPr>
                <w:rFonts w:ascii="Times New Roman" w:hAnsi="Times New Roman" w:cs="Times New Roman"/>
                <w:sz w:val="24"/>
                <w:szCs w:val="24"/>
              </w:rPr>
              <w:t>kybernetickej bezpe</w:t>
            </w:r>
            <w:r w:rsidR="003A6CDD">
              <w:rPr>
                <w:rFonts w:ascii="Times New Roman" w:hAnsi="Times New Roman" w:cs="Times New Roman"/>
                <w:sz w:val="24"/>
                <w:szCs w:val="24"/>
              </w:rPr>
              <w:t xml:space="preserve">čnosti, ktorou sa </w:t>
            </w:r>
            <w:r w:rsidR="00A2779E">
              <w:rPr>
                <w:rFonts w:ascii="Times New Roman" w:hAnsi="Times New Roman" w:cs="Times New Roman"/>
                <w:sz w:val="24"/>
                <w:szCs w:val="24"/>
              </w:rPr>
              <w:t>transponuje</w:t>
            </w:r>
            <w:r w:rsidR="003A6CDD">
              <w:rPr>
                <w:rFonts w:ascii="Times New Roman" w:hAnsi="Times New Roman" w:cs="Times New Roman"/>
                <w:sz w:val="24"/>
                <w:szCs w:val="24"/>
              </w:rPr>
              <w:t xml:space="preserve"> </w:t>
            </w:r>
            <w:r w:rsidRPr="001E47E5">
              <w:rPr>
                <w:rFonts w:ascii="Times New Roman" w:hAnsi="Times New Roman" w:cs="Times New Roman"/>
                <w:sz w:val="24"/>
                <w:szCs w:val="24"/>
              </w:rPr>
              <w:t xml:space="preserve">smernica </w:t>
            </w:r>
            <w:r w:rsidR="009544BD">
              <w:rPr>
                <w:rFonts w:ascii="Times New Roman" w:hAnsi="Times New Roman" w:cs="Times New Roman"/>
                <w:sz w:val="24"/>
                <w:szCs w:val="24"/>
              </w:rPr>
              <w:t>NIS 2</w:t>
            </w:r>
            <w:r w:rsidRPr="001E47E5">
              <w:rPr>
                <w:rFonts w:ascii="Times New Roman" w:hAnsi="Times New Roman" w:cs="Times New Roman"/>
                <w:sz w:val="24"/>
                <w:szCs w:val="24"/>
              </w:rPr>
              <w:t>.</w:t>
            </w:r>
          </w:p>
        </w:tc>
      </w:tr>
      <w:tr w:rsidR="00B4368F" w:rsidRPr="001E47E5" w14:paraId="4EBE5C61" w14:textId="77777777" w:rsidTr="00252F5C">
        <w:tc>
          <w:tcPr>
            <w:tcW w:w="1980" w:type="dxa"/>
            <w:shd w:val="clear" w:color="auto" w:fill="D9D9D9" w:themeFill="background1" w:themeFillShade="D9"/>
          </w:tcPr>
          <w:p w14:paraId="3775E3B3"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lastRenderedPageBreak/>
              <w:t>Cieľová skupina</w:t>
            </w:r>
          </w:p>
        </w:tc>
        <w:tc>
          <w:tcPr>
            <w:tcW w:w="7087" w:type="dxa"/>
          </w:tcPr>
          <w:p w14:paraId="40AD2DAF"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samospráva, súkromný sektor</w:t>
            </w:r>
          </w:p>
        </w:tc>
      </w:tr>
    </w:tbl>
    <w:p w14:paraId="2F384E25" w14:textId="77777777" w:rsidR="00B4368F" w:rsidRPr="001E47E5" w:rsidRDefault="00B4368F" w:rsidP="00B4368F">
      <w:pPr>
        <w:rPr>
          <w:rFonts w:ascii="Times New Roman" w:hAnsi="Times New Roman" w:cs="Times New Roman"/>
          <w:sz w:val="24"/>
          <w:szCs w:val="24"/>
        </w:rPr>
      </w:pPr>
    </w:p>
    <w:tbl>
      <w:tblPr>
        <w:tblStyle w:val="Mriekatabuky"/>
        <w:tblW w:w="9067" w:type="dxa"/>
        <w:tblLayout w:type="fixed"/>
        <w:tblLook w:val="04A0" w:firstRow="1" w:lastRow="0" w:firstColumn="1" w:lastColumn="0" w:noHBand="0" w:noVBand="1"/>
      </w:tblPr>
      <w:tblGrid>
        <w:gridCol w:w="1980"/>
        <w:gridCol w:w="7087"/>
      </w:tblGrid>
      <w:tr w:rsidR="00B4368F" w:rsidRPr="001E47E5" w14:paraId="098A11EE" w14:textId="77777777" w:rsidTr="00252F5C">
        <w:tc>
          <w:tcPr>
            <w:tcW w:w="1980" w:type="dxa"/>
            <w:shd w:val="clear" w:color="auto" w:fill="D9D9D9" w:themeFill="background1" w:themeFillShade="D9"/>
          </w:tcPr>
          <w:p w14:paraId="1E1AA70D"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7F876DBE" w14:textId="58C77BC7" w:rsidR="00B4368F" w:rsidRPr="001E47E5" w:rsidRDefault="00B4368F" w:rsidP="003A6CDD">
            <w:pPr>
              <w:jc w:val="both"/>
              <w:rPr>
                <w:rFonts w:ascii="Times New Roman" w:hAnsi="Times New Roman" w:cs="Times New Roman"/>
                <w:sz w:val="24"/>
                <w:szCs w:val="24"/>
              </w:rPr>
            </w:pPr>
            <w:r w:rsidRPr="001E47E5">
              <w:rPr>
                <w:rFonts w:ascii="Times New Roman" w:hAnsi="Times New Roman" w:cs="Times New Roman"/>
                <w:sz w:val="24"/>
                <w:szCs w:val="24"/>
              </w:rPr>
              <w:t>Webinár zvyšovanie kybernetickej bezpečnosti slovenských firiem z</w:t>
            </w:r>
            <w:r w:rsidR="003A6CDD">
              <w:rPr>
                <w:rFonts w:ascii="Times New Roman" w:hAnsi="Times New Roman" w:cs="Times New Roman"/>
                <w:sz w:val="24"/>
                <w:szCs w:val="24"/>
              </w:rPr>
              <w:t> </w:t>
            </w:r>
            <w:r w:rsidRPr="001E47E5">
              <w:rPr>
                <w:rFonts w:ascii="Times New Roman" w:hAnsi="Times New Roman" w:cs="Times New Roman"/>
                <w:sz w:val="24"/>
                <w:szCs w:val="24"/>
              </w:rPr>
              <w:t>pohľadu aktuálnej legislatívy a financií</w:t>
            </w:r>
          </w:p>
        </w:tc>
      </w:tr>
      <w:tr w:rsidR="00B4368F" w:rsidRPr="001E47E5" w14:paraId="03000FD1" w14:textId="77777777" w:rsidTr="00252F5C">
        <w:tc>
          <w:tcPr>
            <w:tcW w:w="1980" w:type="dxa"/>
            <w:shd w:val="clear" w:color="auto" w:fill="D9D9D9" w:themeFill="background1" w:themeFillShade="D9"/>
          </w:tcPr>
          <w:p w14:paraId="10DE8D56"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44E0E6B9"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05.10.2023</w:t>
            </w:r>
          </w:p>
        </w:tc>
      </w:tr>
      <w:tr w:rsidR="00B4368F" w:rsidRPr="001E47E5" w14:paraId="55534933" w14:textId="77777777" w:rsidTr="00252F5C">
        <w:tc>
          <w:tcPr>
            <w:tcW w:w="1980" w:type="dxa"/>
            <w:shd w:val="clear" w:color="auto" w:fill="D9D9D9" w:themeFill="background1" w:themeFillShade="D9"/>
          </w:tcPr>
          <w:p w14:paraId="346B78C7"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1A053873" w14:textId="6C69AB14" w:rsidR="00B4368F" w:rsidRPr="001E47E5" w:rsidRDefault="00B4368F" w:rsidP="00524EAB">
            <w:pPr>
              <w:jc w:val="both"/>
              <w:rPr>
                <w:rFonts w:ascii="Times New Roman" w:hAnsi="Times New Roman" w:cs="Times New Roman"/>
                <w:sz w:val="24"/>
                <w:szCs w:val="24"/>
              </w:rPr>
            </w:pPr>
            <w:r w:rsidRPr="001E47E5">
              <w:rPr>
                <w:rFonts w:ascii="Times New Roman" w:hAnsi="Times New Roman" w:cs="Times New Roman"/>
                <w:sz w:val="24"/>
                <w:szCs w:val="24"/>
              </w:rPr>
              <w:t xml:space="preserve">Slovenská agentúra pre rozvoj investícií a obchodu (SARIO) pre slovenských podnikateľov zorganizovala webinár s názvom Zvyšovanie kybernetickej bezpečnosti slovenských firiem z pohľadu aktuálnej legislatívy a financií. Počas webináru boli prezentované najnovšie novinky z oblasti legislatívy kybernetickej bezpečnosti; možnosti, ako získať finančnú podporu na kyberbezpečnostné projekty a ako zvýšiť kybernetickú bezpečnosť slovenských firiem. Keďže na sektory ako digitálna infraštruktúra, energetika, fintech, priemysel, obehové hospodárstvo, zdravotníctvo a bankovníctvo sa vzťahujú povinnosti zo zákona o kybernetickej bezpečnosti, boli predstavené informácie o tom, ako ich naplniť, novinky v legislatíve </w:t>
            </w:r>
            <w:r w:rsidR="009544BD">
              <w:rPr>
                <w:rFonts w:ascii="Times New Roman" w:hAnsi="Times New Roman" w:cs="Times New Roman"/>
                <w:sz w:val="24"/>
                <w:szCs w:val="24"/>
              </w:rPr>
              <w:t>NIS 2</w:t>
            </w:r>
            <w:r w:rsidRPr="001E47E5">
              <w:rPr>
                <w:rFonts w:ascii="Times New Roman" w:hAnsi="Times New Roman" w:cs="Times New Roman"/>
                <w:sz w:val="24"/>
                <w:szCs w:val="24"/>
              </w:rPr>
              <w:t xml:space="preserve"> aj informácie o novom znalostnom štandarde pre roly v</w:t>
            </w:r>
            <w:r w:rsidR="00524EAB">
              <w:rPr>
                <w:rFonts w:ascii="Times New Roman" w:hAnsi="Times New Roman" w:cs="Times New Roman"/>
                <w:sz w:val="24"/>
                <w:szCs w:val="24"/>
              </w:rPr>
              <w:t> kybernetickej bezpečnosti</w:t>
            </w:r>
            <w:r w:rsidRPr="001E47E5">
              <w:rPr>
                <w:rFonts w:ascii="Times New Roman" w:hAnsi="Times New Roman" w:cs="Times New Roman"/>
                <w:sz w:val="24"/>
                <w:szCs w:val="24"/>
              </w:rPr>
              <w:t>.</w:t>
            </w:r>
          </w:p>
        </w:tc>
      </w:tr>
      <w:tr w:rsidR="00B4368F" w:rsidRPr="001E47E5" w14:paraId="2CCB8D38" w14:textId="77777777" w:rsidTr="00252F5C">
        <w:tc>
          <w:tcPr>
            <w:tcW w:w="1980" w:type="dxa"/>
            <w:shd w:val="clear" w:color="auto" w:fill="D9D9D9" w:themeFill="background1" w:themeFillShade="D9"/>
          </w:tcPr>
          <w:p w14:paraId="772C16EB"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71783D10"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súkromný sektor</w:t>
            </w:r>
          </w:p>
        </w:tc>
      </w:tr>
    </w:tbl>
    <w:p w14:paraId="3FC6CC50" w14:textId="77777777" w:rsidR="00B4368F" w:rsidRPr="001E47E5" w:rsidRDefault="00B4368F" w:rsidP="00B4368F">
      <w:pPr>
        <w:rPr>
          <w:rFonts w:ascii="Times New Roman" w:hAnsi="Times New Roman" w:cs="Times New Roman"/>
          <w:sz w:val="24"/>
          <w:szCs w:val="24"/>
        </w:rPr>
      </w:pPr>
    </w:p>
    <w:tbl>
      <w:tblPr>
        <w:tblStyle w:val="Mriekatabuky"/>
        <w:tblW w:w="9067" w:type="dxa"/>
        <w:tblLayout w:type="fixed"/>
        <w:tblLook w:val="04A0" w:firstRow="1" w:lastRow="0" w:firstColumn="1" w:lastColumn="0" w:noHBand="0" w:noVBand="1"/>
      </w:tblPr>
      <w:tblGrid>
        <w:gridCol w:w="1980"/>
        <w:gridCol w:w="7087"/>
      </w:tblGrid>
      <w:tr w:rsidR="00B4368F" w:rsidRPr="001E47E5" w14:paraId="1E63A57D" w14:textId="77777777" w:rsidTr="00252F5C">
        <w:tc>
          <w:tcPr>
            <w:tcW w:w="1980" w:type="dxa"/>
            <w:shd w:val="clear" w:color="auto" w:fill="D9D9D9" w:themeFill="background1" w:themeFillShade="D9"/>
          </w:tcPr>
          <w:p w14:paraId="0EA99D99"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1C0F9F6C"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Stretnutie certifikovaných audítorov</w:t>
            </w:r>
          </w:p>
        </w:tc>
      </w:tr>
      <w:tr w:rsidR="00B4368F" w:rsidRPr="001E47E5" w14:paraId="5AB2B78C" w14:textId="77777777" w:rsidTr="00252F5C">
        <w:tc>
          <w:tcPr>
            <w:tcW w:w="1980" w:type="dxa"/>
            <w:shd w:val="clear" w:color="auto" w:fill="D9D9D9" w:themeFill="background1" w:themeFillShade="D9"/>
          </w:tcPr>
          <w:p w14:paraId="6FD0692D"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295FC91A"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21.11.2023</w:t>
            </w:r>
          </w:p>
        </w:tc>
      </w:tr>
      <w:tr w:rsidR="00B4368F" w:rsidRPr="001E47E5" w14:paraId="4881D68E" w14:textId="77777777" w:rsidTr="00252F5C">
        <w:tc>
          <w:tcPr>
            <w:tcW w:w="1980" w:type="dxa"/>
            <w:shd w:val="clear" w:color="auto" w:fill="D9D9D9" w:themeFill="background1" w:themeFillShade="D9"/>
          </w:tcPr>
          <w:p w14:paraId="15384C2E"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2BCF3DC7" w14:textId="1F95CF38" w:rsidR="00B4368F" w:rsidRPr="001E47E5" w:rsidRDefault="00524EAB" w:rsidP="00524EAB">
            <w:pPr>
              <w:shd w:val="clear" w:color="auto" w:fill="FFFFFF"/>
              <w:spacing w:after="150"/>
              <w:jc w:val="both"/>
              <w:rPr>
                <w:rFonts w:ascii="Times New Roman" w:hAnsi="Times New Roman" w:cs="Times New Roman"/>
                <w:sz w:val="24"/>
                <w:szCs w:val="24"/>
              </w:rPr>
            </w:pPr>
            <w:r>
              <w:rPr>
                <w:rFonts w:ascii="Times New Roman" w:hAnsi="Times New Roman" w:cs="Times New Roman"/>
                <w:sz w:val="24"/>
                <w:szCs w:val="24"/>
              </w:rPr>
              <w:t>NBÚ a</w:t>
            </w:r>
            <w:r w:rsidR="00B4368F" w:rsidRPr="001E47E5">
              <w:rPr>
                <w:rFonts w:ascii="Times New Roman" w:hAnsi="Times New Roman" w:cs="Times New Roman"/>
                <w:sz w:val="24"/>
                <w:szCs w:val="24"/>
              </w:rPr>
              <w:t xml:space="preserve"> KCCKB v spolupráci so spoločnosťou Tüv Süd Slovakia zorganizovali podujatie pre desiatky audítorov z oblasti kybernetickej bezpečnosti. Zástupcovia spomínaných organizácií si s nimi vymenili aktuálne poznatky a skúsenosti v oblasti regulácie. Hlavnou témou podujatia bola nová smernica </w:t>
            </w:r>
            <w:r w:rsidR="009544BD">
              <w:rPr>
                <w:rFonts w:ascii="Times New Roman" w:hAnsi="Times New Roman" w:cs="Times New Roman"/>
                <w:sz w:val="24"/>
                <w:szCs w:val="24"/>
              </w:rPr>
              <w:t>NIS 2</w:t>
            </w:r>
            <w:r w:rsidR="00B4368F" w:rsidRPr="001E47E5">
              <w:rPr>
                <w:rFonts w:ascii="Times New Roman" w:hAnsi="Times New Roman" w:cs="Times New Roman"/>
                <w:sz w:val="24"/>
                <w:szCs w:val="24"/>
              </w:rPr>
              <w:t xml:space="preserve"> a jej dôsledky na prevádzkovateľov základnej služby (PSZ). Cieľom bola diskusia k smernici NIS 2, ktorá je zameraná na celoeurópske zlepšenie úrovne kybernetickej bezpečnosti.</w:t>
            </w:r>
            <w:r w:rsidR="00B4368F" w:rsidRPr="001E47E5">
              <w:rPr>
                <w:rFonts w:ascii="Times New Roman" w:hAnsi="Times New Roman" w:cs="Times New Roman"/>
                <w:color w:val="000000"/>
                <w:sz w:val="24"/>
                <w:szCs w:val="24"/>
              </w:rPr>
              <w:t xml:space="preserve"> </w:t>
            </w:r>
          </w:p>
        </w:tc>
      </w:tr>
      <w:tr w:rsidR="00B4368F" w:rsidRPr="001E47E5" w14:paraId="30E8E91E" w14:textId="77777777" w:rsidTr="00252F5C">
        <w:tc>
          <w:tcPr>
            <w:tcW w:w="1980" w:type="dxa"/>
            <w:shd w:val="clear" w:color="auto" w:fill="D9D9D9" w:themeFill="background1" w:themeFillShade="D9"/>
          </w:tcPr>
          <w:p w14:paraId="3810E891"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7BB6DA7D" w14:textId="33C248F2" w:rsidR="00B4368F" w:rsidRPr="001E47E5" w:rsidRDefault="006062B2" w:rsidP="00DE024B">
            <w:pPr>
              <w:rPr>
                <w:rFonts w:ascii="Times New Roman" w:hAnsi="Times New Roman" w:cs="Times New Roman"/>
                <w:sz w:val="24"/>
                <w:szCs w:val="24"/>
              </w:rPr>
            </w:pPr>
            <w:r>
              <w:rPr>
                <w:rFonts w:ascii="Times New Roman" w:hAnsi="Times New Roman" w:cs="Times New Roman"/>
                <w:sz w:val="24"/>
                <w:szCs w:val="24"/>
              </w:rPr>
              <w:t>v</w:t>
            </w:r>
            <w:r w:rsidR="00B4368F" w:rsidRPr="001E47E5">
              <w:rPr>
                <w:rFonts w:ascii="Times New Roman" w:hAnsi="Times New Roman" w:cs="Times New Roman"/>
                <w:sz w:val="24"/>
                <w:szCs w:val="24"/>
              </w:rPr>
              <w:t>erejná správa, súkromný sektor</w:t>
            </w:r>
          </w:p>
        </w:tc>
      </w:tr>
    </w:tbl>
    <w:p w14:paraId="75D24CEF" w14:textId="77777777" w:rsidR="00B4368F" w:rsidRPr="001E47E5" w:rsidRDefault="00B4368F" w:rsidP="00B4368F">
      <w:pPr>
        <w:rPr>
          <w:rFonts w:ascii="Times New Roman" w:hAnsi="Times New Roman" w:cs="Times New Roman"/>
          <w:sz w:val="24"/>
          <w:szCs w:val="24"/>
        </w:rPr>
      </w:pPr>
    </w:p>
    <w:tbl>
      <w:tblPr>
        <w:tblStyle w:val="Mriekatabuky"/>
        <w:tblW w:w="9067" w:type="dxa"/>
        <w:tblLayout w:type="fixed"/>
        <w:tblLook w:val="04A0" w:firstRow="1" w:lastRow="0" w:firstColumn="1" w:lastColumn="0" w:noHBand="0" w:noVBand="1"/>
      </w:tblPr>
      <w:tblGrid>
        <w:gridCol w:w="1980"/>
        <w:gridCol w:w="7087"/>
      </w:tblGrid>
      <w:tr w:rsidR="00B4368F" w:rsidRPr="001E47E5" w14:paraId="154A36ED" w14:textId="77777777" w:rsidTr="00252F5C">
        <w:tc>
          <w:tcPr>
            <w:tcW w:w="1980" w:type="dxa"/>
            <w:shd w:val="clear" w:color="auto" w:fill="D9D9D9" w:themeFill="background1" w:themeFillShade="D9"/>
          </w:tcPr>
          <w:p w14:paraId="1FDE6456"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31BC064B"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Medzinárodná konferencia ITAPA</w:t>
            </w:r>
          </w:p>
        </w:tc>
      </w:tr>
      <w:tr w:rsidR="00B4368F" w:rsidRPr="001E47E5" w14:paraId="50648EB5" w14:textId="77777777" w:rsidTr="00252F5C">
        <w:tc>
          <w:tcPr>
            <w:tcW w:w="1980" w:type="dxa"/>
            <w:shd w:val="clear" w:color="auto" w:fill="D9D9D9" w:themeFill="background1" w:themeFillShade="D9"/>
          </w:tcPr>
          <w:p w14:paraId="5B29E71B"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7193DBCF" w14:textId="77777777" w:rsidR="00B4368F" w:rsidRPr="001E47E5" w:rsidRDefault="00B4368F" w:rsidP="00DE024B">
            <w:pPr>
              <w:pStyle w:val="Normlnywebov"/>
              <w:jc w:val="both"/>
              <w:rPr>
                <w:color w:val="374151"/>
              </w:rPr>
            </w:pPr>
            <w:r w:rsidRPr="001E47E5">
              <w:rPr>
                <w:color w:val="374151"/>
              </w:rPr>
              <w:t xml:space="preserve">20.11 – 23.11. </w:t>
            </w:r>
            <w:r w:rsidRPr="001E47E5">
              <w:t>2023</w:t>
            </w:r>
          </w:p>
        </w:tc>
      </w:tr>
      <w:tr w:rsidR="00B4368F" w:rsidRPr="001E47E5" w14:paraId="14983418" w14:textId="77777777" w:rsidTr="00252F5C">
        <w:tc>
          <w:tcPr>
            <w:tcW w:w="1980" w:type="dxa"/>
            <w:shd w:val="clear" w:color="auto" w:fill="D9D9D9" w:themeFill="background1" w:themeFillShade="D9"/>
          </w:tcPr>
          <w:p w14:paraId="3CC38EFE"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35518CED" w14:textId="14AE9C7D" w:rsidR="00B4368F" w:rsidRPr="001E47E5" w:rsidRDefault="00B4368F" w:rsidP="00FE245E">
            <w:pPr>
              <w:jc w:val="both"/>
              <w:rPr>
                <w:rFonts w:ascii="Times New Roman" w:hAnsi="Times New Roman" w:cs="Times New Roman"/>
                <w:sz w:val="24"/>
                <w:szCs w:val="24"/>
                <w:highlight w:val="red"/>
              </w:rPr>
            </w:pPr>
            <w:r w:rsidRPr="001E47E5">
              <w:rPr>
                <w:rFonts w:ascii="Times New Roman" w:hAnsi="Times New Roman" w:cs="Times New Roman"/>
                <w:color w:val="000000" w:themeColor="text1"/>
                <w:sz w:val="24"/>
                <w:szCs w:val="24"/>
                <w:shd w:val="clear" w:color="auto" w:fill="FFFFFF"/>
              </w:rPr>
              <w:t>Prednáška NBÚ a diskusia v rámci viacerých panelov sa zamerala na legislatívnu aktivitu E</w:t>
            </w:r>
            <w:r w:rsidR="00FE245E">
              <w:rPr>
                <w:rFonts w:ascii="Times New Roman" w:hAnsi="Times New Roman" w:cs="Times New Roman"/>
                <w:color w:val="000000" w:themeColor="text1"/>
                <w:sz w:val="24"/>
                <w:szCs w:val="24"/>
                <w:shd w:val="clear" w:color="auto" w:fill="FFFFFF"/>
              </w:rPr>
              <w:t>urópskej komisie</w:t>
            </w:r>
            <w:r w:rsidRPr="001E47E5">
              <w:rPr>
                <w:rFonts w:ascii="Times New Roman" w:hAnsi="Times New Roman" w:cs="Times New Roman"/>
                <w:color w:val="000000" w:themeColor="text1"/>
                <w:sz w:val="24"/>
                <w:szCs w:val="24"/>
                <w:shd w:val="clear" w:color="auto" w:fill="FFFFFF"/>
              </w:rPr>
              <w:t xml:space="preserve"> a</w:t>
            </w:r>
            <w:r w:rsidR="00FE245E">
              <w:rPr>
                <w:rFonts w:ascii="Times New Roman" w:hAnsi="Times New Roman" w:cs="Times New Roman"/>
                <w:color w:val="000000" w:themeColor="text1"/>
                <w:sz w:val="24"/>
                <w:szCs w:val="24"/>
                <w:shd w:val="clear" w:color="auto" w:fill="FFFFFF"/>
              </w:rPr>
              <w:t> </w:t>
            </w:r>
            <w:r w:rsidRPr="001E47E5">
              <w:rPr>
                <w:rFonts w:ascii="Times New Roman" w:hAnsi="Times New Roman" w:cs="Times New Roman"/>
                <w:color w:val="000000" w:themeColor="text1"/>
                <w:sz w:val="24"/>
                <w:szCs w:val="24"/>
                <w:shd w:val="clear" w:color="auto" w:fill="FFFFFF"/>
              </w:rPr>
              <w:t>S</w:t>
            </w:r>
            <w:r w:rsidR="00FE245E">
              <w:rPr>
                <w:rFonts w:ascii="Times New Roman" w:hAnsi="Times New Roman" w:cs="Times New Roman"/>
                <w:color w:val="000000" w:themeColor="text1"/>
                <w:sz w:val="24"/>
                <w:szCs w:val="24"/>
                <w:shd w:val="clear" w:color="auto" w:fill="FFFFFF"/>
              </w:rPr>
              <w:t>lovenskej republiky</w:t>
            </w:r>
            <w:r w:rsidRPr="001E47E5">
              <w:rPr>
                <w:rFonts w:ascii="Times New Roman" w:hAnsi="Times New Roman" w:cs="Times New Roman"/>
                <w:color w:val="000000" w:themeColor="text1"/>
                <w:sz w:val="24"/>
                <w:szCs w:val="24"/>
                <w:shd w:val="clear" w:color="auto" w:fill="FFFFFF"/>
              </w:rPr>
              <w:t>. Od</w:t>
            </w:r>
            <w:r w:rsidR="00FE245E">
              <w:rPr>
                <w:rFonts w:ascii="Times New Roman" w:hAnsi="Times New Roman" w:cs="Times New Roman"/>
                <w:color w:val="000000" w:themeColor="text1"/>
                <w:sz w:val="24"/>
                <w:szCs w:val="24"/>
                <w:shd w:val="clear" w:color="auto" w:fill="FFFFFF"/>
              </w:rPr>
              <w:t> </w:t>
            </w:r>
            <w:r w:rsidRPr="001E47E5">
              <w:rPr>
                <w:rFonts w:ascii="Times New Roman" w:hAnsi="Times New Roman" w:cs="Times New Roman"/>
                <w:color w:val="000000" w:themeColor="text1"/>
                <w:sz w:val="24"/>
                <w:szCs w:val="24"/>
                <w:shd w:val="clear" w:color="auto" w:fill="FFFFFF"/>
              </w:rPr>
              <w:t>predstavenia prvej horizontálnej kyberbezpečnostnej legislatívy, ktorou bola smernica NIS, prešla takmer dekáda. Jej cieľom bolo dosiahnutie vysokej úrovni kybernetickej bezpečnosti v celej E</w:t>
            </w:r>
            <w:r w:rsidR="00FE245E">
              <w:rPr>
                <w:rFonts w:ascii="Times New Roman" w:hAnsi="Times New Roman" w:cs="Times New Roman"/>
                <w:color w:val="000000" w:themeColor="text1"/>
                <w:sz w:val="24"/>
                <w:szCs w:val="24"/>
                <w:shd w:val="clear" w:color="auto" w:fill="FFFFFF"/>
              </w:rPr>
              <w:t>urópskej únii</w:t>
            </w:r>
            <w:r w:rsidRPr="001E47E5">
              <w:rPr>
                <w:rFonts w:ascii="Times New Roman" w:hAnsi="Times New Roman" w:cs="Times New Roman"/>
                <w:color w:val="000000" w:themeColor="text1"/>
                <w:sz w:val="24"/>
                <w:szCs w:val="24"/>
                <w:shd w:val="clear" w:color="auto" w:fill="FFFFFF"/>
              </w:rPr>
              <w:t>, čo sa podarilo. Dokonca štandard NIS úspešne E</w:t>
            </w:r>
            <w:r w:rsidR="00FE245E">
              <w:rPr>
                <w:rFonts w:ascii="Times New Roman" w:hAnsi="Times New Roman" w:cs="Times New Roman"/>
                <w:color w:val="000000" w:themeColor="text1"/>
                <w:sz w:val="24"/>
                <w:szCs w:val="24"/>
                <w:shd w:val="clear" w:color="auto" w:fill="FFFFFF"/>
              </w:rPr>
              <w:t>urópska únia</w:t>
            </w:r>
            <w:r w:rsidRPr="001E47E5">
              <w:rPr>
                <w:rFonts w:ascii="Times New Roman" w:hAnsi="Times New Roman" w:cs="Times New Roman"/>
                <w:color w:val="000000" w:themeColor="text1"/>
                <w:sz w:val="24"/>
                <w:szCs w:val="24"/>
                <w:shd w:val="clear" w:color="auto" w:fill="FFFFFF"/>
              </w:rPr>
              <w:t xml:space="preserve"> exportuje aj do tretích krajín podobne ako pri GDPR. Panelisti diskutovali o tom, či je náš súčasný </w:t>
            </w:r>
            <w:r w:rsidR="00FE245E">
              <w:rPr>
                <w:rFonts w:ascii="Times New Roman" w:hAnsi="Times New Roman" w:cs="Times New Roman"/>
                <w:color w:val="000000" w:themeColor="text1"/>
                <w:sz w:val="24"/>
                <w:szCs w:val="24"/>
                <w:shd w:val="clear" w:color="auto" w:fill="FFFFFF"/>
              </w:rPr>
              <w:t xml:space="preserve">národný </w:t>
            </w:r>
            <w:r w:rsidRPr="001E47E5">
              <w:rPr>
                <w:rFonts w:ascii="Times New Roman" w:hAnsi="Times New Roman" w:cs="Times New Roman"/>
                <w:color w:val="000000" w:themeColor="text1"/>
                <w:sz w:val="24"/>
                <w:szCs w:val="24"/>
                <w:shd w:val="clear" w:color="auto" w:fill="FFFFFF"/>
              </w:rPr>
              <w:t xml:space="preserve">legislatívny rámec naďalej vhodný na účinnú reakciu voči kyberbezpečnostným incidentom, hrozbám a trendom. Diskusia mala poukázať na to, kde sa vlastne </w:t>
            </w:r>
            <w:r w:rsidR="00FE245E">
              <w:rPr>
                <w:rFonts w:ascii="Times New Roman" w:hAnsi="Times New Roman" w:cs="Times New Roman"/>
                <w:color w:val="000000" w:themeColor="text1"/>
                <w:sz w:val="24"/>
                <w:szCs w:val="24"/>
                <w:shd w:val="clear" w:color="auto" w:fill="FFFFFF"/>
              </w:rPr>
              <w:t xml:space="preserve">Slovenská republika </w:t>
            </w:r>
            <w:r w:rsidRPr="001E47E5">
              <w:rPr>
                <w:rFonts w:ascii="Times New Roman" w:hAnsi="Times New Roman" w:cs="Times New Roman"/>
                <w:color w:val="000000" w:themeColor="text1"/>
                <w:sz w:val="24"/>
                <w:szCs w:val="24"/>
                <w:shd w:val="clear" w:color="auto" w:fill="FFFFFF"/>
              </w:rPr>
              <w:t>nachádza s úrovňou kybernetickej bezpečnosti a súvisiacou digitálnou legislatívou s</w:t>
            </w:r>
            <w:r w:rsidR="00FE245E">
              <w:rPr>
                <w:rFonts w:ascii="Times New Roman" w:hAnsi="Times New Roman" w:cs="Times New Roman"/>
                <w:color w:val="000000" w:themeColor="text1"/>
                <w:sz w:val="24"/>
                <w:szCs w:val="24"/>
                <w:shd w:val="clear" w:color="auto" w:fill="FFFFFF"/>
              </w:rPr>
              <w:t> </w:t>
            </w:r>
            <w:r w:rsidRPr="001E47E5">
              <w:rPr>
                <w:rFonts w:ascii="Times New Roman" w:hAnsi="Times New Roman" w:cs="Times New Roman"/>
                <w:color w:val="000000" w:themeColor="text1"/>
                <w:sz w:val="24"/>
                <w:szCs w:val="24"/>
                <w:shd w:val="clear" w:color="auto" w:fill="FFFFFF"/>
              </w:rPr>
              <w:t xml:space="preserve">kyberbezpečnostnými prvkami. </w:t>
            </w:r>
          </w:p>
        </w:tc>
      </w:tr>
      <w:tr w:rsidR="00B4368F" w:rsidRPr="001E47E5" w14:paraId="29F96D79" w14:textId="77777777" w:rsidTr="00252F5C">
        <w:tc>
          <w:tcPr>
            <w:tcW w:w="1980" w:type="dxa"/>
            <w:shd w:val="clear" w:color="auto" w:fill="D9D9D9" w:themeFill="background1" w:themeFillShade="D9"/>
          </w:tcPr>
          <w:p w14:paraId="2E1347F3"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lastRenderedPageBreak/>
              <w:t>Cieľová skupina</w:t>
            </w:r>
          </w:p>
        </w:tc>
        <w:tc>
          <w:tcPr>
            <w:tcW w:w="7087" w:type="dxa"/>
          </w:tcPr>
          <w:p w14:paraId="34BBF6D7" w14:textId="4C1E31AA" w:rsidR="00B4368F" w:rsidRPr="001E47E5" w:rsidRDefault="006062B2" w:rsidP="00DE024B">
            <w:pPr>
              <w:rPr>
                <w:rFonts w:ascii="Times New Roman" w:hAnsi="Times New Roman" w:cs="Times New Roman"/>
                <w:sz w:val="24"/>
                <w:szCs w:val="24"/>
              </w:rPr>
            </w:pPr>
            <w:r>
              <w:rPr>
                <w:rFonts w:ascii="Times New Roman" w:hAnsi="Times New Roman" w:cs="Times New Roman"/>
                <w:sz w:val="24"/>
                <w:szCs w:val="24"/>
              </w:rPr>
              <w:t>v</w:t>
            </w:r>
            <w:r w:rsidR="00B4368F" w:rsidRPr="001E47E5">
              <w:rPr>
                <w:rFonts w:ascii="Times New Roman" w:hAnsi="Times New Roman" w:cs="Times New Roman"/>
                <w:sz w:val="24"/>
                <w:szCs w:val="24"/>
              </w:rPr>
              <w:t>erejná správa, súkromný sektor, akademická sféra</w:t>
            </w:r>
          </w:p>
        </w:tc>
      </w:tr>
    </w:tbl>
    <w:p w14:paraId="0D874E2B" w14:textId="77777777" w:rsidR="00B4368F" w:rsidRPr="001E47E5" w:rsidRDefault="00B4368F"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B4368F" w:rsidRPr="001E47E5" w14:paraId="56390FFF" w14:textId="77777777" w:rsidTr="00252F5C">
        <w:tc>
          <w:tcPr>
            <w:tcW w:w="1980" w:type="dxa"/>
            <w:shd w:val="clear" w:color="auto" w:fill="D9D9D9" w:themeFill="background1" w:themeFillShade="D9"/>
          </w:tcPr>
          <w:p w14:paraId="1ACE9001"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01773BAD"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color w:val="000000"/>
                <w:sz w:val="24"/>
                <w:szCs w:val="24"/>
              </w:rPr>
              <w:t>Workshop KCCKB pre komunitu</w:t>
            </w:r>
          </w:p>
        </w:tc>
      </w:tr>
      <w:tr w:rsidR="00B4368F" w:rsidRPr="001E47E5" w14:paraId="3E12FE42" w14:textId="77777777" w:rsidTr="00252F5C">
        <w:tc>
          <w:tcPr>
            <w:tcW w:w="1980" w:type="dxa"/>
            <w:shd w:val="clear" w:color="auto" w:fill="D9D9D9" w:themeFill="background1" w:themeFillShade="D9"/>
          </w:tcPr>
          <w:p w14:paraId="662793A9"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1758A086" w14:textId="77777777" w:rsidR="00B4368F" w:rsidRPr="001E47E5" w:rsidRDefault="00B4368F" w:rsidP="00DE024B">
            <w:pPr>
              <w:pStyle w:val="Normlnywebov"/>
              <w:jc w:val="both"/>
              <w:rPr>
                <w:color w:val="374151"/>
              </w:rPr>
            </w:pPr>
            <w:r w:rsidRPr="001E47E5">
              <w:rPr>
                <w:color w:val="374151"/>
              </w:rPr>
              <w:t>17.01.</w:t>
            </w:r>
            <w:r w:rsidRPr="001E47E5">
              <w:t>2024</w:t>
            </w:r>
          </w:p>
        </w:tc>
      </w:tr>
      <w:tr w:rsidR="00B4368F" w:rsidRPr="001E47E5" w14:paraId="57D37032" w14:textId="77777777" w:rsidTr="00252F5C">
        <w:tc>
          <w:tcPr>
            <w:tcW w:w="1980" w:type="dxa"/>
            <w:shd w:val="clear" w:color="auto" w:fill="D9D9D9" w:themeFill="background1" w:themeFillShade="D9"/>
          </w:tcPr>
          <w:p w14:paraId="79B1120C"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190E6207" w14:textId="1D65B68F" w:rsidR="00B4368F" w:rsidRPr="001E47E5" w:rsidRDefault="00B4368F" w:rsidP="006062B2">
            <w:pPr>
              <w:jc w:val="both"/>
              <w:rPr>
                <w:rFonts w:ascii="Times New Roman" w:hAnsi="Times New Roman" w:cs="Times New Roman"/>
                <w:sz w:val="24"/>
                <w:szCs w:val="24"/>
                <w:highlight w:val="red"/>
              </w:rPr>
            </w:pPr>
            <w:r w:rsidRPr="001E47E5">
              <w:rPr>
                <w:rFonts w:ascii="Times New Roman" w:hAnsi="Times New Roman" w:cs="Times New Roman"/>
                <w:color w:val="000000"/>
                <w:sz w:val="24"/>
                <w:szCs w:val="24"/>
              </w:rPr>
              <w:t>KCCKB v spolupráci s </w:t>
            </w:r>
            <w:r w:rsidR="006062B2">
              <w:rPr>
                <w:rFonts w:ascii="Times New Roman" w:hAnsi="Times New Roman" w:cs="Times New Roman"/>
                <w:color w:val="000000"/>
                <w:sz w:val="24"/>
                <w:szCs w:val="24"/>
              </w:rPr>
              <w:t>NBÚ</w:t>
            </w:r>
            <w:r w:rsidRPr="001E47E5">
              <w:rPr>
                <w:rFonts w:ascii="Times New Roman" w:hAnsi="Times New Roman" w:cs="Times New Roman"/>
                <w:color w:val="000000"/>
                <w:sz w:val="24"/>
                <w:szCs w:val="24"/>
              </w:rPr>
              <w:t xml:space="preserve">, privítali v Bratislave na neformálnom podujatí desiatky členov kyberbezpečnostnej komunity. Hlavnou témou podujatia bola nová smernica </w:t>
            </w:r>
            <w:r w:rsidR="009544BD">
              <w:rPr>
                <w:rFonts w:ascii="Times New Roman" w:hAnsi="Times New Roman" w:cs="Times New Roman"/>
                <w:color w:val="000000"/>
                <w:sz w:val="24"/>
                <w:szCs w:val="24"/>
              </w:rPr>
              <w:t>NIS 2</w:t>
            </w:r>
            <w:r w:rsidRPr="001E47E5">
              <w:rPr>
                <w:rFonts w:ascii="Times New Roman" w:hAnsi="Times New Roman" w:cs="Times New Roman"/>
                <w:color w:val="000000"/>
                <w:sz w:val="24"/>
                <w:szCs w:val="24"/>
              </w:rPr>
              <w:t xml:space="preserve"> a jej dôsledky na prevádzkovateľov základnej služby (PSZ). Zástupcovia komunity si s NBÚ a KCCKB vymenili aktuálne poznatky a skúsenosti v oblasti regulácie </w:t>
            </w:r>
            <w:r w:rsidR="009544BD">
              <w:rPr>
                <w:rFonts w:ascii="Times New Roman" w:hAnsi="Times New Roman" w:cs="Times New Roman"/>
                <w:color w:val="000000"/>
                <w:sz w:val="24"/>
                <w:szCs w:val="24"/>
              </w:rPr>
              <w:t>NIS 2</w:t>
            </w:r>
            <w:r w:rsidRPr="001E47E5">
              <w:rPr>
                <w:rFonts w:ascii="Times New Roman" w:hAnsi="Times New Roman" w:cs="Times New Roman"/>
                <w:color w:val="000000"/>
                <w:sz w:val="24"/>
                <w:szCs w:val="24"/>
              </w:rPr>
              <w:t xml:space="preserve"> a prezentovali návrhy týkajúce sa jej implementácie do praxe.</w:t>
            </w:r>
          </w:p>
        </w:tc>
      </w:tr>
      <w:tr w:rsidR="00B4368F" w:rsidRPr="001E47E5" w14:paraId="69FDA1B7" w14:textId="77777777" w:rsidTr="00252F5C">
        <w:tc>
          <w:tcPr>
            <w:tcW w:w="1980" w:type="dxa"/>
            <w:shd w:val="clear" w:color="auto" w:fill="D9D9D9" w:themeFill="background1" w:themeFillShade="D9"/>
          </w:tcPr>
          <w:p w14:paraId="65841D35"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18615B70" w14:textId="3982E28B" w:rsidR="00B4368F" w:rsidRPr="001E47E5" w:rsidRDefault="006062B2" w:rsidP="00DE024B">
            <w:pPr>
              <w:rPr>
                <w:rFonts w:ascii="Times New Roman" w:hAnsi="Times New Roman" w:cs="Times New Roman"/>
                <w:sz w:val="24"/>
                <w:szCs w:val="24"/>
              </w:rPr>
            </w:pPr>
            <w:r>
              <w:rPr>
                <w:rFonts w:ascii="Times New Roman" w:hAnsi="Times New Roman" w:cs="Times New Roman"/>
                <w:sz w:val="24"/>
                <w:szCs w:val="24"/>
              </w:rPr>
              <w:t>v</w:t>
            </w:r>
            <w:r w:rsidR="00B4368F" w:rsidRPr="001E47E5">
              <w:rPr>
                <w:rFonts w:ascii="Times New Roman" w:hAnsi="Times New Roman" w:cs="Times New Roman"/>
                <w:sz w:val="24"/>
                <w:szCs w:val="24"/>
              </w:rPr>
              <w:t>erejná správa, súkromný sektor, akademická sféra</w:t>
            </w:r>
          </w:p>
        </w:tc>
      </w:tr>
    </w:tbl>
    <w:p w14:paraId="60AE0C0E" w14:textId="77777777" w:rsidR="00B4368F" w:rsidRPr="001E47E5" w:rsidRDefault="00B4368F"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B4368F" w:rsidRPr="001E47E5" w14:paraId="5A1CDFB4" w14:textId="77777777" w:rsidTr="00252F5C">
        <w:tc>
          <w:tcPr>
            <w:tcW w:w="1980" w:type="dxa"/>
            <w:shd w:val="clear" w:color="auto" w:fill="D9D9D9" w:themeFill="background1" w:themeFillShade="D9"/>
          </w:tcPr>
          <w:p w14:paraId="10114DBB"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02DFADD8"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color w:val="000000"/>
                <w:sz w:val="24"/>
                <w:szCs w:val="24"/>
              </w:rPr>
              <w:t>Výročná schôdza PPP</w:t>
            </w:r>
          </w:p>
        </w:tc>
      </w:tr>
      <w:tr w:rsidR="00B4368F" w:rsidRPr="001E47E5" w14:paraId="427C5C35" w14:textId="77777777" w:rsidTr="00252F5C">
        <w:tc>
          <w:tcPr>
            <w:tcW w:w="1980" w:type="dxa"/>
            <w:shd w:val="clear" w:color="auto" w:fill="D9D9D9" w:themeFill="background1" w:themeFillShade="D9"/>
          </w:tcPr>
          <w:p w14:paraId="20BEEAFD"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5749BA49" w14:textId="77777777" w:rsidR="00B4368F" w:rsidRPr="001E47E5" w:rsidRDefault="00B4368F" w:rsidP="00DE024B">
            <w:pPr>
              <w:pStyle w:val="Normlnywebov"/>
              <w:jc w:val="both"/>
              <w:rPr>
                <w:color w:val="374151"/>
              </w:rPr>
            </w:pPr>
            <w:r w:rsidRPr="001E47E5">
              <w:rPr>
                <w:color w:val="374151"/>
              </w:rPr>
              <w:t>18.01.</w:t>
            </w:r>
            <w:r w:rsidRPr="001E47E5">
              <w:t>2024</w:t>
            </w:r>
          </w:p>
        </w:tc>
      </w:tr>
      <w:tr w:rsidR="00B4368F" w:rsidRPr="001E47E5" w14:paraId="33FE48FE" w14:textId="77777777" w:rsidTr="00252F5C">
        <w:tc>
          <w:tcPr>
            <w:tcW w:w="1980" w:type="dxa"/>
            <w:shd w:val="clear" w:color="auto" w:fill="D9D9D9" w:themeFill="background1" w:themeFillShade="D9"/>
          </w:tcPr>
          <w:p w14:paraId="37EA475A"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31C02954" w14:textId="65F854EA" w:rsidR="00B4368F" w:rsidRPr="001E47E5" w:rsidRDefault="00B4368F" w:rsidP="002E34D6">
            <w:pPr>
              <w:shd w:val="clear" w:color="auto" w:fill="FFFFFF"/>
              <w:jc w:val="both"/>
              <w:rPr>
                <w:rFonts w:ascii="Times New Roman" w:hAnsi="Times New Roman" w:cs="Times New Roman"/>
                <w:color w:val="000000"/>
                <w:sz w:val="24"/>
                <w:szCs w:val="24"/>
                <w:highlight w:val="yellow"/>
              </w:rPr>
            </w:pPr>
            <w:r w:rsidRPr="001E47E5">
              <w:rPr>
                <w:rFonts w:ascii="Times New Roman" w:hAnsi="Times New Roman" w:cs="Times New Roman"/>
                <w:color w:val="000000" w:themeColor="text1"/>
                <w:sz w:val="24"/>
                <w:szCs w:val="24"/>
                <w:shd w:val="clear" w:color="auto" w:fill="FFFFFF"/>
              </w:rPr>
              <w:t>Zástupcovia NBÚ prezentovali na výročnej schôdzke združenia Partnerstvá pre prosperitu legislatívnu aktivitu E</w:t>
            </w:r>
            <w:r w:rsidR="002E34D6">
              <w:rPr>
                <w:rFonts w:ascii="Times New Roman" w:hAnsi="Times New Roman" w:cs="Times New Roman"/>
                <w:color w:val="000000" w:themeColor="text1"/>
                <w:sz w:val="24"/>
                <w:szCs w:val="24"/>
                <w:shd w:val="clear" w:color="auto" w:fill="FFFFFF"/>
              </w:rPr>
              <w:t>urópskej komisie</w:t>
            </w:r>
            <w:r w:rsidRPr="001E47E5">
              <w:rPr>
                <w:rFonts w:ascii="Times New Roman" w:hAnsi="Times New Roman" w:cs="Times New Roman"/>
                <w:color w:val="000000" w:themeColor="text1"/>
                <w:sz w:val="24"/>
                <w:szCs w:val="24"/>
                <w:shd w:val="clear" w:color="auto" w:fill="FFFFFF"/>
              </w:rPr>
              <w:t xml:space="preserve"> a</w:t>
            </w:r>
            <w:r w:rsidR="002E34D6">
              <w:rPr>
                <w:rFonts w:ascii="Times New Roman" w:hAnsi="Times New Roman" w:cs="Times New Roman"/>
                <w:color w:val="000000" w:themeColor="text1"/>
                <w:sz w:val="24"/>
                <w:szCs w:val="24"/>
                <w:shd w:val="clear" w:color="auto" w:fill="FFFFFF"/>
              </w:rPr>
              <w:t> </w:t>
            </w:r>
            <w:r w:rsidRPr="001E47E5">
              <w:rPr>
                <w:rFonts w:ascii="Times New Roman" w:hAnsi="Times New Roman" w:cs="Times New Roman"/>
                <w:color w:val="000000" w:themeColor="text1"/>
                <w:sz w:val="24"/>
                <w:szCs w:val="24"/>
                <w:shd w:val="clear" w:color="auto" w:fill="FFFFFF"/>
              </w:rPr>
              <w:t>S</w:t>
            </w:r>
            <w:r w:rsidR="002E34D6">
              <w:rPr>
                <w:rFonts w:ascii="Times New Roman" w:hAnsi="Times New Roman" w:cs="Times New Roman"/>
                <w:color w:val="000000" w:themeColor="text1"/>
                <w:sz w:val="24"/>
                <w:szCs w:val="24"/>
                <w:shd w:val="clear" w:color="auto" w:fill="FFFFFF"/>
              </w:rPr>
              <w:t>lovenskej republiky</w:t>
            </w:r>
            <w:r w:rsidRPr="001E47E5">
              <w:rPr>
                <w:rFonts w:ascii="Times New Roman" w:hAnsi="Times New Roman" w:cs="Times New Roman"/>
                <w:color w:val="000000" w:themeColor="text1"/>
                <w:sz w:val="24"/>
                <w:szCs w:val="24"/>
                <w:shd w:val="clear" w:color="auto" w:fill="FFFFFF"/>
              </w:rPr>
              <w:t xml:space="preserve">. Prezentácia bola zameraná na </w:t>
            </w:r>
            <w:r w:rsidRPr="001E47E5">
              <w:rPr>
                <w:rFonts w:ascii="Times New Roman" w:hAnsi="Times New Roman" w:cs="Times New Roman"/>
                <w:color w:val="000000"/>
                <w:sz w:val="24"/>
                <w:szCs w:val="24"/>
              </w:rPr>
              <w:t xml:space="preserve">novú smernicu </w:t>
            </w:r>
            <w:r w:rsidR="009544BD">
              <w:rPr>
                <w:rFonts w:ascii="Times New Roman" w:hAnsi="Times New Roman" w:cs="Times New Roman"/>
                <w:color w:val="000000"/>
                <w:sz w:val="24"/>
                <w:szCs w:val="24"/>
              </w:rPr>
              <w:t>NIS 2</w:t>
            </w:r>
            <w:r w:rsidRPr="001E47E5">
              <w:rPr>
                <w:rFonts w:ascii="Times New Roman" w:hAnsi="Times New Roman" w:cs="Times New Roman"/>
                <w:color w:val="000000"/>
                <w:sz w:val="24"/>
                <w:szCs w:val="24"/>
              </w:rPr>
              <w:t xml:space="preserve"> a jej dôsledky na prevádzkovateľov základnej služby (PSZ). Zástupcovia komunity si s NBÚ vymenili aktuálne poznatky a skúsenosti v oblasti regulácie </w:t>
            </w:r>
            <w:r w:rsidR="009544BD">
              <w:rPr>
                <w:rFonts w:ascii="Times New Roman" w:hAnsi="Times New Roman" w:cs="Times New Roman"/>
                <w:color w:val="000000"/>
                <w:sz w:val="24"/>
                <w:szCs w:val="24"/>
              </w:rPr>
              <w:t>NIS 2</w:t>
            </w:r>
            <w:r w:rsidRPr="001E47E5">
              <w:rPr>
                <w:rFonts w:ascii="Times New Roman" w:hAnsi="Times New Roman" w:cs="Times New Roman"/>
                <w:color w:val="000000"/>
                <w:sz w:val="24"/>
                <w:szCs w:val="24"/>
              </w:rPr>
              <w:t xml:space="preserve"> a prezentovali návrhy týkajúce sa jej implementácie do praxe.</w:t>
            </w:r>
          </w:p>
        </w:tc>
      </w:tr>
      <w:tr w:rsidR="00B4368F" w:rsidRPr="001E47E5" w14:paraId="0AA54CED" w14:textId="77777777" w:rsidTr="00252F5C">
        <w:tc>
          <w:tcPr>
            <w:tcW w:w="1980" w:type="dxa"/>
            <w:shd w:val="clear" w:color="auto" w:fill="D9D9D9" w:themeFill="background1" w:themeFillShade="D9"/>
          </w:tcPr>
          <w:p w14:paraId="3D430B12"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500C805D" w14:textId="271CA3CA" w:rsidR="00B4368F" w:rsidRPr="001E47E5" w:rsidRDefault="006062B2" w:rsidP="00DE024B">
            <w:pPr>
              <w:rPr>
                <w:rFonts w:ascii="Times New Roman" w:hAnsi="Times New Roman" w:cs="Times New Roman"/>
                <w:sz w:val="24"/>
                <w:szCs w:val="24"/>
              </w:rPr>
            </w:pPr>
            <w:r>
              <w:rPr>
                <w:rFonts w:ascii="Times New Roman" w:hAnsi="Times New Roman" w:cs="Times New Roman"/>
                <w:sz w:val="24"/>
                <w:szCs w:val="24"/>
              </w:rPr>
              <w:t>v</w:t>
            </w:r>
            <w:r w:rsidR="00B4368F" w:rsidRPr="001E47E5">
              <w:rPr>
                <w:rFonts w:ascii="Times New Roman" w:hAnsi="Times New Roman" w:cs="Times New Roman"/>
                <w:sz w:val="24"/>
                <w:szCs w:val="24"/>
              </w:rPr>
              <w:t>erejná správa, súkromný sektor, akademická sféra</w:t>
            </w:r>
          </w:p>
        </w:tc>
      </w:tr>
    </w:tbl>
    <w:p w14:paraId="7989E58F" w14:textId="77777777" w:rsidR="00B4368F" w:rsidRPr="001E47E5" w:rsidRDefault="00B4368F"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B4368F" w:rsidRPr="001E47E5" w14:paraId="06705E45" w14:textId="77777777" w:rsidTr="00252F5C">
        <w:tc>
          <w:tcPr>
            <w:tcW w:w="1980" w:type="dxa"/>
            <w:shd w:val="clear" w:color="auto" w:fill="D9D9D9" w:themeFill="background1" w:themeFillShade="D9"/>
          </w:tcPr>
          <w:p w14:paraId="3A389650"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27EB3C2D"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color w:val="000000"/>
                <w:sz w:val="24"/>
                <w:szCs w:val="24"/>
              </w:rPr>
              <w:t>Webinár pre rakúske spoločnosti pôsobiace v rámci SR</w:t>
            </w:r>
          </w:p>
        </w:tc>
      </w:tr>
      <w:tr w:rsidR="00B4368F" w:rsidRPr="001E47E5" w14:paraId="13A7F086" w14:textId="77777777" w:rsidTr="00252F5C">
        <w:tc>
          <w:tcPr>
            <w:tcW w:w="1980" w:type="dxa"/>
            <w:shd w:val="clear" w:color="auto" w:fill="D9D9D9" w:themeFill="background1" w:themeFillShade="D9"/>
          </w:tcPr>
          <w:p w14:paraId="1FDD4154"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061FF934" w14:textId="77777777" w:rsidR="00B4368F" w:rsidRPr="001E47E5" w:rsidRDefault="00B4368F" w:rsidP="00DE024B">
            <w:pPr>
              <w:pStyle w:val="Normlnywebov"/>
              <w:jc w:val="both"/>
              <w:rPr>
                <w:color w:val="374151"/>
              </w:rPr>
            </w:pPr>
            <w:r w:rsidRPr="001E47E5">
              <w:rPr>
                <w:color w:val="374151"/>
              </w:rPr>
              <w:t>30.01.</w:t>
            </w:r>
            <w:r w:rsidRPr="001E47E5">
              <w:t>2024</w:t>
            </w:r>
          </w:p>
        </w:tc>
      </w:tr>
      <w:tr w:rsidR="00B4368F" w:rsidRPr="001E47E5" w14:paraId="6FBC84BA" w14:textId="77777777" w:rsidTr="00252F5C">
        <w:tc>
          <w:tcPr>
            <w:tcW w:w="1980" w:type="dxa"/>
            <w:shd w:val="clear" w:color="auto" w:fill="D9D9D9" w:themeFill="background1" w:themeFillShade="D9"/>
          </w:tcPr>
          <w:p w14:paraId="2CC2F3BC"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4E0D4FD5" w14:textId="5E9B4439" w:rsidR="00B4368F" w:rsidRPr="001E47E5" w:rsidRDefault="00B4368F" w:rsidP="00EC1189">
            <w:pPr>
              <w:shd w:val="clear" w:color="auto" w:fill="FFFFFF"/>
              <w:jc w:val="both"/>
              <w:rPr>
                <w:rFonts w:ascii="Times New Roman" w:hAnsi="Times New Roman" w:cs="Times New Roman"/>
                <w:color w:val="000000"/>
                <w:sz w:val="24"/>
                <w:szCs w:val="24"/>
              </w:rPr>
            </w:pPr>
            <w:r w:rsidRPr="001E47E5">
              <w:rPr>
                <w:rFonts w:ascii="Times New Roman" w:hAnsi="Times New Roman" w:cs="Times New Roman"/>
                <w:color w:val="000000"/>
                <w:sz w:val="24"/>
                <w:szCs w:val="24"/>
              </w:rPr>
              <w:t xml:space="preserve">Európska smernica </w:t>
            </w:r>
            <w:r w:rsidR="009544BD">
              <w:rPr>
                <w:rFonts w:ascii="Times New Roman" w:hAnsi="Times New Roman" w:cs="Times New Roman"/>
                <w:color w:val="000000"/>
                <w:sz w:val="24"/>
                <w:szCs w:val="24"/>
              </w:rPr>
              <w:t>NIS 2</w:t>
            </w:r>
            <w:r w:rsidRPr="001E47E5">
              <w:rPr>
                <w:rFonts w:ascii="Times New Roman" w:hAnsi="Times New Roman" w:cs="Times New Roman"/>
                <w:color w:val="000000"/>
                <w:sz w:val="24"/>
                <w:szCs w:val="24"/>
              </w:rPr>
              <w:t xml:space="preserve"> zavádza prísnejšie predpisy o kybernetickej bezpečnosti pre mnohé odvetvia a spoločnosti – vrátane tých, ktorých sa predchádzajúce predpisy netýkali. Cieľom je obmedziť útoky na IT systémy v</w:t>
            </w:r>
            <w:r w:rsidR="00EC1189">
              <w:rPr>
                <w:rFonts w:ascii="Times New Roman" w:hAnsi="Times New Roman" w:cs="Times New Roman"/>
                <w:color w:val="000000"/>
                <w:sz w:val="24"/>
                <w:szCs w:val="24"/>
              </w:rPr>
              <w:t> </w:t>
            </w:r>
            <w:r w:rsidRPr="001E47E5">
              <w:rPr>
                <w:rFonts w:ascii="Times New Roman" w:hAnsi="Times New Roman" w:cs="Times New Roman"/>
                <w:color w:val="000000"/>
                <w:sz w:val="24"/>
                <w:szCs w:val="24"/>
              </w:rPr>
              <w:t>E</w:t>
            </w:r>
            <w:r w:rsidR="00EC1189">
              <w:rPr>
                <w:rFonts w:ascii="Times New Roman" w:hAnsi="Times New Roman" w:cs="Times New Roman"/>
                <w:color w:val="000000"/>
                <w:sz w:val="24"/>
                <w:szCs w:val="24"/>
              </w:rPr>
              <w:t>urópskej únii</w:t>
            </w:r>
            <w:r w:rsidRPr="001E47E5">
              <w:rPr>
                <w:rFonts w:ascii="Times New Roman" w:hAnsi="Times New Roman" w:cs="Times New Roman"/>
                <w:color w:val="000000"/>
                <w:sz w:val="24"/>
                <w:szCs w:val="24"/>
              </w:rPr>
              <w:t>, ktoré poškodzujú hospodárstvo a spoločnosti. Rakúskym spoločnostiam bol na webinári poskytnutý prehľad o situácii v Českej republike a na Slovensku so štyrmi špičkovými odborníkmi z Bratislavy, Prahy, Brna a Viedne. Cieľom bolo umožniť rakúskym spoločnostiam, ktoré dodávajú na Slovensko a do Českej republiky, a ich miestnym pobočkám, pripraviť sa čo najlepšie na nové požiadavky, ktoré budú platiť od októbra 2024.</w:t>
            </w:r>
          </w:p>
        </w:tc>
      </w:tr>
      <w:tr w:rsidR="00B4368F" w:rsidRPr="001E47E5" w14:paraId="1FBA866E" w14:textId="77777777" w:rsidTr="00252F5C">
        <w:tc>
          <w:tcPr>
            <w:tcW w:w="1980" w:type="dxa"/>
            <w:shd w:val="clear" w:color="auto" w:fill="D9D9D9" w:themeFill="background1" w:themeFillShade="D9"/>
          </w:tcPr>
          <w:p w14:paraId="2E3CD86B" w14:textId="77777777" w:rsidR="00B4368F" w:rsidRPr="001E47E5" w:rsidRDefault="00B4368F"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6F475CA8" w14:textId="560E9171" w:rsidR="00B4368F" w:rsidRPr="001E47E5" w:rsidRDefault="006062B2" w:rsidP="00DE024B">
            <w:pPr>
              <w:rPr>
                <w:rFonts w:ascii="Times New Roman" w:hAnsi="Times New Roman" w:cs="Times New Roman"/>
                <w:sz w:val="24"/>
                <w:szCs w:val="24"/>
              </w:rPr>
            </w:pPr>
            <w:r>
              <w:rPr>
                <w:rFonts w:ascii="Times New Roman" w:hAnsi="Times New Roman" w:cs="Times New Roman"/>
                <w:sz w:val="24"/>
                <w:szCs w:val="24"/>
              </w:rPr>
              <w:t>s</w:t>
            </w:r>
            <w:r w:rsidR="00B4368F" w:rsidRPr="001E47E5">
              <w:rPr>
                <w:rFonts w:ascii="Times New Roman" w:hAnsi="Times New Roman" w:cs="Times New Roman"/>
                <w:sz w:val="24"/>
                <w:szCs w:val="24"/>
              </w:rPr>
              <w:t>úkromný sektor</w:t>
            </w:r>
          </w:p>
        </w:tc>
      </w:tr>
    </w:tbl>
    <w:p w14:paraId="011F6312" w14:textId="77777777" w:rsidR="00B4368F" w:rsidRPr="001E47E5" w:rsidRDefault="00B4368F"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BA3E88" w:rsidRPr="001E47E5" w14:paraId="4A566C9E" w14:textId="77777777" w:rsidTr="00DE024B">
        <w:tc>
          <w:tcPr>
            <w:tcW w:w="1980" w:type="dxa"/>
            <w:shd w:val="clear" w:color="auto" w:fill="D9D9D9" w:themeFill="background1" w:themeFillShade="D9"/>
          </w:tcPr>
          <w:p w14:paraId="682426A2"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4DEAF8C5" w14:textId="4C380F13"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color w:val="000000"/>
                <w:sz w:val="24"/>
                <w:szCs w:val="24"/>
                <w:shd w:val="clear" w:color="auto" w:fill="FFFFFF"/>
              </w:rPr>
              <w:t>Stretnutie kyberkomunity – American Chamber of Commerce</w:t>
            </w:r>
          </w:p>
        </w:tc>
      </w:tr>
      <w:tr w:rsidR="00BA3E88" w:rsidRPr="001E47E5" w14:paraId="46F1B382" w14:textId="77777777" w:rsidTr="00DE024B">
        <w:tc>
          <w:tcPr>
            <w:tcW w:w="1980" w:type="dxa"/>
            <w:shd w:val="clear" w:color="auto" w:fill="D9D9D9" w:themeFill="background1" w:themeFillShade="D9"/>
          </w:tcPr>
          <w:p w14:paraId="7091B513"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20DC8547" w14:textId="78AD52EE" w:rsidR="00BA3E88" w:rsidRPr="001E47E5" w:rsidRDefault="00BA3E88" w:rsidP="00DE024B">
            <w:pPr>
              <w:pStyle w:val="Normlnywebov"/>
              <w:jc w:val="both"/>
              <w:rPr>
                <w:color w:val="374151"/>
              </w:rPr>
            </w:pPr>
            <w:r w:rsidRPr="001E47E5">
              <w:rPr>
                <w:color w:val="374151"/>
              </w:rPr>
              <w:t>09.02.2024</w:t>
            </w:r>
          </w:p>
        </w:tc>
      </w:tr>
      <w:tr w:rsidR="00BA3E88" w:rsidRPr="001E47E5" w14:paraId="5FF16B5C" w14:textId="77777777" w:rsidTr="00DE024B">
        <w:tc>
          <w:tcPr>
            <w:tcW w:w="1980" w:type="dxa"/>
            <w:shd w:val="clear" w:color="auto" w:fill="D9D9D9" w:themeFill="background1" w:themeFillShade="D9"/>
          </w:tcPr>
          <w:p w14:paraId="41805D57"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7489A7A5" w14:textId="7D3449FE" w:rsidR="00BA3E88" w:rsidRPr="001E47E5" w:rsidRDefault="00EC1189" w:rsidP="00DE024B">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NBÚ</w:t>
            </w:r>
            <w:r w:rsidR="00BA3E88" w:rsidRPr="001E47E5">
              <w:rPr>
                <w:rFonts w:ascii="Times New Roman" w:hAnsi="Times New Roman" w:cs="Times New Roman"/>
                <w:color w:val="000000"/>
                <w:sz w:val="24"/>
                <w:szCs w:val="24"/>
              </w:rPr>
              <w:t xml:space="preserve"> zrealizoval konzultácie organizované </w:t>
            </w:r>
            <w:r w:rsidR="00BA3E88" w:rsidRPr="001E47E5">
              <w:rPr>
                <w:rFonts w:ascii="Times New Roman" w:hAnsi="Times New Roman" w:cs="Times New Roman"/>
                <w:color w:val="000000"/>
                <w:sz w:val="24"/>
                <w:szCs w:val="24"/>
                <w:shd w:val="clear" w:color="auto" w:fill="FFFFFF"/>
              </w:rPr>
              <w:t>American Chamber of Commerce.</w:t>
            </w:r>
            <w:r w:rsidR="00BA3E88" w:rsidRPr="001E47E5">
              <w:rPr>
                <w:rFonts w:ascii="Times New Roman" w:hAnsi="Times New Roman" w:cs="Times New Roman"/>
                <w:color w:val="000000"/>
                <w:sz w:val="24"/>
                <w:szCs w:val="24"/>
              </w:rPr>
              <w:t xml:space="preserve"> Hlavnou témou podujatia bola nová smernica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jej dôsledky pre existujúcich </w:t>
            </w:r>
            <w:r w:rsidR="00D02E1B" w:rsidRPr="001E47E5">
              <w:rPr>
                <w:rFonts w:ascii="Times New Roman" w:hAnsi="Times New Roman" w:cs="Times New Roman"/>
                <w:color w:val="000000"/>
                <w:sz w:val="24"/>
                <w:szCs w:val="24"/>
              </w:rPr>
              <w:t>a nových PZS</w:t>
            </w:r>
            <w:r w:rsidR="00BA3E88" w:rsidRPr="001E47E5">
              <w:rPr>
                <w:rFonts w:ascii="Times New Roman" w:hAnsi="Times New Roman" w:cs="Times New Roman"/>
                <w:color w:val="000000"/>
                <w:sz w:val="24"/>
                <w:szCs w:val="24"/>
              </w:rPr>
              <w:t xml:space="preserve">. Zástupcovia subjektov si s NBÚ vymenili aktuálne poznatky a skúsenosti v oblasti regulácie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prezentovali návrhy týkajúce sa jej implementácie do praxe.</w:t>
            </w:r>
          </w:p>
        </w:tc>
      </w:tr>
      <w:tr w:rsidR="00BA3E88" w:rsidRPr="001E47E5" w14:paraId="78261E26" w14:textId="77777777" w:rsidTr="00DE024B">
        <w:tc>
          <w:tcPr>
            <w:tcW w:w="1980" w:type="dxa"/>
            <w:shd w:val="clear" w:color="auto" w:fill="D9D9D9" w:themeFill="background1" w:themeFillShade="D9"/>
          </w:tcPr>
          <w:p w14:paraId="4BB0A361"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52789CD9" w14:textId="068F8627" w:rsidR="00BA3E88" w:rsidRPr="001E47E5" w:rsidRDefault="006062B2" w:rsidP="00DE024B">
            <w:pPr>
              <w:rPr>
                <w:rFonts w:ascii="Times New Roman" w:hAnsi="Times New Roman" w:cs="Times New Roman"/>
                <w:sz w:val="24"/>
                <w:szCs w:val="24"/>
              </w:rPr>
            </w:pPr>
            <w:r>
              <w:rPr>
                <w:rFonts w:ascii="Times New Roman" w:hAnsi="Times New Roman" w:cs="Times New Roman"/>
                <w:sz w:val="24"/>
                <w:szCs w:val="24"/>
              </w:rPr>
              <w:t>s</w:t>
            </w:r>
            <w:r w:rsidR="00BA3E88" w:rsidRPr="001E47E5">
              <w:rPr>
                <w:rFonts w:ascii="Times New Roman" w:hAnsi="Times New Roman" w:cs="Times New Roman"/>
                <w:sz w:val="24"/>
                <w:szCs w:val="24"/>
              </w:rPr>
              <w:t>úkromný sektor</w:t>
            </w:r>
          </w:p>
        </w:tc>
      </w:tr>
    </w:tbl>
    <w:p w14:paraId="26676897" w14:textId="77777777" w:rsidR="00BA3E88" w:rsidRPr="001E47E5" w:rsidRDefault="00BA3E88"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BA3E88" w:rsidRPr="001E47E5" w14:paraId="177E3141" w14:textId="77777777" w:rsidTr="00DE024B">
        <w:tc>
          <w:tcPr>
            <w:tcW w:w="1980" w:type="dxa"/>
            <w:shd w:val="clear" w:color="auto" w:fill="D9D9D9" w:themeFill="background1" w:themeFillShade="D9"/>
          </w:tcPr>
          <w:p w14:paraId="791FACDB"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4F374C7D" w14:textId="1662E01A" w:rsidR="00BA3E88" w:rsidRPr="001E47E5" w:rsidRDefault="003818F8" w:rsidP="00DE024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Stretnutie audítorov kybernetickej bezpečnosti</w:t>
            </w:r>
          </w:p>
        </w:tc>
      </w:tr>
      <w:tr w:rsidR="00BA3E88" w:rsidRPr="001E47E5" w14:paraId="79DE31D9" w14:textId="77777777" w:rsidTr="00DE024B">
        <w:tc>
          <w:tcPr>
            <w:tcW w:w="1980" w:type="dxa"/>
            <w:shd w:val="clear" w:color="auto" w:fill="D9D9D9" w:themeFill="background1" w:themeFillShade="D9"/>
          </w:tcPr>
          <w:p w14:paraId="5F3435EC"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7105781F" w14:textId="4C9F8DB2" w:rsidR="00BA3E88" w:rsidRPr="001E47E5" w:rsidRDefault="00BA3E88" w:rsidP="00DE024B">
            <w:pPr>
              <w:pStyle w:val="Normlnywebov"/>
              <w:jc w:val="both"/>
              <w:rPr>
                <w:color w:val="374151"/>
              </w:rPr>
            </w:pPr>
            <w:r w:rsidRPr="001E47E5">
              <w:rPr>
                <w:color w:val="374151"/>
              </w:rPr>
              <w:t>18.03.2024</w:t>
            </w:r>
          </w:p>
        </w:tc>
      </w:tr>
      <w:tr w:rsidR="00BA3E88" w:rsidRPr="001E47E5" w14:paraId="156CB75F" w14:textId="77777777" w:rsidTr="00DE024B">
        <w:tc>
          <w:tcPr>
            <w:tcW w:w="1980" w:type="dxa"/>
            <w:shd w:val="clear" w:color="auto" w:fill="D9D9D9" w:themeFill="background1" w:themeFillShade="D9"/>
          </w:tcPr>
          <w:p w14:paraId="5C2B43F2"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lastRenderedPageBreak/>
              <w:t>Popis</w:t>
            </w:r>
          </w:p>
        </w:tc>
        <w:tc>
          <w:tcPr>
            <w:tcW w:w="7087" w:type="dxa"/>
          </w:tcPr>
          <w:p w14:paraId="02DA8D55" w14:textId="4313F025" w:rsidR="00BA3E88" w:rsidRPr="001E47E5" w:rsidRDefault="003818F8" w:rsidP="003818F8">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NBÚ</w:t>
            </w:r>
            <w:r w:rsidR="00BA3E88" w:rsidRPr="001E47E5">
              <w:rPr>
                <w:rFonts w:ascii="Times New Roman" w:hAnsi="Times New Roman" w:cs="Times New Roman"/>
                <w:color w:val="000000"/>
                <w:sz w:val="24"/>
                <w:szCs w:val="24"/>
              </w:rPr>
              <w:t xml:space="preserve"> zrealizoval konzultácie pre audítorov </w:t>
            </w:r>
            <w:r>
              <w:rPr>
                <w:rFonts w:ascii="Times New Roman" w:hAnsi="Times New Roman" w:cs="Times New Roman"/>
                <w:color w:val="000000"/>
                <w:sz w:val="24"/>
                <w:szCs w:val="24"/>
              </w:rPr>
              <w:t>kybernetickej bezpečnosti</w:t>
            </w:r>
            <w:r w:rsidR="00BA3E88" w:rsidRPr="001E47E5">
              <w:rPr>
                <w:rFonts w:ascii="Times New Roman" w:hAnsi="Times New Roman" w:cs="Times New Roman"/>
                <w:color w:val="000000"/>
                <w:sz w:val="24"/>
                <w:szCs w:val="24"/>
                <w:shd w:val="clear" w:color="auto" w:fill="FFFFFF"/>
              </w:rPr>
              <w:t>.</w:t>
            </w:r>
            <w:r w:rsidR="00BA3E88" w:rsidRPr="001E47E5">
              <w:rPr>
                <w:rFonts w:ascii="Times New Roman" w:hAnsi="Times New Roman" w:cs="Times New Roman"/>
                <w:color w:val="000000"/>
                <w:sz w:val="24"/>
                <w:szCs w:val="24"/>
              </w:rPr>
              <w:t xml:space="preserve"> Hlavnou témou podujatia bola nová smernica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jej dôsledky pre existujúcich a nových P</w:t>
            </w:r>
            <w:r w:rsidR="00D02E1B" w:rsidRPr="001E47E5">
              <w:rPr>
                <w:rFonts w:ascii="Times New Roman" w:hAnsi="Times New Roman" w:cs="Times New Roman"/>
                <w:color w:val="000000"/>
                <w:sz w:val="24"/>
                <w:szCs w:val="24"/>
              </w:rPr>
              <w:t>ZS</w:t>
            </w:r>
            <w:r w:rsidR="00BA3E88" w:rsidRPr="001E47E5">
              <w:rPr>
                <w:rFonts w:ascii="Times New Roman" w:hAnsi="Times New Roman" w:cs="Times New Roman"/>
                <w:color w:val="000000"/>
                <w:sz w:val="24"/>
                <w:szCs w:val="24"/>
              </w:rPr>
              <w:t xml:space="preserve">. Audítori </w:t>
            </w:r>
            <w:r>
              <w:rPr>
                <w:rFonts w:ascii="Times New Roman" w:hAnsi="Times New Roman" w:cs="Times New Roman"/>
                <w:color w:val="000000"/>
                <w:sz w:val="24"/>
                <w:szCs w:val="24"/>
              </w:rPr>
              <w:t>kybernetickej bezpečnosti</w:t>
            </w:r>
            <w:r w:rsidR="00BA3E88" w:rsidRPr="001E47E5">
              <w:rPr>
                <w:rFonts w:ascii="Times New Roman" w:hAnsi="Times New Roman" w:cs="Times New Roman"/>
                <w:color w:val="000000"/>
                <w:sz w:val="24"/>
                <w:szCs w:val="24"/>
              </w:rPr>
              <w:t xml:space="preserve"> si s NBÚ vymenili aktuálne poznatky a skúsenosti v oblasti regulácie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prezentovali návrhy týkajúce sa jej implementácie do praxe.</w:t>
            </w:r>
          </w:p>
        </w:tc>
      </w:tr>
      <w:tr w:rsidR="00BA3E88" w:rsidRPr="001E47E5" w14:paraId="6BCDB097" w14:textId="77777777" w:rsidTr="00DE024B">
        <w:tc>
          <w:tcPr>
            <w:tcW w:w="1980" w:type="dxa"/>
            <w:shd w:val="clear" w:color="auto" w:fill="D9D9D9" w:themeFill="background1" w:themeFillShade="D9"/>
          </w:tcPr>
          <w:p w14:paraId="06C3618D"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108224E2" w14:textId="33358E5C" w:rsidR="00BA3E88" w:rsidRPr="001E47E5" w:rsidRDefault="003818F8" w:rsidP="00DE024B">
            <w:pPr>
              <w:rPr>
                <w:rFonts w:ascii="Times New Roman" w:hAnsi="Times New Roman" w:cs="Times New Roman"/>
                <w:sz w:val="24"/>
                <w:szCs w:val="24"/>
              </w:rPr>
            </w:pPr>
            <w:r>
              <w:rPr>
                <w:rFonts w:ascii="Times New Roman" w:hAnsi="Times New Roman" w:cs="Times New Roman"/>
                <w:sz w:val="24"/>
                <w:szCs w:val="24"/>
              </w:rPr>
              <w:t>o</w:t>
            </w:r>
            <w:r w:rsidR="00BA3E88" w:rsidRPr="001E47E5">
              <w:rPr>
                <w:rFonts w:ascii="Times New Roman" w:hAnsi="Times New Roman" w:cs="Times New Roman"/>
                <w:sz w:val="24"/>
                <w:szCs w:val="24"/>
              </w:rPr>
              <w:t>dborná verejnosť</w:t>
            </w:r>
          </w:p>
        </w:tc>
      </w:tr>
    </w:tbl>
    <w:p w14:paraId="531B120B" w14:textId="77777777" w:rsidR="00BA3E88" w:rsidRPr="001E47E5" w:rsidRDefault="00BA3E88"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BA3E88" w:rsidRPr="001E47E5" w14:paraId="16EC31BC" w14:textId="77777777" w:rsidTr="00DE024B">
        <w:tc>
          <w:tcPr>
            <w:tcW w:w="1980" w:type="dxa"/>
            <w:shd w:val="clear" w:color="auto" w:fill="D9D9D9" w:themeFill="background1" w:themeFillShade="D9"/>
          </w:tcPr>
          <w:p w14:paraId="4F010B4D"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761B788A" w14:textId="735B6997" w:rsidR="00BA3E88" w:rsidRPr="001E47E5" w:rsidRDefault="003818F8" w:rsidP="00DE024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Stretnutie manažérov kybernetickej bezpečnosti</w:t>
            </w:r>
          </w:p>
        </w:tc>
      </w:tr>
      <w:tr w:rsidR="00BA3E88" w:rsidRPr="001E47E5" w14:paraId="55A5A385" w14:textId="77777777" w:rsidTr="00DE024B">
        <w:tc>
          <w:tcPr>
            <w:tcW w:w="1980" w:type="dxa"/>
            <w:shd w:val="clear" w:color="auto" w:fill="D9D9D9" w:themeFill="background1" w:themeFillShade="D9"/>
          </w:tcPr>
          <w:p w14:paraId="7E3CA67A"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77CB8476" w14:textId="757E3616" w:rsidR="00BA3E88" w:rsidRPr="001E47E5" w:rsidRDefault="00BA3E88" w:rsidP="00DE024B">
            <w:pPr>
              <w:pStyle w:val="Normlnywebov"/>
              <w:jc w:val="both"/>
              <w:rPr>
                <w:color w:val="374151"/>
              </w:rPr>
            </w:pPr>
            <w:r w:rsidRPr="001E47E5">
              <w:rPr>
                <w:color w:val="374151"/>
              </w:rPr>
              <w:t>25.03.2024</w:t>
            </w:r>
          </w:p>
        </w:tc>
      </w:tr>
      <w:tr w:rsidR="00BA3E88" w:rsidRPr="001E47E5" w14:paraId="2BB5C60F" w14:textId="77777777" w:rsidTr="00DE024B">
        <w:tc>
          <w:tcPr>
            <w:tcW w:w="1980" w:type="dxa"/>
            <w:shd w:val="clear" w:color="auto" w:fill="D9D9D9" w:themeFill="background1" w:themeFillShade="D9"/>
          </w:tcPr>
          <w:p w14:paraId="4E7EFA82"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785D3B38" w14:textId="3861D94F" w:rsidR="00BA3E88" w:rsidRPr="001E47E5" w:rsidRDefault="003818F8" w:rsidP="003818F8">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NBÚ</w:t>
            </w:r>
            <w:r w:rsidR="00BA3E88" w:rsidRPr="001E47E5">
              <w:rPr>
                <w:rFonts w:ascii="Times New Roman" w:hAnsi="Times New Roman" w:cs="Times New Roman"/>
                <w:color w:val="000000"/>
                <w:sz w:val="24"/>
                <w:szCs w:val="24"/>
              </w:rPr>
              <w:t xml:space="preserve"> zrealizoval konzultácie pre manažérov </w:t>
            </w:r>
            <w:r>
              <w:rPr>
                <w:rFonts w:ascii="Times New Roman" w:hAnsi="Times New Roman" w:cs="Times New Roman"/>
                <w:color w:val="000000"/>
                <w:sz w:val="24"/>
                <w:szCs w:val="24"/>
              </w:rPr>
              <w:t>kybernetickej bezpečnosti</w:t>
            </w:r>
            <w:r w:rsidR="00BA3E88" w:rsidRPr="001E47E5">
              <w:rPr>
                <w:rFonts w:ascii="Times New Roman" w:hAnsi="Times New Roman" w:cs="Times New Roman"/>
                <w:color w:val="000000"/>
                <w:sz w:val="24"/>
                <w:szCs w:val="24"/>
                <w:shd w:val="clear" w:color="auto" w:fill="FFFFFF"/>
              </w:rPr>
              <w:t>.</w:t>
            </w:r>
            <w:r w:rsidR="00BA3E88" w:rsidRPr="001E47E5">
              <w:rPr>
                <w:rFonts w:ascii="Times New Roman" w:hAnsi="Times New Roman" w:cs="Times New Roman"/>
                <w:color w:val="000000"/>
                <w:sz w:val="24"/>
                <w:szCs w:val="24"/>
              </w:rPr>
              <w:t xml:space="preserve"> Hlavnou témou podujatia bola nová smernica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jej dôsledky pre existujúcich a nových prevádzkovateľov základnej služby (PSZ). </w:t>
            </w:r>
            <w:r>
              <w:rPr>
                <w:rFonts w:ascii="Times New Roman" w:hAnsi="Times New Roman" w:cs="Times New Roman"/>
                <w:color w:val="000000"/>
                <w:sz w:val="24"/>
                <w:szCs w:val="24"/>
              </w:rPr>
              <w:t>Manažéri</w:t>
            </w:r>
            <w:r w:rsidR="00BA3E88" w:rsidRPr="001E47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kybernetickej bezpečnosti</w:t>
            </w:r>
            <w:r w:rsidR="00BA3E88" w:rsidRPr="001E47E5">
              <w:rPr>
                <w:rFonts w:ascii="Times New Roman" w:hAnsi="Times New Roman" w:cs="Times New Roman"/>
                <w:color w:val="000000"/>
                <w:sz w:val="24"/>
                <w:szCs w:val="24"/>
              </w:rPr>
              <w:t xml:space="preserve"> si s NBÚ vymenili aktuálne poznatky a skúsenosti v oblasti regulácie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prezentovali návrhy týkajúce sa jej implementácie do praxe.</w:t>
            </w:r>
          </w:p>
        </w:tc>
      </w:tr>
      <w:tr w:rsidR="00BA3E88" w:rsidRPr="001E47E5" w14:paraId="4701C2BA" w14:textId="77777777" w:rsidTr="00DE024B">
        <w:tc>
          <w:tcPr>
            <w:tcW w:w="1980" w:type="dxa"/>
            <w:shd w:val="clear" w:color="auto" w:fill="D9D9D9" w:themeFill="background1" w:themeFillShade="D9"/>
          </w:tcPr>
          <w:p w14:paraId="777C0AE2"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6CBA6D58" w14:textId="2D3E9D4D" w:rsidR="00BA3E88" w:rsidRPr="001E47E5" w:rsidRDefault="003818F8" w:rsidP="00DE024B">
            <w:pPr>
              <w:rPr>
                <w:rFonts w:ascii="Times New Roman" w:hAnsi="Times New Roman" w:cs="Times New Roman"/>
                <w:sz w:val="24"/>
                <w:szCs w:val="24"/>
              </w:rPr>
            </w:pPr>
            <w:r>
              <w:rPr>
                <w:rFonts w:ascii="Times New Roman" w:hAnsi="Times New Roman" w:cs="Times New Roman"/>
                <w:sz w:val="24"/>
                <w:szCs w:val="24"/>
              </w:rPr>
              <w:t>o</w:t>
            </w:r>
            <w:r w:rsidR="00BA3E88" w:rsidRPr="001E47E5">
              <w:rPr>
                <w:rFonts w:ascii="Times New Roman" w:hAnsi="Times New Roman" w:cs="Times New Roman"/>
                <w:sz w:val="24"/>
                <w:szCs w:val="24"/>
              </w:rPr>
              <w:t>dborná verejnosť</w:t>
            </w:r>
          </w:p>
        </w:tc>
      </w:tr>
    </w:tbl>
    <w:p w14:paraId="107AB867" w14:textId="77777777" w:rsidR="00BA3E88" w:rsidRPr="001E47E5" w:rsidRDefault="00BA3E88"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BA3E88" w:rsidRPr="001E47E5" w14:paraId="7F92943C" w14:textId="77777777" w:rsidTr="00DE024B">
        <w:tc>
          <w:tcPr>
            <w:tcW w:w="1980" w:type="dxa"/>
            <w:shd w:val="clear" w:color="auto" w:fill="D9D9D9" w:themeFill="background1" w:themeFillShade="D9"/>
          </w:tcPr>
          <w:p w14:paraId="0CC5F9D2"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220D9ED2" w14:textId="7839DA5B" w:rsidR="00BA3E88" w:rsidRPr="001E47E5" w:rsidRDefault="00BA3E88" w:rsidP="00D03E63">
            <w:pPr>
              <w:rPr>
                <w:rFonts w:ascii="Times New Roman" w:hAnsi="Times New Roman" w:cs="Times New Roman"/>
                <w:sz w:val="24"/>
                <w:szCs w:val="24"/>
              </w:rPr>
            </w:pPr>
            <w:r w:rsidRPr="001E47E5">
              <w:rPr>
                <w:rFonts w:ascii="Times New Roman" w:hAnsi="Times New Roman" w:cs="Times New Roman"/>
                <w:color w:val="000000"/>
                <w:sz w:val="24"/>
                <w:szCs w:val="24"/>
                <w:shd w:val="clear" w:color="auto" w:fill="FFFFFF"/>
              </w:rPr>
              <w:t xml:space="preserve">Výjazdové stretnutie zástupcov </w:t>
            </w:r>
            <w:r w:rsidR="00D03E63">
              <w:rPr>
                <w:rFonts w:ascii="Times New Roman" w:hAnsi="Times New Roman" w:cs="Times New Roman"/>
                <w:color w:val="000000"/>
                <w:sz w:val="24"/>
                <w:szCs w:val="24"/>
                <w:shd w:val="clear" w:color="auto" w:fill="FFFFFF"/>
              </w:rPr>
              <w:t>prevádzkovateľov základných služieb</w:t>
            </w:r>
            <w:r w:rsidRPr="001E47E5">
              <w:rPr>
                <w:rFonts w:ascii="Times New Roman" w:hAnsi="Times New Roman" w:cs="Times New Roman"/>
                <w:color w:val="000000"/>
                <w:sz w:val="24"/>
                <w:szCs w:val="24"/>
                <w:shd w:val="clear" w:color="auto" w:fill="FFFFFF"/>
              </w:rPr>
              <w:t xml:space="preserve"> </w:t>
            </w:r>
          </w:p>
        </w:tc>
      </w:tr>
      <w:tr w:rsidR="00BA3E88" w:rsidRPr="001E47E5" w14:paraId="17506AFE" w14:textId="77777777" w:rsidTr="00DE024B">
        <w:tc>
          <w:tcPr>
            <w:tcW w:w="1980" w:type="dxa"/>
            <w:shd w:val="clear" w:color="auto" w:fill="D9D9D9" w:themeFill="background1" w:themeFillShade="D9"/>
          </w:tcPr>
          <w:p w14:paraId="354DB99C"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01D65A3C" w14:textId="293A50A0" w:rsidR="00BA3E88" w:rsidRPr="001E47E5" w:rsidRDefault="00BA3E88" w:rsidP="00DE024B">
            <w:pPr>
              <w:pStyle w:val="Normlnywebov"/>
              <w:jc w:val="both"/>
              <w:rPr>
                <w:color w:val="374151"/>
              </w:rPr>
            </w:pPr>
            <w:r w:rsidRPr="001E47E5">
              <w:rPr>
                <w:color w:val="374151"/>
              </w:rPr>
              <w:t>11.-12.04.2024</w:t>
            </w:r>
          </w:p>
        </w:tc>
      </w:tr>
      <w:tr w:rsidR="00BA3E88" w:rsidRPr="001E47E5" w14:paraId="0A269928" w14:textId="77777777" w:rsidTr="00DE024B">
        <w:tc>
          <w:tcPr>
            <w:tcW w:w="1980" w:type="dxa"/>
            <w:shd w:val="clear" w:color="auto" w:fill="D9D9D9" w:themeFill="background1" w:themeFillShade="D9"/>
          </w:tcPr>
          <w:p w14:paraId="032558CA"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4ACBDE93" w14:textId="15C19FEB" w:rsidR="00BA3E88" w:rsidRPr="001E47E5" w:rsidRDefault="00D03E63" w:rsidP="00D03E63">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NBÚ</w:t>
            </w:r>
            <w:r w:rsidR="00BA3E88" w:rsidRPr="001E47E5">
              <w:rPr>
                <w:rFonts w:ascii="Times New Roman" w:hAnsi="Times New Roman" w:cs="Times New Roman"/>
                <w:color w:val="000000"/>
                <w:sz w:val="24"/>
                <w:szCs w:val="24"/>
              </w:rPr>
              <w:t xml:space="preserve"> </w:t>
            </w:r>
            <w:r w:rsidR="008548BB" w:rsidRPr="001E47E5">
              <w:rPr>
                <w:rFonts w:ascii="Times New Roman" w:hAnsi="Times New Roman" w:cs="Times New Roman"/>
                <w:color w:val="000000"/>
                <w:sz w:val="24"/>
                <w:szCs w:val="24"/>
              </w:rPr>
              <w:t xml:space="preserve">s partnermi </w:t>
            </w:r>
            <w:r w:rsidR="00BA3E88" w:rsidRPr="001E47E5">
              <w:rPr>
                <w:rFonts w:ascii="Times New Roman" w:hAnsi="Times New Roman" w:cs="Times New Roman"/>
                <w:color w:val="000000"/>
                <w:sz w:val="24"/>
                <w:szCs w:val="24"/>
              </w:rPr>
              <w:t xml:space="preserve">zrealizoval konzultácie </w:t>
            </w:r>
            <w:r w:rsidR="008548BB" w:rsidRPr="001E47E5">
              <w:rPr>
                <w:rFonts w:ascii="Times New Roman" w:hAnsi="Times New Roman" w:cs="Times New Roman"/>
                <w:color w:val="000000"/>
                <w:sz w:val="24"/>
                <w:szCs w:val="24"/>
              </w:rPr>
              <w:t xml:space="preserve">pre zástupcov </w:t>
            </w:r>
            <w:r>
              <w:rPr>
                <w:rFonts w:ascii="Times New Roman" w:hAnsi="Times New Roman" w:cs="Times New Roman"/>
                <w:color w:val="000000"/>
                <w:sz w:val="24"/>
                <w:szCs w:val="24"/>
              </w:rPr>
              <w:t>prevádzkovateľov základných služieb</w:t>
            </w:r>
            <w:r w:rsidR="00BA3E88" w:rsidRPr="001E47E5">
              <w:rPr>
                <w:rFonts w:ascii="Times New Roman" w:hAnsi="Times New Roman" w:cs="Times New Roman"/>
                <w:color w:val="000000"/>
                <w:sz w:val="24"/>
                <w:szCs w:val="24"/>
                <w:shd w:val="clear" w:color="auto" w:fill="FFFFFF"/>
              </w:rPr>
              <w:t>.</w:t>
            </w:r>
            <w:r w:rsidR="00BA3E88" w:rsidRPr="001E47E5">
              <w:rPr>
                <w:rFonts w:ascii="Times New Roman" w:hAnsi="Times New Roman" w:cs="Times New Roman"/>
                <w:color w:val="000000"/>
                <w:sz w:val="24"/>
                <w:szCs w:val="24"/>
              </w:rPr>
              <w:t xml:space="preserve"> Hlavnou témou podujatia bola nová smernica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jej dôsledky pre existujúcich </w:t>
            </w:r>
            <w:r w:rsidR="00D02E1B" w:rsidRPr="001E47E5">
              <w:rPr>
                <w:rFonts w:ascii="Times New Roman" w:hAnsi="Times New Roman" w:cs="Times New Roman"/>
                <w:color w:val="000000"/>
                <w:sz w:val="24"/>
                <w:szCs w:val="24"/>
              </w:rPr>
              <w:t xml:space="preserve">a nových </w:t>
            </w:r>
            <w:r>
              <w:rPr>
                <w:rFonts w:ascii="Times New Roman" w:hAnsi="Times New Roman" w:cs="Times New Roman"/>
                <w:color w:val="000000"/>
                <w:sz w:val="24"/>
                <w:szCs w:val="24"/>
              </w:rPr>
              <w:t>prevádzkovateľov základných služieb</w:t>
            </w:r>
            <w:r w:rsidR="00D02E1B" w:rsidRPr="001E47E5">
              <w:rPr>
                <w:rFonts w:ascii="Times New Roman" w:hAnsi="Times New Roman" w:cs="Times New Roman"/>
                <w:color w:val="000000"/>
                <w:sz w:val="24"/>
                <w:szCs w:val="24"/>
              </w:rPr>
              <w:t>.</w:t>
            </w:r>
            <w:r w:rsidR="00BA3E88" w:rsidRPr="001E47E5">
              <w:rPr>
                <w:rFonts w:ascii="Times New Roman" w:hAnsi="Times New Roman" w:cs="Times New Roman"/>
                <w:color w:val="000000"/>
                <w:sz w:val="24"/>
                <w:szCs w:val="24"/>
              </w:rPr>
              <w:t xml:space="preserve"> </w:t>
            </w:r>
            <w:r w:rsidR="00D02E1B" w:rsidRPr="001E47E5">
              <w:rPr>
                <w:rFonts w:ascii="Times New Roman" w:hAnsi="Times New Roman" w:cs="Times New Roman"/>
                <w:color w:val="000000"/>
                <w:sz w:val="24"/>
                <w:szCs w:val="24"/>
              </w:rPr>
              <w:t xml:space="preserve">Zástupcovia </w:t>
            </w:r>
            <w:r>
              <w:rPr>
                <w:rFonts w:ascii="Times New Roman" w:hAnsi="Times New Roman" w:cs="Times New Roman"/>
                <w:color w:val="000000"/>
                <w:sz w:val="24"/>
                <w:szCs w:val="24"/>
              </w:rPr>
              <w:t>prevádzkovateľov základných služieb</w:t>
            </w:r>
            <w:r w:rsidR="00BA3E88" w:rsidRPr="001E47E5">
              <w:rPr>
                <w:rFonts w:ascii="Times New Roman" w:hAnsi="Times New Roman" w:cs="Times New Roman"/>
                <w:color w:val="000000"/>
                <w:sz w:val="24"/>
                <w:szCs w:val="24"/>
              </w:rPr>
              <w:t xml:space="preserve"> si s NBÚ vymenili aktuálne poznatky a skúsenosti v oblasti regulácie </w:t>
            </w:r>
            <w:r w:rsidR="009544BD">
              <w:rPr>
                <w:rFonts w:ascii="Times New Roman" w:hAnsi="Times New Roman" w:cs="Times New Roman"/>
                <w:color w:val="000000"/>
                <w:sz w:val="24"/>
                <w:szCs w:val="24"/>
              </w:rPr>
              <w:t>NIS 2</w:t>
            </w:r>
            <w:r w:rsidR="00BA3E88" w:rsidRPr="001E47E5">
              <w:rPr>
                <w:rFonts w:ascii="Times New Roman" w:hAnsi="Times New Roman" w:cs="Times New Roman"/>
                <w:color w:val="000000"/>
                <w:sz w:val="24"/>
                <w:szCs w:val="24"/>
              </w:rPr>
              <w:t xml:space="preserve"> a prezentovali návrhy týkajúce sa jej implementácie do praxe.</w:t>
            </w:r>
          </w:p>
        </w:tc>
      </w:tr>
      <w:tr w:rsidR="00BA3E88" w:rsidRPr="001E47E5" w14:paraId="55602CB4" w14:textId="77777777" w:rsidTr="00DE024B">
        <w:tc>
          <w:tcPr>
            <w:tcW w:w="1980" w:type="dxa"/>
            <w:shd w:val="clear" w:color="auto" w:fill="D9D9D9" w:themeFill="background1" w:themeFillShade="D9"/>
          </w:tcPr>
          <w:p w14:paraId="05CE3F4B" w14:textId="77777777" w:rsidR="00BA3E88" w:rsidRPr="001E47E5" w:rsidRDefault="00BA3E88"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545ED6B8" w14:textId="5F51F44A" w:rsidR="00BA3E88" w:rsidRPr="001E47E5" w:rsidRDefault="003818F8" w:rsidP="00DE024B">
            <w:pPr>
              <w:rPr>
                <w:rFonts w:ascii="Times New Roman" w:hAnsi="Times New Roman" w:cs="Times New Roman"/>
                <w:sz w:val="24"/>
                <w:szCs w:val="24"/>
              </w:rPr>
            </w:pPr>
            <w:r>
              <w:rPr>
                <w:rFonts w:ascii="Times New Roman" w:hAnsi="Times New Roman" w:cs="Times New Roman"/>
                <w:sz w:val="24"/>
                <w:szCs w:val="24"/>
              </w:rPr>
              <w:t>o</w:t>
            </w:r>
            <w:r w:rsidR="00BA3E88" w:rsidRPr="001E47E5">
              <w:rPr>
                <w:rFonts w:ascii="Times New Roman" w:hAnsi="Times New Roman" w:cs="Times New Roman"/>
                <w:sz w:val="24"/>
                <w:szCs w:val="24"/>
              </w:rPr>
              <w:t>dborná verejnosť</w:t>
            </w:r>
            <w:r w:rsidR="008548BB" w:rsidRPr="001E47E5">
              <w:rPr>
                <w:rFonts w:ascii="Times New Roman" w:hAnsi="Times New Roman" w:cs="Times New Roman"/>
                <w:sz w:val="24"/>
                <w:szCs w:val="24"/>
              </w:rPr>
              <w:t>, súkromný sektor, verejný sektor</w:t>
            </w:r>
          </w:p>
        </w:tc>
      </w:tr>
    </w:tbl>
    <w:p w14:paraId="413F13BB" w14:textId="77777777" w:rsidR="00BA3E88" w:rsidRPr="001E47E5" w:rsidRDefault="00BA3E88"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D02E1B" w:rsidRPr="001E47E5" w14:paraId="6485DCC5" w14:textId="77777777" w:rsidTr="00DE024B">
        <w:tc>
          <w:tcPr>
            <w:tcW w:w="1980" w:type="dxa"/>
            <w:shd w:val="clear" w:color="auto" w:fill="D9D9D9" w:themeFill="background1" w:themeFillShade="D9"/>
          </w:tcPr>
          <w:p w14:paraId="18A7DEE5" w14:textId="77777777" w:rsidR="00D02E1B" w:rsidRPr="001E47E5" w:rsidRDefault="00D02E1B"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7B1EB800" w14:textId="1147BB2D" w:rsidR="00D02E1B" w:rsidRPr="001E47E5" w:rsidRDefault="00D02E1B" w:rsidP="003C1EB2">
            <w:pPr>
              <w:rPr>
                <w:rFonts w:ascii="Times New Roman" w:hAnsi="Times New Roman" w:cs="Times New Roman"/>
                <w:sz w:val="24"/>
                <w:szCs w:val="24"/>
              </w:rPr>
            </w:pPr>
            <w:r w:rsidRPr="001E47E5">
              <w:rPr>
                <w:rFonts w:ascii="Times New Roman" w:hAnsi="Times New Roman" w:cs="Times New Roman"/>
                <w:color w:val="000000"/>
                <w:sz w:val="24"/>
                <w:szCs w:val="24"/>
                <w:shd w:val="clear" w:color="auto" w:fill="FFFFFF"/>
              </w:rPr>
              <w:t>Konzultácie s Klubom 500, Republikovou úniou zamestnávateľov a</w:t>
            </w:r>
            <w:r w:rsidR="003C1EB2">
              <w:rPr>
                <w:rFonts w:ascii="Times New Roman" w:hAnsi="Times New Roman" w:cs="Times New Roman"/>
                <w:color w:val="000000"/>
                <w:sz w:val="24"/>
                <w:szCs w:val="24"/>
                <w:shd w:val="clear" w:color="auto" w:fill="FFFFFF"/>
              </w:rPr>
              <w:t> </w:t>
            </w:r>
            <w:r w:rsidRPr="001E47E5">
              <w:rPr>
                <w:rFonts w:ascii="Times New Roman" w:hAnsi="Times New Roman" w:cs="Times New Roman"/>
                <w:color w:val="000000"/>
                <w:sz w:val="24"/>
                <w:szCs w:val="24"/>
                <w:shd w:val="clear" w:color="auto" w:fill="FFFFFF"/>
              </w:rPr>
              <w:t>M</w:t>
            </w:r>
            <w:r w:rsidR="003C1EB2">
              <w:rPr>
                <w:rFonts w:ascii="Times New Roman" w:hAnsi="Times New Roman" w:cs="Times New Roman"/>
                <w:color w:val="000000"/>
                <w:sz w:val="24"/>
                <w:szCs w:val="24"/>
                <w:shd w:val="clear" w:color="auto" w:fill="FFFFFF"/>
              </w:rPr>
              <w:t>inisterstvom hospodárstva Slovenskej republiky</w:t>
            </w:r>
          </w:p>
        </w:tc>
      </w:tr>
      <w:tr w:rsidR="00D02E1B" w:rsidRPr="001E47E5" w14:paraId="49BE30FC" w14:textId="77777777" w:rsidTr="00DE024B">
        <w:tc>
          <w:tcPr>
            <w:tcW w:w="1980" w:type="dxa"/>
            <w:shd w:val="clear" w:color="auto" w:fill="D9D9D9" w:themeFill="background1" w:themeFillShade="D9"/>
          </w:tcPr>
          <w:p w14:paraId="7E736CAC" w14:textId="77777777" w:rsidR="00D02E1B" w:rsidRPr="001E47E5" w:rsidRDefault="00D02E1B"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2D1CED09" w14:textId="10284C19" w:rsidR="00D02E1B" w:rsidRPr="001E47E5" w:rsidRDefault="00F86789" w:rsidP="00DE024B">
            <w:pPr>
              <w:pStyle w:val="Normlnywebov"/>
              <w:jc w:val="both"/>
              <w:rPr>
                <w:color w:val="374151"/>
              </w:rPr>
            </w:pPr>
            <w:r w:rsidRPr="001E47E5">
              <w:rPr>
                <w:color w:val="374151"/>
              </w:rPr>
              <w:t>24</w:t>
            </w:r>
            <w:r w:rsidR="00D02E1B" w:rsidRPr="001E47E5">
              <w:rPr>
                <w:color w:val="374151"/>
              </w:rPr>
              <w:t>.04.2024</w:t>
            </w:r>
          </w:p>
        </w:tc>
      </w:tr>
      <w:tr w:rsidR="00D02E1B" w:rsidRPr="001E47E5" w14:paraId="53852EBF" w14:textId="77777777" w:rsidTr="00DE024B">
        <w:tc>
          <w:tcPr>
            <w:tcW w:w="1980" w:type="dxa"/>
            <w:shd w:val="clear" w:color="auto" w:fill="D9D9D9" w:themeFill="background1" w:themeFillShade="D9"/>
          </w:tcPr>
          <w:p w14:paraId="206A0EA9" w14:textId="77777777" w:rsidR="00D02E1B" w:rsidRPr="001E47E5" w:rsidRDefault="00D02E1B"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1FC13E71" w14:textId="72B6492E" w:rsidR="00D02E1B" w:rsidRPr="001E47E5" w:rsidRDefault="005A349A" w:rsidP="00DE024B">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NBÚ</w:t>
            </w:r>
            <w:r w:rsidR="00D02E1B" w:rsidRPr="001E47E5">
              <w:rPr>
                <w:rFonts w:ascii="Times New Roman" w:hAnsi="Times New Roman" w:cs="Times New Roman"/>
                <w:color w:val="000000"/>
                <w:sz w:val="24"/>
                <w:szCs w:val="24"/>
              </w:rPr>
              <w:t xml:space="preserve"> s partnermi zrealizoval konzultácie pre zástupcov PZS</w:t>
            </w:r>
            <w:r w:rsidR="00D02E1B" w:rsidRPr="001E47E5">
              <w:rPr>
                <w:rFonts w:ascii="Times New Roman" w:hAnsi="Times New Roman" w:cs="Times New Roman"/>
                <w:color w:val="000000"/>
                <w:sz w:val="24"/>
                <w:szCs w:val="24"/>
                <w:shd w:val="clear" w:color="auto" w:fill="FFFFFF"/>
              </w:rPr>
              <w:t>.</w:t>
            </w:r>
            <w:r w:rsidR="00D02E1B" w:rsidRPr="001E47E5">
              <w:rPr>
                <w:rFonts w:ascii="Times New Roman" w:hAnsi="Times New Roman" w:cs="Times New Roman"/>
                <w:color w:val="000000"/>
                <w:sz w:val="24"/>
                <w:szCs w:val="24"/>
              </w:rPr>
              <w:t xml:space="preserve"> Hlavnou témou podujatia bola nová smernica </w:t>
            </w:r>
            <w:r w:rsidR="009544BD">
              <w:rPr>
                <w:rFonts w:ascii="Times New Roman" w:hAnsi="Times New Roman" w:cs="Times New Roman"/>
                <w:color w:val="000000"/>
                <w:sz w:val="24"/>
                <w:szCs w:val="24"/>
              </w:rPr>
              <w:t>NIS 2</w:t>
            </w:r>
            <w:r w:rsidR="00D02E1B" w:rsidRPr="001E47E5">
              <w:rPr>
                <w:rFonts w:ascii="Times New Roman" w:hAnsi="Times New Roman" w:cs="Times New Roman"/>
                <w:color w:val="000000"/>
                <w:sz w:val="24"/>
                <w:szCs w:val="24"/>
              </w:rPr>
              <w:t xml:space="preserve"> a jej dôsledky pre existujúcich a nových PZS. Zástupcovia PZS si s NBÚ vymenili aktuálne poznatky a skúsenosti v oblasti regulácie </w:t>
            </w:r>
            <w:r w:rsidR="009544BD">
              <w:rPr>
                <w:rFonts w:ascii="Times New Roman" w:hAnsi="Times New Roman" w:cs="Times New Roman"/>
                <w:color w:val="000000"/>
                <w:sz w:val="24"/>
                <w:szCs w:val="24"/>
              </w:rPr>
              <w:t>NIS 2</w:t>
            </w:r>
            <w:r w:rsidR="00D02E1B" w:rsidRPr="001E47E5">
              <w:rPr>
                <w:rFonts w:ascii="Times New Roman" w:hAnsi="Times New Roman" w:cs="Times New Roman"/>
                <w:color w:val="000000"/>
                <w:sz w:val="24"/>
                <w:szCs w:val="24"/>
              </w:rPr>
              <w:t xml:space="preserve"> a prezentovali návrhy týkajúce sa jej implementácie do praxe.</w:t>
            </w:r>
          </w:p>
        </w:tc>
      </w:tr>
      <w:tr w:rsidR="00D02E1B" w:rsidRPr="001E47E5" w14:paraId="4C737F11" w14:textId="77777777" w:rsidTr="00DE024B">
        <w:tc>
          <w:tcPr>
            <w:tcW w:w="1980" w:type="dxa"/>
            <w:shd w:val="clear" w:color="auto" w:fill="D9D9D9" w:themeFill="background1" w:themeFillShade="D9"/>
          </w:tcPr>
          <w:p w14:paraId="375F29FB" w14:textId="77777777" w:rsidR="00D02E1B" w:rsidRPr="001E47E5" w:rsidRDefault="00D02E1B"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58DA5ECB" w14:textId="05BE8A81" w:rsidR="00D02E1B" w:rsidRPr="001E47E5" w:rsidRDefault="00D02E1B" w:rsidP="00DE024B">
            <w:pPr>
              <w:rPr>
                <w:rFonts w:ascii="Times New Roman" w:hAnsi="Times New Roman" w:cs="Times New Roman"/>
                <w:sz w:val="24"/>
                <w:szCs w:val="24"/>
              </w:rPr>
            </w:pPr>
            <w:r w:rsidRPr="001E47E5">
              <w:rPr>
                <w:rFonts w:ascii="Times New Roman" w:hAnsi="Times New Roman" w:cs="Times New Roman"/>
                <w:sz w:val="24"/>
                <w:szCs w:val="24"/>
              </w:rPr>
              <w:t>súkromný sektor</w:t>
            </w:r>
          </w:p>
        </w:tc>
      </w:tr>
    </w:tbl>
    <w:p w14:paraId="39766DF1" w14:textId="77777777" w:rsidR="00D02E1B" w:rsidRPr="001E47E5" w:rsidRDefault="00D02E1B" w:rsidP="00B4368F">
      <w:pPr>
        <w:pStyle w:val="Normlnywebov"/>
        <w:jc w:val="both"/>
        <w:rPr>
          <w:color w:val="374151"/>
        </w:rPr>
      </w:pPr>
    </w:p>
    <w:tbl>
      <w:tblPr>
        <w:tblStyle w:val="Mriekatabuky"/>
        <w:tblW w:w="9067" w:type="dxa"/>
        <w:tblLayout w:type="fixed"/>
        <w:tblLook w:val="04A0" w:firstRow="1" w:lastRow="0" w:firstColumn="1" w:lastColumn="0" w:noHBand="0" w:noVBand="1"/>
      </w:tblPr>
      <w:tblGrid>
        <w:gridCol w:w="1980"/>
        <w:gridCol w:w="7087"/>
      </w:tblGrid>
      <w:tr w:rsidR="00F86789" w:rsidRPr="001E47E5" w14:paraId="58218A74" w14:textId="77777777" w:rsidTr="00DE024B">
        <w:tc>
          <w:tcPr>
            <w:tcW w:w="1980" w:type="dxa"/>
            <w:shd w:val="clear" w:color="auto" w:fill="D9D9D9" w:themeFill="background1" w:themeFillShade="D9"/>
          </w:tcPr>
          <w:p w14:paraId="27AFC8EF" w14:textId="77777777" w:rsidR="00F86789" w:rsidRPr="001E47E5" w:rsidRDefault="00F86789" w:rsidP="00DE024B">
            <w:pPr>
              <w:rPr>
                <w:rFonts w:ascii="Times New Roman" w:hAnsi="Times New Roman" w:cs="Times New Roman"/>
                <w:sz w:val="24"/>
                <w:szCs w:val="24"/>
              </w:rPr>
            </w:pPr>
            <w:r w:rsidRPr="001E47E5">
              <w:rPr>
                <w:rFonts w:ascii="Times New Roman" w:hAnsi="Times New Roman" w:cs="Times New Roman"/>
                <w:sz w:val="24"/>
                <w:szCs w:val="24"/>
              </w:rPr>
              <w:t>Podujatie</w:t>
            </w:r>
          </w:p>
        </w:tc>
        <w:tc>
          <w:tcPr>
            <w:tcW w:w="7087" w:type="dxa"/>
          </w:tcPr>
          <w:p w14:paraId="1DBC33F2" w14:textId="1807713B" w:rsidR="00F86789" w:rsidRPr="001E47E5" w:rsidRDefault="00F86789" w:rsidP="00DE024B">
            <w:pPr>
              <w:rPr>
                <w:rFonts w:ascii="Times New Roman" w:hAnsi="Times New Roman" w:cs="Times New Roman"/>
                <w:sz w:val="24"/>
                <w:szCs w:val="24"/>
              </w:rPr>
            </w:pPr>
            <w:r w:rsidRPr="001E47E5">
              <w:rPr>
                <w:rFonts w:ascii="Times New Roman" w:hAnsi="Times New Roman" w:cs="Times New Roman"/>
                <w:color w:val="000000"/>
                <w:sz w:val="24"/>
                <w:szCs w:val="24"/>
                <w:shd w:val="clear" w:color="auto" w:fill="FFFFFF"/>
              </w:rPr>
              <w:t>Konzultácie so Zväzom automobilového priemyslu</w:t>
            </w:r>
          </w:p>
        </w:tc>
      </w:tr>
      <w:tr w:rsidR="00F86789" w:rsidRPr="001E47E5" w14:paraId="28FD4433" w14:textId="77777777" w:rsidTr="00DE024B">
        <w:tc>
          <w:tcPr>
            <w:tcW w:w="1980" w:type="dxa"/>
            <w:shd w:val="clear" w:color="auto" w:fill="D9D9D9" w:themeFill="background1" w:themeFillShade="D9"/>
          </w:tcPr>
          <w:p w14:paraId="19C95F2E" w14:textId="77777777" w:rsidR="00F86789" w:rsidRPr="001E47E5" w:rsidRDefault="00F86789" w:rsidP="00DE024B">
            <w:pPr>
              <w:rPr>
                <w:rFonts w:ascii="Times New Roman" w:hAnsi="Times New Roman" w:cs="Times New Roman"/>
                <w:sz w:val="24"/>
                <w:szCs w:val="24"/>
              </w:rPr>
            </w:pPr>
            <w:r w:rsidRPr="001E47E5">
              <w:rPr>
                <w:rFonts w:ascii="Times New Roman" w:hAnsi="Times New Roman" w:cs="Times New Roman"/>
                <w:sz w:val="24"/>
                <w:szCs w:val="24"/>
              </w:rPr>
              <w:t>Dátum</w:t>
            </w:r>
          </w:p>
        </w:tc>
        <w:tc>
          <w:tcPr>
            <w:tcW w:w="7087" w:type="dxa"/>
          </w:tcPr>
          <w:p w14:paraId="5D5535C9" w14:textId="107A823E" w:rsidR="00F86789" w:rsidRPr="001E47E5" w:rsidRDefault="00F86789" w:rsidP="00DE024B">
            <w:pPr>
              <w:pStyle w:val="Normlnywebov"/>
              <w:jc w:val="both"/>
              <w:rPr>
                <w:color w:val="374151"/>
              </w:rPr>
            </w:pPr>
            <w:r w:rsidRPr="001E47E5">
              <w:rPr>
                <w:color w:val="374151"/>
              </w:rPr>
              <w:t>30.04.2024</w:t>
            </w:r>
          </w:p>
        </w:tc>
      </w:tr>
      <w:tr w:rsidR="00F86789" w:rsidRPr="001E47E5" w14:paraId="3FCA78E1" w14:textId="77777777" w:rsidTr="00DE024B">
        <w:tc>
          <w:tcPr>
            <w:tcW w:w="1980" w:type="dxa"/>
            <w:shd w:val="clear" w:color="auto" w:fill="D9D9D9" w:themeFill="background1" w:themeFillShade="D9"/>
          </w:tcPr>
          <w:p w14:paraId="172E2CC0" w14:textId="77777777" w:rsidR="00F86789" w:rsidRPr="001E47E5" w:rsidRDefault="00F86789" w:rsidP="00DE024B">
            <w:pPr>
              <w:rPr>
                <w:rFonts w:ascii="Times New Roman" w:hAnsi="Times New Roman" w:cs="Times New Roman"/>
                <w:sz w:val="24"/>
                <w:szCs w:val="24"/>
              </w:rPr>
            </w:pPr>
            <w:r w:rsidRPr="001E47E5">
              <w:rPr>
                <w:rFonts w:ascii="Times New Roman" w:hAnsi="Times New Roman" w:cs="Times New Roman"/>
                <w:sz w:val="24"/>
                <w:szCs w:val="24"/>
              </w:rPr>
              <w:t>Popis</w:t>
            </w:r>
          </w:p>
        </w:tc>
        <w:tc>
          <w:tcPr>
            <w:tcW w:w="7087" w:type="dxa"/>
          </w:tcPr>
          <w:p w14:paraId="61777B85" w14:textId="7DEA7AA9" w:rsidR="00F86789" w:rsidRPr="001E47E5" w:rsidRDefault="00581B10" w:rsidP="00DE024B">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NBÚ</w:t>
            </w:r>
            <w:r w:rsidR="00F86789" w:rsidRPr="001E47E5">
              <w:rPr>
                <w:rFonts w:ascii="Times New Roman" w:hAnsi="Times New Roman" w:cs="Times New Roman"/>
                <w:color w:val="000000"/>
                <w:sz w:val="24"/>
                <w:szCs w:val="24"/>
              </w:rPr>
              <w:t xml:space="preserve"> s partnermi zrealizoval konzultácie pre zástupcov PZS</w:t>
            </w:r>
            <w:r w:rsidR="00F86789" w:rsidRPr="001E47E5">
              <w:rPr>
                <w:rFonts w:ascii="Times New Roman" w:hAnsi="Times New Roman" w:cs="Times New Roman"/>
                <w:color w:val="000000"/>
                <w:sz w:val="24"/>
                <w:szCs w:val="24"/>
                <w:shd w:val="clear" w:color="auto" w:fill="FFFFFF"/>
              </w:rPr>
              <w:t>.</w:t>
            </w:r>
            <w:r w:rsidR="00F86789" w:rsidRPr="001E47E5">
              <w:rPr>
                <w:rFonts w:ascii="Times New Roman" w:hAnsi="Times New Roman" w:cs="Times New Roman"/>
                <w:color w:val="000000"/>
                <w:sz w:val="24"/>
                <w:szCs w:val="24"/>
              </w:rPr>
              <w:t xml:space="preserve"> Hlavnou témou podujatia bola nová smernica </w:t>
            </w:r>
            <w:r w:rsidR="009544BD">
              <w:rPr>
                <w:rFonts w:ascii="Times New Roman" w:hAnsi="Times New Roman" w:cs="Times New Roman"/>
                <w:color w:val="000000"/>
                <w:sz w:val="24"/>
                <w:szCs w:val="24"/>
              </w:rPr>
              <w:t>NIS 2</w:t>
            </w:r>
            <w:r w:rsidR="00F86789" w:rsidRPr="001E47E5">
              <w:rPr>
                <w:rFonts w:ascii="Times New Roman" w:hAnsi="Times New Roman" w:cs="Times New Roman"/>
                <w:color w:val="000000"/>
                <w:sz w:val="24"/>
                <w:szCs w:val="24"/>
              </w:rPr>
              <w:t xml:space="preserve"> a jej dôsledky pre existujúcich a nových PZS. Zástupcovia PZS si s NBÚ vymenili aktuálne poznatky a skúsenosti v oblasti regulácie </w:t>
            </w:r>
            <w:r w:rsidR="009544BD">
              <w:rPr>
                <w:rFonts w:ascii="Times New Roman" w:hAnsi="Times New Roman" w:cs="Times New Roman"/>
                <w:color w:val="000000"/>
                <w:sz w:val="24"/>
                <w:szCs w:val="24"/>
              </w:rPr>
              <w:t>NIS 2</w:t>
            </w:r>
            <w:r w:rsidR="00F86789" w:rsidRPr="001E47E5">
              <w:rPr>
                <w:rFonts w:ascii="Times New Roman" w:hAnsi="Times New Roman" w:cs="Times New Roman"/>
                <w:color w:val="000000"/>
                <w:sz w:val="24"/>
                <w:szCs w:val="24"/>
              </w:rPr>
              <w:t xml:space="preserve"> a prezentovali návrhy týkajúce sa jej implementácie do praxe.</w:t>
            </w:r>
          </w:p>
        </w:tc>
      </w:tr>
      <w:tr w:rsidR="00F86789" w:rsidRPr="001E47E5" w14:paraId="240C040C" w14:textId="77777777" w:rsidTr="00DE024B">
        <w:tc>
          <w:tcPr>
            <w:tcW w:w="1980" w:type="dxa"/>
            <w:shd w:val="clear" w:color="auto" w:fill="D9D9D9" w:themeFill="background1" w:themeFillShade="D9"/>
          </w:tcPr>
          <w:p w14:paraId="558C283A" w14:textId="77777777" w:rsidR="00F86789" w:rsidRPr="001E47E5" w:rsidRDefault="00F86789" w:rsidP="00DE024B">
            <w:pPr>
              <w:rPr>
                <w:rFonts w:ascii="Times New Roman" w:hAnsi="Times New Roman" w:cs="Times New Roman"/>
                <w:sz w:val="24"/>
                <w:szCs w:val="24"/>
              </w:rPr>
            </w:pPr>
            <w:r w:rsidRPr="001E47E5">
              <w:rPr>
                <w:rFonts w:ascii="Times New Roman" w:hAnsi="Times New Roman" w:cs="Times New Roman"/>
                <w:sz w:val="24"/>
                <w:szCs w:val="24"/>
              </w:rPr>
              <w:t>Cieľová skupina</w:t>
            </w:r>
          </w:p>
        </w:tc>
        <w:tc>
          <w:tcPr>
            <w:tcW w:w="7087" w:type="dxa"/>
          </w:tcPr>
          <w:p w14:paraId="7CF026C3" w14:textId="77777777" w:rsidR="00F86789" w:rsidRPr="001E47E5" w:rsidRDefault="00F86789" w:rsidP="00DE024B">
            <w:pPr>
              <w:rPr>
                <w:rFonts w:ascii="Times New Roman" w:hAnsi="Times New Roman" w:cs="Times New Roman"/>
                <w:sz w:val="24"/>
                <w:szCs w:val="24"/>
              </w:rPr>
            </w:pPr>
            <w:r w:rsidRPr="001E47E5">
              <w:rPr>
                <w:rFonts w:ascii="Times New Roman" w:hAnsi="Times New Roman" w:cs="Times New Roman"/>
                <w:sz w:val="24"/>
                <w:szCs w:val="24"/>
              </w:rPr>
              <w:t>súkromný sektor</w:t>
            </w:r>
          </w:p>
        </w:tc>
      </w:tr>
    </w:tbl>
    <w:p w14:paraId="1C2A2A5C" w14:textId="77777777" w:rsidR="00D02E1B" w:rsidRPr="001E47E5" w:rsidRDefault="00D02E1B" w:rsidP="00B4368F">
      <w:pPr>
        <w:pStyle w:val="Normlnywebov"/>
        <w:jc w:val="both"/>
        <w:rPr>
          <w:color w:val="374151"/>
        </w:rPr>
      </w:pPr>
    </w:p>
    <w:p w14:paraId="4F69D8E1" w14:textId="77777777" w:rsidR="00506555" w:rsidRPr="001E47E5" w:rsidRDefault="00506555" w:rsidP="00506555">
      <w:pPr>
        <w:jc w:val="both"/>
        <w:rPr>
          <w:rFonts w:ascii="Times New Roman" w:hAnsi="Times New Roman" w:cs="Times New Roman"/>
          <w:sz w:val="24"/>
          <w:szCs w:val="24"/>
        </w:rPr>
      </w:pPr>
      <w:r w:rsidRPr="001E47E5">
        <w:rPr>
          <w:rFonts w:ascii="Times New Roman" w:hAnsi="Times New Roman" w:cs="Times New Roman"/>
          <w:b/>
          <w:bCs/>
          <w:sz w:val="24"/>
          <w:szCs w:val="24"/>
        </w:rPr>
        <w:t>Dotazníkový prieskum</w:t>
      </w:r>
    </w:p>
    <w:p w14:paraId="4760A57B" w14:textId="4F4EB979" w:rsidR="00506555" w:rsidRPr="001E47E5" w:rsidRDefault="00506555" w:rsidP="00506555">
      <w:pPr>
        <w:jc w:val="both"/>
        <w:rPr>
          <w:rFonts w:ascii="Times New Roman" w:hAnsi="Times New Roman" w:cs="Times New Roman"/>
          <w:sz w:val="24"/>
          <w:szCs w:val="24"/>
        </w:rPr>
      </w:pPr>
      <w:r w:rsidRPr="001E47E5">
        <w:rPr>
          <w:rFonts w:ascii="Times New Roman" w:hAnsi="Times New Roman" w:cs="Times New Roman"/>
          <w:sz w:val="24"/>
          <w:szCs w:val="24"/>
        </w:rPr>
        <w:lastRenderedPageBreak/>
        <w:t xml:space="preserve">Počet účastníkov workshopov a odborných panelov má limity. </w:t>
      </w:r>
      <w:r w:rsidR="00581B10">
        <w:rPr>
          <w:rFonts w:ascii="Times New Roman" w:hAnsi="Times New Roman" w:cs="Times New Roman"/>
          <w:sz w:val="24"/>
          <w:szCs w:val="24"/>
        </w:rPr>
        <w:t>Úrad</w:t>
      </w:r>
      <w:r w:rsidRPr="001E47E5">
        <w:rPr>
          <w:rFonts w:ascii="Times New Roman" w:hAnsi="Times New Roman" w:cs="Times New Roman"/>
          <w:sz w:val="24"/>
          <w:szCs w:val="24"/>
        </w:rPr>
        <w:t xml:space="preserve"> preto využil ako ďalší nástroj konzultácií dotazníkový prieskum, ktorý mal za cieľ identifikovať úroveň zrozumiteľnosti zákona č. 69/2018 </w:t>
      </w:r>
      <w:r w:rsidR="00381341">
        <w:rPr>
          <w:rFonts w:ascii="Times New Roman" w:hAnsi="Times New Roman" w:cs="Times New Roman"/>
          <w:sz w:val="24"/>
          <w:szCs w:val="24"/>
        </w:rPr>
        <w:t xml:space="preserve">Z. z. </w:t>
      </w:r>
      <w:r w:rsidRPr="001E47E5">
        <w:rPr>
          <w:rFonts w:ascii="Times New Roman" w:hAnsi="Times New Roman" w:cs="Times New Roman"/>
          <w:sz w:val="24"/>
          <w:szCs w:val="24"/>
        </w:rPr>
        <w:t>o kybernetickej bezpečnosti či aktívne zapojiť prevádzkovateľov základnej služby do procesu prípravy novely tohto zákona. Tento dotazník bol navrhnutý s cieľom získať hlbší pohľad na pochopenie zákona, jeho aplikáciu a prípadné požiadavky na jeho zmenu zo strany širokej komunity. Odpovede respondentov pomôžu lepšie pochopiť povedomie osôb konajúcich v mene prevádzkovateľov základných služieb v</w:t>
      </w:r>
      <w:r w:rsidR="0068367D">
        <w:rPr>
          <w:rFonts w:ascii="Times New Roman" w:hAnsi="Times New Roman" w:cs="Times New Roman"/>
          <w:sz w:val="24"/>
          <w:szCs w:val="24"/>
        </w:rPr>
        <w:t> </w:t>
      </w:r>
      <w:r w:rsidRPr="001E47E5">
        <w:rPr>
          <w:rFonts w:ascii="Times New Roman" w:hAnsi="Times New Roman" w:cs="Times New Roman"/>
          <w:sz w:val="24"/>
          <w:szCs w:val="24"/>
        </w:rPr>
        <w:t xml:space="preserve">spomínanej oblasti. </w:t>
      </w:r>
    </w:p>
    <w:p w14:paraId="3C124BE3" w14:textId="6B37D909" w:rsidR="0065353C" w:rsidRPr="001E47E5" w:rsidRDefault="0065353C" w:rsidP="0065353C">
      <w:pPr>
        <w:jc w:val="both"/>
        <w:rPr>
          <w:rFonts w:ascii="Times New Roman" w:hAnsi="Times New Roman" w:cs="Times New Roman"/>
          <w:sz w:val="24"/>
          <w:szCs w:val="24"/>
        </w:rPr>
      </w:pPr>
      <w:r w:rsidRPr="001E47E5">
        <w:rPr>
          <w:rFonts w:ascii="Times New Roman" w:hAnsi="Times New Roman" w:cs="Times New Roman"/>
          <w:sz w:val="24"/>
          <w:szCs w:val="24"/>
        </w:rPr>
        <w:t xml:space="preserve">Dotazník bol distribuovaný elektronicky e-mailom 250 najvýznamnejším prevádzkovateľom základnej služby. Viac ako </w:t>
      </w:r>
      <w:r w:rsidR="009F7D5B">
        <w:rPr>
          <w:rFonts w:ascii="Times New Roman" w:hAnsi="Times New Roman" w:cs="Times New Roman"/>
          <w:sz w:val="24"/>
          <w:szCs w:val="24"/>
        </w:rPr>
        <w:t>tri</w:t>
      </w:r>
      <w:r w:rsidRPr="001E47E5">
        <w:rPr>
          <w:rFonts w:ascii="Times New Roman" w:hAnsi="Times New Roman" w:cs="Times New Roman"/>
          <w:sz w:val="24"/>
          <w:szCs w:val="24"/>
        </w:rPr>
        <w:t xml:space="preserve"> týždne bol zverejnený na webovom sídle</w:t>
      </w:r>
      <w:r w:rsidR="00F33503">
        <w:rPr>
          <w:rFonts w:ascii="Times New Roman" w:hAnsi="Times New Roman" w:cs="Times New Roman"/>
          <w:sz w:val="24"/>
          <w:szCs w:val="24"/>
        </w:rPr>
        <w:t xml:space="preserve"> úradu (</w:t>
      </w:r>
      <w:hyperlink r:id="rId17" w:history="1">
        <w:r w:rsidRPr="001E47E5">
          <w:rPr>
            <w:rStyle w:val="Hypertextovprepojenie"/>
            <w:rFonts w:ascii="Times New Roman" w:hAnsi="Times New Roman" w:cs="Times New Roman"/>
            <w:sz w:val="24"/>
            <w:szCs w:val="24"/>
          </w:rPr>
          <w:t>www.nbu.gov.sk</w:t>
        </w:r>
      </w:hyperlink>
      <w:r w:rsidR="00F33503">
        <w:rPr>
          <w:rStyle w:val="Hypertextovprepojenie"/>
          <w:rFonts w:ascii="Times New Roman" w:hAnsi="Times New Roman" w:cs="Times New Roman"/>
          <w:sz w:val="24"/>
          <w:szCs w:val="24"/>
        </w:rPr>
        <w:t>)</w:t>
      </w:r>
      <w:r w:rsidRPr="001E47E5">
        <w:rPr>
          <w:rFonts w:ascii="Times New Roman" w:hAnsi="Times New Roman" w:cs="Times New Roman"/>
          <w:sz w:val="24"/>
          <w:szCs w:val="24"/>
        </w:rPr>
        <w:t>. Celkovo bolo doručených 105 odpovedí, ktoré sú zhrnuté v tejto kapitole.</w:t>
      </w:r>
    </w:p>
    <w:p w14:paraId="24F6081A" w14:textId="77777777" w:rsidR="0065353C" w:rsidRPr="001E47E5" w:rsidRDefault="0065353C" w:rsidP="0065353C">
      <w:pPr>
        <w:spacing w:before="240" w:line="360" w:lineRule="auto"/>
        <w:rPr>
          <w:rFonts w:ascii="Times New Roman" w:hAnsi="Times New Roman" w:cs="Times New Roman"/>
          <w:sz w:val="24"/>
          <w:szCs w:val="24"/>
        </w:rPr>
      </w:pPr>
      <w:r w:rsidRPr="001E47E5">
        <w:rPr>
          <w:rFonts w:ascii="Times New Roman" w:hAnsi="Times New Roman" w:cs="Times New Roman"/>
          <w:b/>
          <w:noProof/>
          <w:sz w:val="24"/>
          <w:szCs w:val="24"/>
          <w:lang w:eastAsia="sk-SK"/>
        </w:rPr>
        <w:drawing>
          <wp:inline distT="0" distB="0" distL="0" distR="0" wp14:anchorId="0DA18F9C" wp14:editId="0A0F1610">
            <wp:extent cx="5730949" cy="3182620"/>
            <wp:effectExtent l="0" t="0" r="0" b="5080"/>
            <wp:docPr id="365425173" name="Obrázok 6"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A graph with numbers and a bar&#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7229" cy="3186108"/>
                    </a:xfrm>
                    <a:prstGeom prst="rect">
                      <a:avLst/>
                    </a:prstGeom>
                    <a:noFill/>
                  </pic:spPr>
                </pic:pic>
              </a:graphicData>
            </a:graphic>
          </wp:inline>
        </w:drawing>
      </w:r>
    </w:p>
    <w:p w14:paraId="6EECAB75" w14:textId="77777777" w:rsidR="0065353C" w:rsidRPr="001E47E5" w:rsidRDefault="0065353C" w:rsidP="0065353C">
      <w:pPr>
        <w:jc w:val="both"/>
        <w:rPr>
          <w:rFonts w:ascii="Times New Roman" w:eastAsia="Times New Roman" w:hAnsi="Times New Roman" w:cs="Times New Roman"/>
          <w:bCs/>
          <w:sz w:val="24"/>
          <w:szCs w:val="24"/>
          <w:lang w:eastAsia="en-GB"/>
        </w:rPr>
      </w:pPr>
      <w:r w:rsidRPr="001E47E5">
        <w:rPr>
          <w:rFonts w:ascii="Times New Roman" w:eastAsia="Times New Roman" w:hAnsi="Times New Roman" w:cs="Times New Roman"/>
          <w:bCs/>
          <w:sz w:val="24"/>
          <w:szCs w:val="24"/>
          <w:lang w:eastAsia="en-GB"/>
        </w:rPr>
        <w:t>Poznatky a odporúčania získané cez vyššie uvedené komunikačné nástroje je možné zhrnúť do nasledujúcich bodov:</w:t>
      </w:r>
    </w:p>
    <w:p w14:paraId="76B33BA3" w14:textId="1CF2B768" w:rsidR="0065353C" w:rsidRPr="001E47E5" w:rsidRDefault="0065353C"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sidRPr="001E47E5">
        <w:rPr>
          <w:rFonts w:ascii="Times New Roman" w:eastAsia="Times New Roman" w:hAnsi="Times New Roman" w:cs="Times New Roman"/>
          <w:bCs/>
          <w:sz w:val="24"/>
          <w:szCs w:val="24"/>
          <w:lang w:eastAsia="sk-SK"/>
        </w:rPr>
        <w:t xml:space="preserve">zosúladiť vyhlášku </w:t>
      </w:r>
      <w:r w:rsidR="0068367D">
        <w:rPr>
          <w:rFonts w:ascii="Times New Roman" w:eastAsia="Times New Roman" w:hAnsi="Times New Roman" w:cs="Times New Roman"/>
          <w:bCs/>
          <w:sz w:val="24"/>
          <w:szCs w:val="24"/>
          <w:lang w:eastAsia="sk-SK"/>
        </w:rPr>
        <w:t>Národného bezpečnostného úradu č 164</w:t>
      </w:r>
      <w:r w:rsidRPr="001E47E5">
        <w:rPr>
          <w:rFonts w:ascii="Times New Roman" w:eastAsia="Times New Roman" w:hAnsi="Times New Roman" w:cs="Times New Roman"/>
          <w:bCs/>
          <w:sz w:val="24"/>
          <w:szCs w:val="24"/>
          <w:lang w:eastAsia="sk-SK"/>
        </w:rPr>
        <w:t>/2018</w:t>
      </w:r>
      <w:r w:rsidR="0068367D">
        <w:rPr>
          <w:rFonts w:ascii="Times New Roman" w:eastAsia="Times New Roman" w:hAnsi="Times New Roman" w:cs="Times New Roman"/>
          <w:bCs/>
          <w:sz w:val="24"/>
          <w:szCs w:val="24"/>
          <w:lang w:eastAsia="sk-SK"/>
        </w:rPr>
        <w:t xml:space="preserve"> Z. z.</w:t>
      </w:r>
      <w:r w:rsidRPr="001E47E5">
        <w:rPr>
          <w:rFonts w:ascii="Times New Roman" w:eastAsia="Times New Roman" w:hAnsi="Times New Roman" w:cs="Times New Roman"/>
          <w:bCs/>
          <w:sz w:val="24"/>
          <w:szCs w:val="24"/>
          <w:lang w:eastAsia="sk-SK"/>
        </w:rPr>
        <w:t>, ktorou sa určujú identi</w:t>
      </w:r>
      <w:r w:rsidR="0068367D">
        <w:rPr>
          <w:rFonts w:ascii="Times New Roman" w:eastAsia="Times New Roman" w:hAnsi="Times New Roman" w:cs="Times New Roman"/>
          <w:bCs/>
          <w:sz w:val="24"/>
          <w:szCs w:val="24"/>
          <w:lang w:eastAsia="sk-SK"/>
        </w:rPr>
        <w:t>fikačné kritériá prevádzkovanej</w:t>
      </w:r>
      <w:r w:rsidRPr="001E47E5">
        <w:rPr>
          <w:rFonts w:ascii="Times New Roman" w:eastAsia="Times New Roman" w:hAnsi="Times New Roman" w:cs="Times New Roman"/>
          <w:bCs/>
          <w:sz w:val="24"/>
          <w:szCs w:val="24"/>
          <w:lang w:eastAsia="sk-SK"/>
        </w:rPr>
        <w:t xml:space="preserve"> služby </w:t>
      </w:r>
      <w:r w:rsidR="0068367D">
        <w:rPr>
          <w:rFonts w:ascii="Times New Roman" w:eastAsia="Times New Roman" w:hAnsi="Times New Roman" w:cs="Times New Roman"/>
          <w:bCs/>
          <w:sz w:val="24"/>
          <w:szCs w:val="24"/>
          <w:lang w:eastAsia="sk-SK"/>
        </w:rPr>
        <w:t xml:space="preserve">(kritériá základnej služby) </w:t>
      </w:r>
      <w:r w:rsidRPr="001E47E5">
        <w:rPr>
          <w:rFonts w:ascii="Times New Roman" w:eastAsia="Times New Roman" w:hAnsi="Times New Roman" w:cs="Times New Roman"/>
          <w:bCs/>
          <w:sz w:val="24"/>
          <w:szCs w:val="24"/>
          <w:lang w:eastAsia="sk-SK"/>
        </w:rPr>
        <w:t xml:space="preserve">so smernicou </w:t>
      </w:r>
      <w:r w:rsidR="0068367D">
        <w:rPr>
          <w:rFonts w:ascii="Times New Roman" w:eastAsia="Times New Roman" w:hAnsi="Times New Roman" w:cs="Times New Roman"/>
          <w:bCs/>
          <w:sz w:val="24"/>
          <w:szCs w:val="24"/>
          <w:lang w:eastAsia="sk-SK"/>
        </w:rPr>
        <w:t>NIS 2 z dôvodu absencie niektorých ustanovení</w:t>
      </w:r>
      <w:r w:rsidRPr="001E47E5">
        <w:rPr>
          <w:rFonts w:ascii="Times New Roman" w:eastAsia="Times New Roman" w:hAnsi="Times New Roman" w:cs="Times New Roman"/>
          <w:bCs/>
          <w:sz w:val="24"/>
          <w:szCs w:val="24"/>
          <w:lang w:eastAsia="sk-SK"/>
        </w:rPr>
        <w:t>.</w:t>
      </w:r>
    </w:p>
    <w:p w14:paraId="107C4300" w14:textId="1D65D298" w:rsidR="0065353C" w:rsidRPr="001E47E5" w:rsidRDefault="0065353C" w:rsidP="0065353C">
      <w:pPr>
        <w:pStyle w:val="Odsekzoznamu"/>
        <w:numPr>
          <w:ilvl w:val="0"/>
          <w:numId w:val="15"/>
        </w:numPr>
        <w:spacing w:after="0" w:line="240" w:lineRule="auto"/>
        <w:ind w:left="426" w:hanging="426"/>
        <w:jc w:val="both"/>
        <w:rPr>
          <w:rFonts w:ascii="Times New Roman" w:eastAsia="Times New Roman" w:hAnsi="Times New Roman" w:cs="Times New Roman"/>
          <w:sz w:val="24"/>
          <w:szCs w:val="24"/>
          <w:shd w:val="clear" w:color="auto" w:fill="FFFFFF"/>
          <w:lang w:eastAsia="en-GB"/>
        </w:rPr>
      </w:pPr>
      <w:r w:rsidRPr="001E47E5">
        <w:rPr>
          <w:rFonts w:ascii="Times New Roman" w:eastAsia="Times New Roman" w:hAnsi="Times New Roman" w:cs="Times New Roman"/>
          <w:sz w:val="24"/>
          <w:szCs w:val="24"/>
          <w:shd w:val="clear" w:color="auto" w:fill="FFFFFF"/>
          <w:lang w:eastAsia="en-GB"/>
        </w:rPr>
        <w:t>V</w:t>
      </w:r>
      <w:r w:rsidR="0068367D">
        <w:rPr>
          <w:rFonts w:ascii="Times New Roman" w:eastAsia="Times New Roman" w:hAnsi="Times New Roman" w:cs="Times New Roman"/>
          <w:sz w:val="24"/>
          <w:szCs w:val="24"/>
          <w:shd w:val="clear" w:color="auto" w:fill="FFFFFF"/>
          <w:lang w:eastAsia="en-GB"/>
        </w:rPr>
        <w:t>o</w:t>
      </w:r>
      <w:r w:rsidRPr="001E47E5">
        <w:rPr>
          <w:rFonts w:ascii="Times New Roman" w:eastAsia="Times New Roman" w:hAnsi="Times New Roman" w:cs="Times New Roman"/>
          <w:sz w:val="24"/>
          <w:szCs w:val="24"/>
          <w:shd w:val="clear" w:color="auto" w:fill="FFFFFF"/>
          <w:lang w:eastAsia="en-GB"/>
        </w:rPr>
        <w:t xml:space="preserve"> vyhláške </w:t>
      </w:r>
      <w:r w:rsidR="0068367D">
        <w:rPr>
          <w:rFonts w:ascii="Times New Roman" w:eastAsia="Times New Roman" w:hAnsi="Times New Roman" w:cs="Times New Roman"/>
          <w:sz w:val="24"/>
          <w:szCs w:val="24"/>
          <w:shd w:val="clear" w:color="auto" w:fill="FFFFFF"/>
          <w:lang w:eastAsia="en-GB"/>
        </w:rPr>
        <w:t xml:space="preserve">č. </w:t>
      </w:r>
      <w:r w:rsidRPr="001E47E5">
        <w:rPr>
          <w:rFonts w:ascii="Times New Roman" w:eastAsia="Times New Roman" w:hAnsi="Times New Roman" w:cs="Times New Roman"/>
          <w:sz w:val="24"/>
          <w:szCs w:val="24"/>
          <w:shd w:val="clear" w:color="auto" w:fill="FFFFFF"/>
          <w:lang w:eastAsia="en-GB"/>
        </w:rPr>
        <w:t xml:space="preserve">164/2018 </w:t>
      </w:r>
      <w:r w:rsidR="0068367D">
        <w:rPr>
          <w:rFonts w:ascii="Times New Roman" w:eastAsia="Times New Roman" w:hAnsi="Times New Roman" w:cs="Times New Roman"/>
          <w:sz w:val="24"/>
          <w:szCs w:val="24"/>
          <w:shd w:val="clear" w:color="auto" w:fill="FFFFFF"/>
          <w:lang w:eastAsia="en-GB"/>
        </w:rPr>
        <w:t xml:space="preserve">Z. z. </w:t>
      </w:r>
      <w:r w:rsidRPr="001E47E5">
        <w:rPr>
          <w:rFonts w:ascii="Times New Roman" w:eastAsia="Times New Roman" w:hAnsi="Times New Roman" w:cs="Times New Roman"/>
          <w:sz w:val="24"/>
          <w:szCs w:val="24"/>
          <w:shd w:val="clear" w:color="auto" w:fill="FFFFFF"/>
          <w:lang w:eastAsia="en-GB"/>
        </w:rPr>
        <w:t xml:space="preserve">v prílohe č. 1 </w:t>
      </w:r>
      <w:r w:rsidR="0068367D">
        <w:rPr>
          <w:rFonts w:ascii="Times New Roman" w:eastAsia="Times New Roman" w:hAnsi="Times New Roman" w:cs="Times New Roman"/>
          <w:sz w:val="24"/>
          <w:szCs w:val="24"/>
          <w:shd w:val="clear" w:color="auto" w:fill="FFFFFF"/>
          <w:lang w:eastAsia="en-GB"/>
        </w:rPr>
        <w:t xml:space="preserve">sa </w:t>
      </w:r>
      <w:r w:rsidRPr="001E47E5">
        <w:rPr>
          <w:rFonts w:ascii="Times New Roman" w:eastAsia="Times New Roman" w:hAnsi="Times New Roman" w:cs="Times New Roman"/>
          <w:sz w:val="24"/>
          <w:szCs w:val="24"/>
          <w:shd w:val="clear" w:color="auto" w:fill="FFFFFF"/>
          <w:lang w:eastAsia="en-GB"/>
        </w:rPr>
        <w:t xml:space="preserve">však v odvetví 8. Digitálna infraštruktúra </w:t>
      </w:r>
      <w:r w:rsidR="0068367D">
        <w:rPr>
          <w:rFonts w:ascii="Times New Roman" w:eastAsia="Times New Roman" w:hAnsi="Times New Roman" w:cs="Times New Roman"/>
          <w:sz w:val="24"/>
          <w:szCs w:val="24"/>
          <w:shd w:val="clear" w:color="auto" w:fill="FFFFFF"/>
          <w:lang w:eastAsia="en-GB"/>
        </w:rPr>
        <w:t xml:space="preserve">uvádza </w:t>
      </w:r>
      <w:r w:rsidRPr="001E47E5">
        <w:rPr>
          <w:rFonts w:ascii="Times New Roman" w:eastAsia="Times New Roman" w:hAnsi="Times New Roman" w:cs="Times New Roman"/>
          <w:sz w:val="24"/>
          <w:szCs w:val="24"/>
          <w:shd w:val="clear" w:color="auto" w:fill="FFFFFF"/>
          <w:lang w:eastAsia="en-GB"/>
        </w:rPr>
        <w:t>iný počet subjektov:</w:t>
      </w:r>
    </w:p>
    <w:p w14:paraId="0A2310B3" w14:textId="77777777" w:rsidR="0065353C" w:rsidRPr="001E47E5" w:rsidRDefault="0065353C" w:rsidP="0065353C">
      <w:pPr>
        <w:pStyle w:val="Odsekzoznamu"/>
        <w:numPr>
          <w:ilvl w:val="0"/>
          <w:numId w:val="15"/>
        </w:numPr>
        <w:spacing w:after="0" w:line="240" w:lineRule="auto"/>
        <w:ind w:left="851" w:hanging="426"/>
        <w:jc w:val="both"/>
        <w:rPr>
          <w:rFonts w:ascii="Times New Roman" w:eastAsia="Times New Roman" w:hAnsi="Times New Roman" w:cs="Times New Roman"/>
          <w:bCs/>
          <w:sz w:val="24"/>
          <w:szCs w:val="24"/>
          <w:shd w:val="clear" w:color="auto" w:fill="FFFFFF"/>
          <w:lang w:eastAsia="sk-SK"/>
        </w:rPr>
      </w:pPr>
      <w:r w:rsidRPr="001E47E5">
        <w:rPr>
          <w:rFonts w:ascii="Times New Roman" w:eastAsia="Times New Roman" w:hAnsi="Times New Roman" w:cs="Times New Roman"/>
          <w:bCs/>
          <w:sz w:val="24"/>
          <w:szCs w:val="24"/>
          <w:shd w:val="clear" w:color="auto" w:fill="FFFFFF"/>
          <w:lang w:eastAsia="sk-SK"/>
        </w:rPr>
        <w:t>poskytovateľ služby výmenného uzla internetu na prepájanie sietí, ktoré sú z technického a organizačného pohľadu oddelené,</w:t>
      </w:r>
    </w:p>
    <w:p w14:paraId="7E445141" w14:textId="77777777" w:rsidR="0065353C" w:rsidRPr="001E47E5" w:rsidRDefault="0065353C" w:rsidP="0065353C">
      <w:pPr>
        <w:pStyle w:val="Odsekzoznamu"/>
        <w:numPr>
          <w:ilvl w:val="0"/>
          <w:numId w:val="15"/>
        </w:numPr>
        <w:spacing w:after="0" w:line="240" w:lineRule="auto"/>
        <w:ind w:left="851" w:hanging="426"/>
        <w:jc w:val="both"/>
        <w:rPr>
          <w:rFonts w:ascii="Times New Roman" w:eastAsia="Times New Roman" w:hAnsi="Times New Roman" w:cs="Times New Roman"/>
          <w:bCs/>
          <w:sz w:val="24"/>
          <w:szCs w:val="24"/>
          <w:shd w:val="clear" w:color="auto" w:fill="FFFFFF"/>
          <w:lang w:eastAsia="sk-SK"/>
        </w:rPr>
      </w:pPr>
      <w:r w:rsidRPr="001E47E5">
        <w:rPr>
          <w:rFonts w:ascii="Times New Roman" w:eastAsia="Times New Roman" w:hAnsi="Times New Roman" w:cs="Times New Roman"/>
          <w:bCs/>
          <w:sz w:val="24"/>
          <w:szCs w:val="24"/>
          <w:shd w:val="clear" w:color="auto" w:fill="FFFFFF"/>
          <w:lang w:eastAsia="sk-SK"/>
        </w:rPr>
        <w:t>poskytovateľ služieb systému doménových mien na internete,</w:t>
      </w:r>
    </w:p>
    <w:p w14:paraId="5557C0D0" w14:textId="1F5B8802" w:rsidR="0065353C" w:rsidRPr="001E47E5" w:rsidRDefault="0065353C" w:rsidP="0065353C">
      <w:pPr>
        <w:pStyle w:val="Odsekzoznamu"/>
        <w:numPr>
          <w:ilvl w:val="0"/>
          <w:numId w:val="15"/>
        </w:numPr>
        <w:spacing w:after="0" w:line="240" w:lineRule="auto"/>
        <w:ind w:left="851" w:hanging="426"/>
        <w:jc w:val="both"/>
        <w:rPr>
          <w:rFonts w:ascii="Times New Roman" w:eastAsia="Times New Roman" w:hAnsi="Times New Roman" w:cs="Times New Roman"/>
          <w:bCs/>
          <w:sz w:val="24"/>
          <w:szCs w:val="24"/>
          <w:shd w:val="clear" w:color="auto" w:fill="FFFFFF"/>
          <w:lang w:eastAsia="sk-SK"/>
        </w:rPr>
      </w:pPr>
      <w:r w:rsidRPr="001E47E5">
        <w:rPr>
          <w:rFonts w:ascii="Times New Roman" w:eastAsia="Times New Roman" w:hAnsi="Times New Roman" w:cs="Times New Roman"/>
          <w:bCs/>
          <w:sz w:val="24"/>
          <w:szCs w:val="24"/>
          <w:shd w:val="clear" w:color="auto" w:fill="FFFFFF"/>
          <w:lang w:eastAsia="sk-SK"/>
        </w:rPr>
        <w:t>subjekt spravujúci alebo prevádzkujúci register internetových domén najvyššej úrovne.</w:t>
      </w:r>
    </w:p>
    <w:p w14:paraId="0D91F130" w14:textId="04297041" w:rsidR="0065353C" w:rsidRPr="001E47E5" w:rsidRDefault="0065353C"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sidRPr="001E47E5">
        <w:rPr>
          <w:rFonts w:ascii="Times New Roman" w:eastAsia="Times New Roman" w:hAnsi="Times New Roman" w:cs="Times New Roman"/>
          <w:bCs/>
          <w:sz w:val="24"/>
          <w:szCs w:val="24"/>
          <w:lang w:eastAsia="sk-SK"/>
        </w:rPr>
        <w:t>legislatíva by mala byť zjednodušená na podstatné oblasti, viac klásť dôraz na zdieľanie zdrojov o najlepšej praxi, vzdelávanie/zvyšovanie povedomia aj organizované zo strany štátnych inštitúcií, ale aj zabezpečenie vzájomného informovania medzi prevádzkovateľmi</w:t>
      </w:r>
      <w:r w:rsidR="00C14917">
        <w:rPr>
          <w:rFonts w:ascii="Times New Roman" w:eastAsia="Times New Roman" w:hAnsi="Times New Roman" w:cs="Times New Roman"/>
          <w:bCs/>
          <w:sz w:val="24"/>
          <w:szCs w:val="24"/>
          <w:lang w:eastAsia="sk-SK"/>
        </w:rPr>
        <w:t xml:space="preserve"> základnej služby</w:t>
      </w:r>
      <w:r w:rsidRPr="001E47E5">
        <w:rPr>
          <w:rFonts w:ascii="Times New Roman" w:eastAsia="Times New Roman" w:hAnsi="Times New Roman" w:cs="Times New Roman"/>
          <w:bCs/>
          <w:sz w:val="24"/>
          <w:szCs w:val="24"/>
          <w:lang w:eastAsia="sk-SK"/>
        </w:rPr>
        <w:t>. Napríklad v súčasnosti prevádzkovatelia</w:t>
      </w:r>
      <w:r w:rsidR="00C14917">
        <w:rPr>
          <w:rFonts w:ascii="Times New Roman" w:eastAsia="Times New Roman" w:hAnsi="Times New Roman" w:cs="Times New Roman"/>
          <w:bCs/>
          <w:sz w:val="24"/>
          <w:szCs w:val="24"/>
          <w:lang w:eastAsia="sk-SK"/>
        </w:rPr>
        <w:t xml:space="preserve"> základnej služby</w:t>
      </w:r>
      <w:r w:rsidRPr="001E47E5">
        <w:rPr>
          <w:rFonts w:ascii="Times New Roman" w:eastAsia="Times New Roman" w:hAnsi="Times New Roman" w:cs="Times New Roman"/>
          <w:bCs/>
          <w:sz w:val="24"/>
          <w:szCs w:val="24"/>
          <w:lang w:eastAsia="sk-SK"/>
        </w:rPr>
        <w:t xml:space="preserve"> nedisponujú kontaktnými údajmi iných prevádzkovateľov </w:t>
      </w:r>
      <w:r w:rsidR="00C14917">
        <w:rPr>
          <w:rFonts w:ascii="Times New Roman" w:eastAsia="Times New Roman" w:hAnsi="Times New Roman" w:cs="Times New Roman"/>
          <w:bCs/>
          <w:sz w:val="24"/>
          <w:szCs w:val="24"/>
          <w:lang w:eastAsia="sk-SK"/>
        </w:rPr>
        <w:t xml:space="preserve">základnej služby </w:t>
      </w:r>
      <w:r w:rsidRPr="001E47E5">
        <w:rPr>
          <w:rFonts w:ascii="Times New Roman" w:eastAsia="Times New Roman" w:hAnsi="Times New Roman" w:cs="Times New Roman"/>
          <w:bCs/>
          <w:sz w:val="24"/>
          <w:szCs w:val="24"/>
          <w:lang w:eastAsia="sk-SK"/>
        </w:rPr>
        <w:t xml:space="preserve">v oblasti kybernetickej </w:t>
      </w:r>
      <w:r w:rsidRPr="001E47E5">
        <w:rPr>
          <w:rFonts w:ascii="Times New Roman" w:eastAsia="Times New Roman" w:hAnsi="Times New Roman" w:cs="Times New Roman"/>
          <w:bCs/>
          <w:sz w:val="24"/>
          <w:szCs w:val="24"/>
          <w:lang w:eastAsia="sk-SK"/>
        </w:rPr>
        <w:lastRenderedPageBreak/>
        <w:t>bezpečnosti, teda rýchla reakcia je oslabená, rovnako ani nie je deklarovaný rozsah a možnosti pomoci zo strany centier kybernetickej bezpečnosti štátu v prípade zistenia možnej udalosti/incidentu. Tiež je dôležité aby podobná sieť vzájomnej komunikácie a požiadaviek bola nastavená vo vzťahu k subdodávateľom, teda zvýšený dôraz na odolnosť/riadenie dodávateľského reťazca – vhodná inšpirácia Digital Operations Resilience Act, NIST Updates Cybersecurity Guidance for Supply Chain Risk Management a pod. Radi sa zúčastníme na procese prípravy novelizácie/zmien zákona o kybernetickej bezpečnosti a poskytneme ďalšie informácie a skúsenosti z doterajšej implementácie kybernetickej bezpečnosti, aj vzhľadom na to, že podniky poskytujúce elektronické komunikačné služby často slúžia aj na notifikáciu možných narušení v sieťach/zariadeniach svojich účastníkov a poskytujú základnú osvetu svojim zákazníkom,</w:t>
      </w:r>
    </w:p>
    <w:p w14:paraId="1C20C009" w14:textId="5E711ED9" w:rsidR="0065353C" w:rsidRPr="001E47E5" w:rsidRDefault="00C72367"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je nevyhnutné zadefinovať a jednoznačne rozdeliť</w:t>
      </w:r>
      <w:r w:rsidR="0065353C" w:rsidRPr="001E47E5">
        <w:rPr>
          <w:rFonts w:ascii="Times New Roman" w:eastAsia="Times New Roman" w:hAnsi="Times New Roman" w:cs="Times New Roman"/>
          <w:bCs/>
          <w:sz w:val="24"/>
          <w:szCs w:val="24"/>
          <w:lang w:eastAsia="sk-SK"/>
        </w:rPr>
        <w:t xml:space="preserve"> požiadavk</w:t>
      </w:r>
      <w:r>
        <w:rPr>
          <w:rFonts w:ascii="Times New Roman" w:eastAsia="Times New Roman" w:hAnsi="Times New Roman" w:cs="Times New Roman"/>
          <w:bCs/>
          <w:sz w:val="24"/>
          <w:szCs w:val="24"/>
          <w:lang w:eastAsia="sk-SK"/>
        </w:rPr>
        <w:t>y</w:t>
      </w:r>
      <w:r w:rsidR="0065353C" w:rsidRPr="001E47E5">
        <w:rPr>
          <w:rFonts w:ascii="Times New Roman" w:eastAsia="Times New Roman" w:hAnsi="Times New Roman" w:cs="Times New Roman"/>
          <w:bCs/>
          <w:sz w:val="24"/>
          <w:szCs w:val="24"/>
          <w:lang w:eastAsia="sk-SK"/>
        </w:rPr>
        <w:t xml:space="preserve"> na IT a priemyselné systémy je potrebné, keďže nie všetky sú aplikovateľné v oblasti OT,</w:t>
      </w:r>
    </w:p>
    <w:p w14:paraId="08742DB5" w14:textId="4CA9E005" w:rsidR="0065353C" w:rsidRPr="001E47E5" w:rsidRDefault="0065353C"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sidRPr="001E47E5">
        <w:rPr>
          <w:rFonts w:ascii="Times New Roman" w:eastAsia="Times New Roman" w:hAnsi="Times New Roman" w:cs="Times New Roman"/>
          <w:bCs/>
          <w:sz w:val="24"/>
          <w:szCs w:val="24"/>
          <w:lang w:eastAsia="sk-SK"/>
        </w:rPr>
        <w:t>základným stavebným prvkom pri plnení bezpečnostných opatrení podľa zákona č. 69/2018</w:t>
      </w:r>
      <w:r w:rsidR="0068367D">
        <w:rPr>
          <w:rFonts w:ascii="Times New Roman" w:eastAsia="Times New Roman" w:hAnsi="Times New Roman" w:cs="Times New Roman"/>
          <w:bCs/>
          <w:sz w:val="24"/>
          <w:szCs w:val="24"/>
          <w:lang w:eastAsia="sk-SK"/>
        </w:rPr>
        <w:t xml:space="preserve"> Z. z.</w:t>
      </w:r>
      <w:r w:rsidRPr="001E47E5">
        <w:rPr>
          <w:rFonts w:ascii="Times New Roman" w:eastAsia="Times New Roman" w:hAnsi="Times New Roman" w:cs="Times New Roman"/>
          <w:bCs/>
          <w:sz w:val="24"/>
          <w:szCs w:val="24"/>
          <w:lang w:eastAsia="sk-SK"/>
        </w:rPr>
        <w:t xml:space="preserve"> je analýza rizík. Bolo by vhodné vykonávacím predpisom upraviť podrobnosti, najmä jednotnú a záväznú metodiku analýzy rizík. Hoci </w:t>
      </w:r>
      <w:r w:rsidR="002C3879">
        <w:rPr>
          <w:rFonts w:ascii="Times New Roman" w:eastAsia="Times New Roman" w:hAnsi="Times New Roman" w:cs="Times New Roman"/>
          <w:bCs/>
          <w:sz w:val="24"/>
          <w:szCs w:val="24"/>
          <w:lang w:eastAsia="sk-SK"/>
        </w:rPr>
        <w:t>NBÚ</w:t>
      </w:r>
      <w:r w:rsidRPr="001E47E5">
        <w:rPr>
          <w:rFonts w:ascii="Times New Roman" w:eastAsia="Times New Roman" w:hAnsi="Times New Roman" w:cs="Times New Roman"/>
          <w:bCs/>
          <w:sz w:val="24"/>
          <w:szCs w:val="24"/>
          <w:lang w:eastAsia="sk-SK"/>
        </w:rPr>
        <w:t xml:space="preserve"> má na svojom portáli zverejnenú odporúčanú metodiku pre analýzu rizík, tá však nie je právne záväzná pre všetkých prevádzkovateľov základných služieb</w:t>
      </w:r>
      <w:r w:rsidR="009A174D">
        <w:rPr>
          <w:rFonts w:ascii="Times New Roman" w:eastAsia="Times New Roman" w:hAnsi="Times New Roman" w:cs="Times New Roman"/>
          <w:bCs/>
          <w:sz w:val="24"/>
          <w:szCs w:val="24"/>
          <w:lang w:eastAsia="sk-SK"/>
        </w:rPr>
        <w:t>,</w:t>
      </w:r>
      <w:r w:rsidRPr="001E47E5">
        <w:rPr>
          <w:rFonts w:ascii="Times New Roman" w:eastAsia="Times New Roman" w:hAnsi="Times New Roman" w:cs="Times New Roman"/>
          <w:bCs/>
          <w:sz w:val="24"/>
          <w:szCs w:val="24"/>
          <w:lang w:eastAsia="sk-SK"/>
        </w:rPr>
        <w:t xml:space="preserve"> </w:t>
      </w:r>
    </w:p>
    <w:p w14:paraId="6054E251" w14:textId="556E780C" w:rsidR="0065353C" w:rsidRPr="001E47E5" w:rsidRDefault="009A174D"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0065353C" w:rsidRPr="001E47E5">
        <w:rPr>
          <w:rFonts w:ascii="Times New Roman" w:eastAsia="Times New Roman" w:hAnsi="Times New Roman" w:cs="Times New Roman"/>
          <w:bCs/>
          <w:sz w:val="24"/>
          <w:szCs w:val="24"/>
          <w:lang w:eastAsia="sk-SK"/>
        </w:rPr>
        <w:t xml:space="preserve"> nadväznosti na nadchádzajúcu transpozíciu </w:t>
      </w:r>
      <w:r>
        <w:rPr>
          <w:rFonts w:ascii="Times New Roman" w:eastAsia="Times New Roman" w:hAnsi="Times New Roman" w:cs="Times New Roman"/>
          <w:bCs/>
          <w:sz w:val="24"/>
          <w:szCs w:val="24"/>
          <w:lang w:eastAsia="sk-SK"/>
        </w:rPr>
        <w:t>s</w:t>
      </w:r>
      <w:r w:rsidR="0065353C" w:rsidRPr="001E47E5">
        <w:rPr>
          <w:rFonts w:ascii="Times New Roman" w:eastAsia="Times New Roman" w:hAnsi="Times New Roman" w:cs="Times New Roman"/>
          <w:bCs/>
          <w:sz w:val="24"/>
          <w:szCs w:val="24"/>
          <w:lang w:eastAsia="sk-SK"/>
        </w:rPr>
        <w:t xml:space="preserve">mernice NIS 2 do slovenského právneho poriadku zároveň budeme veľmi pozitívne vnímať, ak nedôjde k transpozícii nad rámec povinností v nej stanovených (tzv. goldplating). Vzhľadom na predmet úpravy </w:t>
      </w:r>
      <w:r>
        <w:rPr>
          <w:rFonts w:ascii="Times New Roman" w:eastAsia="Times New Roman" w:hAnsi="Times New Roman" w:cs="Times New Roman"/>
          <w:bCs/>
          <w:sz w:val="24"/>
          <w:szCs w:val="24"/>
          <w:lang w:eastAsia="sk-SK"/>
        </w:rPr>
        <w:t xml:space="preserve">smernice </w:t>
      </w:r>
      <w:r w:rsidR="0065353C" w:rsidRPr="001E47E5">
        <w:rPr>
          <w:rFonts w:ascii="Times New Roman" w:eastAsia="Times New Roman" w:hAnsi="Times New Roman" w:cs="Times New Roman"/>
          <w:bCs/>
          <w:sz w:val="24"/>
          <w:szCs w:val="24"/>
          <w:lang w:eastAsia="sk-SK"/>
        </w:rPr>
        <w:t>NIS 2 by povinnosti zavedené nad rámec smernice mali za následok významný finančný dopad pre prevádzkovateľov základných služieb pri implementácii nevyhnutných technických a organizačných nástrojov za účelom splnenia takýchto prípadne stan</w:t>
      </w:r>
      <w:r w:rsidR="00653D26">
        <w:rPr>
          <w:rFonts w:ascii="Times New Roman" w:eastAsia="Times New Roman" w:hAnsi="Times New Roman" w:cs="Times New Roman"/>
          <w:bCs/>
          <w:sz w:val="24"/>
          <w:szCs w:val="24"/>
          <w:lang w:eastAsia="sk-SK"/>
        </w:rPr>
        <w:t>ovených extenzívnych povinností,</w:t>
      </w:r>
    </w:p>
    <w:p w14:paraId="14C2572C" w14:textId="39D9B6DF" w:rsidR="0065353C" w:rsidRPr="001E47E5" w:rsidRDefault="009A174D"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0065353C" w:rsidRPr="001E47E5">
        <w:rPr>
          <w:rFonts w:ascii="Times New Roman" w:eastAsia="Times New Roman" w:hAnsi="Times New Roman" w:cs="Times New Roman"/>
          <w:bCs/>
          <w:sz w:val="24"/>
          <w:szCs w:val="24"/>
          <w:lang w:eastAsia="sk-SK"/>
        </w:rPr>
        <w:t xml:space="preserve">äčší dôraz </w:t>
      </w:r>
      <w:r w:rsidR="00354F1A">
        <w:rPr>
          <w:rFonts w:ascii="Times New Roman" w:eastAsia="Times New Roman" w:hAnsi="Times New Roman" w:cs="Times New Roman"/>
          <w:bCs/>
          <w:sz w:val="24"/>
          <w:szCs w:val="24"/>
          <w:lang w:eastAsia="sk-SK"/>
        </w:rPr>
        <w:t xml:space="preserve">klásť </w:t>
      </w:r>
      <w:r w:rsidR="0065353C" w:rsidRPr="001E47E5">
        <w:rPr>
          <w:rFonts w:ascii="Times New Roman" w:eastAsia="Times New Roman" w:hAnsi="Times New Roman" w:cs="Times New Roman"/>
          <w:bCs/>
          <w:sz w:val="24"/>
          <w:szCs w:val="24"/>
          <w:lang w:eastAsia="sk-SK"/>
        </w:rPr>
        <w:t xml:space="preserve">na realizáciu analýzy rizík a následná väčšia autonómia pri stanovení bezpečnostných opatrení, ktoré budú aplikované. Aktuálne sú bezpečnostné opatrenia taxatívne vymenované a ich splnenie nemusí vždy znamenať optimálnu (miera rizika / účinnosť opatrenia/ náklady) ochranu. Príkladom takéhoto zákonom vyžadovaného technického riešenia </w:t>
      </w:r>
      <w:r w:rsidR="00653D26">
        <w:rPr>
          <w:rFonts w:ascii="Times New Roman" w:eastAsia="Times New Roman" w:hAnsi="Times New Roman" w:cs="Times New Roman"/>
          <w:bCs/>
          <w:sz w:val="24"/>
          <w:szCs w:val="24"/>
          <w:lang w:eastAsia="sk-SK"/>
        </w:rPr>
        <w:t>je napr. vulnerability scanner,</w:t>
      </w:r>
    </w:p>
    <w:p w14:paraId="7D1CD9A8" w14:textId="1858AA45" w:rsidR="0065353C" w:rsidRPr="001E47E5" w:rsidRDefault="00653D26"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k</w:t>
      </w:r>
      <w:r w:rsidR="0065353C" w:rsidRPr="001E47E5">
        <w:rPr>
          <w:rFonts w:ascii="Times New Roman" w:eastAsia="Times New Roman" w:hAnsi="Times New Roman" w:cs="Times New Roman"/>
          <w:bCs/>
          <w:sz w:val="24"/>
          <w:szCs w:val="24"/>
          <w:lang w:eastAsia="sk-SK"/>
        </w:rPr>
        <w:t>ybernetické hrozby sú na svete rovnaké, avšak subjekty a možné dopady v prípade útokov nie sú dostatočné diverzifikované. Klasifikácia a kategorizácia  samotných informačných systémov a zároveň samotná definícia dôvernosti, dostupnosti a integrity dát by mohla mať hlbší charakter a sprievodné vysvetlenie pre samotnú identifikáciu</w:t>
      </w:r>
      <w:r>
        <w:rPr>
          <w:rFonts w:ascii="Times New Roman" w:eastAsia="Times New Roman" w:hAnsi="Times New Roman" w:cs="Times New Roman"/>
          <w:bCs/>
          <w:sz w:val="24"/>
          <w:szCs w:val="24"/>
          <w:lang w:eastAsia="sk-SK"/>
        </w:rPr>
        <w:t>,</w:t>
      </w:r>
      <w:r w:rsidR="0065353C" w:rsidRPr="001E47E5">
        <w:rPr>
          <w:rFonts w:ascii="Times New Roman" w:eastAsia="Times New Roman" w:hAnsi="Times New Roman" w:cs="Times New Roman"/>
          <w:bCs/>
          <w:sz w:val="24"/>
          <w:szCs w:val="24"/>
          <w:lang w:eastAsia="sk-SK"/>
        </w:rPr>
        <w:t xml:space="preserve"> </w:t>
      </w:r>
    </w:p>
    <w:p w14:paraId="56D70AED" w14:textId="0C626946" w:rsidR="0065353C" w:rsidRPr="001E47E5" w:rsidRDefault="00653D26"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w:t>
      </w:r>
      <w:r w:rsidR="0065353C" w:rsidRPr="001E47E5">
        <w:rPr>
          <w:rFonts w:ascii="Times New Roman" w:eastAsia="Times New Roman" w:hAnsi="Times New Roman" w:cs="Times New Roman"/>
          <w:bCs/>
          <w:sz w:val="24"/>
          <w:szCs w:val="24"/>
          <w:lang w:eastAsia="sk-SK"/>
        </w:rPr>
        <w:t>ávrhy týkajúce sa dokument</w:t>
      </w:r>
      <w:r>
        <w:rPr>
          <w:rFonts w:ascii="Times New Roman" w:eastAsia="Times New Roman" w:hAnsi="Times New Roman" w:cs="Times New Roman"/>
          <w:bCs/>
          <w:sz w:val="24"/>
          <w:szCs w:val="24"/>
          <w:lang w:eastAsia="sk-SK"/>
        </w:rPr>
        <w:t>ov nadväzujúcich na legislatívu,</w:t>
      </w:r>
    </w:p>
    <w:p w14:paraId="12CAFA8C" w14:textId="223F521B" w:rsidR="0065353C" w:rsidRPr="001E47E5" w:rsidRDefault="00653D26"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b</w:t>
      </w:r>
      <w:r w:rsidR="0065353C" w:rsidRPr="001E47E5">
        <w:rPr>
          <w:rFonts w:ascii="Times New Roman" w:eastAsia="Times New Roman" w:hAnsi="Times New Roman" w:cs="Times New Roman"/>
          <w:bCs/>
          <w:sz w:val="24"/>
          <w:szCs w:val="24"/>
          <w:lang w:eastAsia="sk-SK"/>
        </w:rPr>
        <w:t>ližšia identifikácia, zároveň definícia manažéra kybernetickej bezpečnosti</w:t>
      </w:r>
      <w:r>
        <w:rPr>
          <w:rFonts w:ascii="Times New Roman" w:eastAsia="Times New Roman" w:hAnsi="Times New Roman" w:cs="Times New Roman"/>
          <w:bCs/>
          <w:sz w:val="24"/>
          <w:szCs w:val="24"/>
          <w:lang w:eastAsia="sk-SK"/>
        </w:rPr>
        <w:t>,</w:t>
      </w:r>
    </w:p>
    <w:p w14:paraId="0FFA752D" w14:textId="000E163A" w:rsidR="0065353C" w:rsidRPr="001E47E5" w:rsidRDefault="00653D26"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c</w:t>
      </w:r>
      <w:r w:rsidR="0065353C" w:rsidRPr="001E47E5">
        <w:rPr>
          <w:rFonts w:ascii="Times New Roman" w:eastAsia="Times New Roman" w:hAnsi="Times New Roman" w:cs="Times New Roman"/>
          <w:bCs/>
          <w:sz w:val="24"/>
          <w:szCs w:val="24"/>
          <w:lang w:eastAsia="sk-SK"/>
        </w:rPr>
        <w:t>hýbajúce metodické usmernenia, bezplatné školenia a webináre – celkovo pre kybernetick</w:t>
      </w:r>
      <w:r>
        <w:rPr>
          <w:rFonts w:ascii="Times New Roman" w:eastAsia="Times New Roman" w:hAnsi="Times New Roman" w:cs="Times New Roman"/>
          <w:bCs/>
          <w:sz w:val="24"/>
          <w:szCs w:val="24"/>
          <w:lang w:eastAsia="sk-SK"/>
        </w:rPr>
        <w:t xml:space="preserve">ú bezpečnosť a zároveň rolu </w:t>
      </w:r>
      <w:r w:rsidR="00354F1A">
        <w:rPr>
          <w:rFonts w:ascii="Times New Roman" w:eastAsia="Times New Roman" w:hAnsi="Times New Roman" w:cs="Times New Roman"/>
          <w:bCs/>
          <w:sz w:val="24"/>
          <w:szCs w:val="24"/>
          <w:lang w:eastAsia="sk-SK"/>
        </w:rPr>
        <w:t>manažéra kybernetickej bezpečnosti</w:t>
      </w:r>
      <w:r>
        <w:rPr>
          <w:rFonts w:ascii="Times New Roman" w:eastAsia="Times New Roman" w:hAnsi="Times New Roman" w:cs="Times New Roman"/>
          <w:bCs/>
          <w:sz w:val="24"/>
          <w:szCs w:val="24"/>
          <w:lang w:eastAsia="sk-SK"/>
        </w:rPr>
        <w:t>,</w:t>
      </w:r>
    </w:p>
    <w:p w14:paraId="166DE830" w14:textId="7242E974" w:rsidR="0065353C" w:rsidRPr="001E47E5" w:rsidRDefault="00653D26"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u</w:t>
      </w:r>
      <w:r w:rsidR="0065353C" w:rsidRPr="001E47E5">
        <w:rPr>
          <w:rFonts w:ascii="Times New Roman" w:eastAsia="Times New Roman" w:hAnsi="Times New Roman" w:cs="Times New Roman"/>
          <w:bCs/>
          <w:sz w:val="24"/>
          <w:szCs w:val="24"/>
          <w:lang w:eastAsia="sk-SK"/>
        </w:rPr>
        <w:t xml:space="preserve">znávanie certifikácii aj iných krajín, nie len </w:t>
      </w:r>
      <w:r w:rsidR="00354F1A">
        <w:rPr>
          <w:rFonts w:ascii="Times New Roman" w:eastAsia="Times New Roman" w:hAnsi="Times New Roman" w:cs="Times New Roman"/>
          <w:bCs/>
          <w:sz w:val="24"/>
          <w:szCs w:val="24"/>
          <w:lang w:eastAsia="sk-SK"/>
        </w:rPr>
        <w:t>certifikát zo Slovenskej republiky</w:t>
      </w:r>
      <w:r>
        <w:rPr>
          <w:rFonts w:ascii="Times New Roman" w:eastAsia="Times New Roman" w:hAnsi="Times New Roman" w:cs="Times New Roman"/>
          <w:bCs/>
          <w:sz w:val="24"/>
          <w:szCs w:val="24"/>
          <w:lang w:eastAsia="sk-SK"/>
        </w:rPr>
        <w:t>,</w:t>
      </w:r>
    </w:p>
    <w:p w14:paraId="3DCC3F11" w14:textId="4BD0DB43" w:rsidR="0065353C" w:rsidRPr="001E47E5" w:rsidRDefault="00653D26"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w:t>
      </w:r>
      <w:r w:rsidR="0065353C" w:rsidRPr="001E47E5">
        <w:rPr>
          <w:rFonts w:ascii="Times New Roman" w:eastAsia="Times New Roman" w:hAnsi="Times New Roman" w:cs="Times New Roman"/>
          <w:bCs/>
          <w:sz w:val="24"/>
          <w:szCs w:val="24"/>
          <w:lang w:eastAsia="sk-SK"/>
        </w:rPr>
        <w:t>latforma/fórum na výmenu „best practise“, poznatkov, prístupov – mimo spoplatnené semináre, s možnosťou otvorene komunikovať obdobné problémy a prístupy, nové technológie, riešenia. Skrz finančnú náročnosť by sa tak podporila a hlavne zefektívnila samotná kybernetická bezpečnosť (vyšší záujem a reálny prístup k zákonu). Obdobne ako etick</w:t>
      </w:r>
      <w:r>
        <w:rPr>
          <w:rFonts w:ascii="Times New Roman" w:eastAsia="Times New Roman" w:hAnsi="Times New Roman" w:cs="Times New Roman"/>
          <w:bCs/>
          <w:sz w:val="24"/>
          <w:szCs w:val="24"/>
          <w:lang w:eastAsia="sk-SK"/>
        </w:rPr>
        <w:t>í</w:t>
      </w:r>
      <w:r w:rsidR="0065353C" w:rsidRPr="001E47E5">
        <w:rPr>
          <w:rFonts w:ascii="Times New Roman" w:eastAsia="Times New Roman" w:hAnsi="Times New Roman" w:cs="Times New Roman"/>
          <w:bCs/>
          <w:sz w:val="24"/>
          <w:szCs w:val="24"/>
          <w:lang w:eastAsia="sk-SK"/>
        </w:rPr>
        <w:t xml:space="preserve"> hackeri, aj v kybernetickej bezpečnosti máme excelentných ľudí, ktorých skúsenosti nie sú vždy predávané ako spoplatn</w:t>
      </w:r>
      <w:r>
        <w:rPr>
          <w:rFonts w:ascii="Times New Roman" w:eastAsia="Times New Roman" w:hAnsi="Times New Roman" w:cs="Times New Roman"/>
          <w:bCs/>
          <w:sz w:val="24"/>
          <w:szCs w:val="24"/>
          <w:lang w:eastAsia="sk-SK"/>
        </w:rPr>
        <w:t>ená služba na báze predplatného,</w:t>
      </w:r>
    </w:p>
    <w:p w14:paraId="0B72FB91" w14:textId="40F9A302" w:rsidR="0065353C" w:rsidRPr="001E47E5" w:rsidRDefault="00653D26"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0065353C" w:rsidRPr="001E47E5">
        <w:rPr>
          <w:rFonts w:ascii="Times New Roman" w:eastAsia="Times New Roman" w:hAnsi="Times New Roman" w:cs="Times New Roman"/>
          <w:bCs/>
          <w:sz w:val="24"/>
          <w:szCs w:val="24"/>
          <w:lang w:eastAsia="sk-SK"/>
        </w:rPr>
        <w:t>zhľadom na rýchly vývoj technológií a kybernetických hrozieb je dôležité pravidelne aktualizovať definície v zákone tak, aby zodpovedali súčasným trendom a technologickým výzvam (napr. AI</w:t>
      </w:r>
      <w:r w:rsidR="007D3FA3">
        <w:rPr>
          <w:rFonts w:ascii="Times New Roman" w:eastAsia="Times New Roman" w:hAnsi="Times New Roman" w:cs="Times New Roman"/>
          <w:bCs/>
          <w:sz w:val="24"/>
          <w:szCs w:val="24"/>
          <w:lang w:eastAsia="sk-SK"/>
        </w:rPr>
        <w:t xml:space="preserve"> – umelá inteligencia</w:t>
      </w:r>
      <w:r w:rsidR="0065353C" w:rsidRPr="001E47E5">
        <w:rPr>
          <w:rFonts w:ascii="Times New Roman" w:eastAsia="Times New Roman" w:hAnsi="Times New Roman" w:cs="Times New Roman"/>
          <w:bCs/>
          <w:sz w:val="24"/>
          <w:szCs w:val="24"/>
          <w:lang w:eastAsia="sk-SK"/>
        </w:rPr>
        <w:t xml:space="preserve">). Zabezpečenie, aby zákon bol navrhnutý tak, aby bol flexibilný a schopný sa prispôsobiť rýchlemu vývoju kybernetických hrozieb. </w:t>
      </w:r>
      <w:r w:rsidR="0065353C" w:rsidRPr="001E47E5">
        <w:rPr>
          <w:rFonts w:ascii="Times New Roman" w:eastAsia="Times New Roman" w:hAnsi="Times New Roman" w:cs="Times New Roman"/>
          <w:bCs/>
          <w:sz w:val="24"/>
          <w:szCs w:val="24"/>
          <w:lang w:eastAsia="sk-SK"/>
        </w:rPr>
        <w:lastRenderedPageBreak/>
        <w:t>Zabezpečenie, že zákon podporuje a uľahčuje spoluprácu medzi verejným a súkromným sektorom pri riešení kybernetických hrozie</w:t>
      </w:r>
      <w:r w:rsidR="00260E02">
        <w:rPr>
          <w:rFonts w:ascii="Times New Roman" w:eastAsia="Times New Roman" w:hAnsi="Times New Roman" w:cs="Times New Roman"/>
          <w:bCs/>
          <w:sz w:val="24"/>
          <w:szCs w:val="24"/>
          <w:lang w:eastAsia="sk-SK"/>
        </w:rPr>
        <w:t>b,</w:t>
      </w:r>
    </w:p>
    <w:p w14:paraId="37F798EB" w14:textId="3ED815F4"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m</w:t>
      </w:r>
      <w:r w:rsidR="0065353C" w:rsidRPr="001E47E5">
        <w:rPr>
          <w:rFonts w:ascii="Times New Roman" w:eastAsia="Times New Roman" w:hAnsi="Times New Roman" w:cs="Times New Roman"/>
          <w:bCs/>
          <w:sz w:val="24"/>
          <w:szCs w:val="24"/>
          <w:lang w:eastAsia="sk-SK"/>
        </w:rPr>
        <w:t xml:space="preserve">ožnosť vykonať samohodnotenie aj v ďalších rokoch, ktorým sa nahradí povinnosť vykonať certifikovaný audit v zmysle zákona, </w:t>
      </w:r>
      <w:r w:rsidR="007D3FA3">
        <w:rPr>
          <w:rFonts w:ascii="Times New Roman" w:eastAsia="Times New Roman" w:hAnsi="Times New Roman" w:cs="Times New Roman"/>
          <w:bCs/>
          <w:sz w:val="24"/>
          <w:szCs w:val="24"/>
          <w:lang w:eastAsia="sk-SK"/>
        </w:rPr>
        <w:t>keďže</w:t>
      </w:r>
      <w:r w:rsidR="0065353C" w:rsidRPr="001E47E5">
        <w:rPr>
          <w:rFonts w:ascii="Times New Roman" w:eastAsia="Times New Roman" w:hAnsi="Times New Roman" w:cs="Times New Roman"/>
          <w:bCs/>
          <w:sz w:val="24"/>
          <w:szCs w:val="24"/>
          <w:lang w:eastAsia="sk-SK"/>
        </w:rPr>
        <w:t xml:space="preserve"> samospráva nemá dostatok finančných prostriedkov na zabezpečenie certifikovaného auditu. Rovnako v zákone chýbajú jasné špecifikácie povinností jednotlivých subjektov, t.j. v zákone sú vymedzené široko, resp. všeobecne. Zároveň by sme uvítali možnosť získania nenávratných fin. prostriedkov, ktoré by boli určené na zvyšovanie úrovne kyberne</w:t>
      </w:r>
      <w:r>
        <w:rPr>
          <w:rFonts w:ascii="Times New Roman" w:eastAsia="Times New Roman" w:hAnsi="Times New Roman" w:cs="Times New Roman"/>
          <w:bCs/>
          <w:sz w:val="24"/>
          <w:szCs w:val="24"/>
          <w:lang w:eastAsia="sk-SK"/>
        </w:rPr>
        <w:t>tickej bezpečnosti v samospráve,</w:t>
      </w:r>
    </w:p>
    <w:p w14:paraId="42E60BD5" w14:textId="70579640"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s</w:t>
      </w:r>
      <w:r w:rsidR="0065353C" w:rsidRPr="001E47E5">
        <w:rPr>
          <w:rFonts w:ascii="Times New Roman" w:eastAsia="Times New Roman" w:hAnsi="Times New Roman" w:cs="Times New Roman"/>
          <w:bCs/>
          <w:sz w:val="24"/>
          <w:szCs w:val="24"/>
          <w:lang w:eastAsia="sk-SK"/>
        </w:rPr>
        <w:t>amosprávy by privítali aktívnejšiu pomoc štátu, napríklad vybudovaním centier kybernetickej bezpečnosti, napr. v každom kraji, ktoré by pre mestá túto agendu za určitú úhradu realizovali, namiesto toho, aby sme prostriedky investovali do súkromných firiem. Vychádzajú z toho, že infraštruktúra na mestách je dosť podobná a používa sa obmedzená množina softvéru, tak správ</w:t>
      </w:r>
      <w:r>
        <w:rPr>
          <w:rFonts w:ascii="Times New Roman" w:eastAsia="Times New Roman" w:hAnsi="Times New Roman" w:cs="Times New Roman"/>
          <w:bCs/>
          <w:sz w:val="24"/>
          <w:szCs w:val="24"/>
          <w:lang w:eastAsia="sk-SK"/>
        </w:rPr>
        <w:t>a a dohľad by boli jednoduchšie,</w:t>
      </w:r>
    </w:p>
    <w:p w14:paraId="3106CD82" w14:textId="608D8806"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w:t>
      </w:r>
      <w:r w:rsidR="0065353C" w:rsidRPr="001E47E5">
        <w:rPr>
          <w:rFonts w:ascii="Times New Roman" w:eastAsia="Times New Roman" w:hAnsi="Times New Roman" w:cs="Times New Roman"/>
          <w:bCs/>
          <w:sz w:val="24"/>
          <w:szCs w:val="24"/>
          <w:lang w:eastAsia="sk-SK"/>
        </w:rPr>
        <w:t xml:space="preserve">apracovanie možnosti </w:t>
      </w:r>
      <w:r w:rsidR="007D3FA3">
        <w:rPr>
          <w:rFonts w:ascii="Times New Roman" w:eastAsia="Times New Roman" w:hAnsi="Times New Roman" w:cs="Times New Roman"/>
          <w:bCs/>
          <w:sz w:val="24"/>
          <w:szCs w:val="24"/>
          <w:lang w:eastAsia="sk-SK"/>
        </w:rPr>
        <w:t>s</w:t>
      </w:r>
      <w:r w:rsidR="0065353C" w:rsidRPr="001E47E5">
        <w:rPr>
          <w:rFonts w:ascii="Times New Roman" w:eastAsia="Times New Roman" w:hAnsi="Times New Roman" w:cs="Times New Roman"/>
          <w:bCs/>
          <w:sz w:val="24"/>
          <w:szCs w:val="24"/>
          <w:lang w:eastAsia="sk-SK"/>
        </w:rPr>
        <w:t>amohodnotenia kontroly plnenia povinností v zmysle zákona o</w:t>
      </w:r>
      <w:r>
        <w:rPr>
          <w:rFonts w:ascii="Times New Roman" w:eastAsia="Times New Roman" w:hAnsi="Times New Roman" w:cs="Times New Roman"/>
          <w:bCs/>
          <w:sz w:val="24"/>
          <w:szCs w:val="24"/>
          <w:lang w:eastAsia="sk-SK"/>
        </w:rPr>
        <w:t> </w:t>
      </w:r>
      <w:r w:rsidR="0065353C" w:rsidRPr="001E47E5">
        <w:rPr>
          <w:rFonts w:ascii="Times New Roman" w:eastAsia="Times New Roman" w:hAnsi="Times New Roman" w:cs="Times New Roman"/>
          <w:bCs/>
          <w:sz w:val="24"/>
          <w:szCs w:val="24"/>
          <w:lang w:eastAsia="sk-SK"/>
        </w:rPr>
        <w:t>kybernetickej bezpečnosti vo frekvencii raz za 12 mesiacov a zároveň frekvenciu vykonávania auditu prostredníctvom certifikovaného audítora kybernetickej bezpečnosti v</w:t>
      </w:r>
      <w:r>
        <w:rPr>
          <w:rFonts w:ascii="Times New Roman" w:eastAsia="Times New Roman" w:hAnsi="Times New Roman" w:cs="Times New Roman"/>
          <w:bCs/>
          <w:sz w:val="24"/>
          <w:szCs w:val="24"/>
          <w:lang w:eastAsia="sk-SK"/>
        </w:rPr>
        <w:t> </w:t>
      </w:r>
      <w:r w:rsidR="0065353C" w:rsidRPr="001E47E5">
        <w:rPr>
          <w:rFonts w:ascii="Times New Roman" w:eastAsia="Times New Roman" w:hAnsi="Times New Roman" w:cs="Times New Roman"/>
          <w:bCs/>
          <w:sz w:val="24"/>
          <w:szCs w:val="24"/>
          <w:lang w:eastAsia="sk-SK"/>
        </w:rPr>
        <w:t>zmysle ustanovení §29 ods. 3 zákona o kybernetickej bezpečnosti predĺžiť na obdobie raz za 5 rokov. Vzhľadom na fakt, že v zmysle § 29 ods. 7 zákona o kybernetickej bezpečnosti si náklady na audit kybernetickej bezpečnosti audítorom kybernetickej bezpečnosti uhrádzajú prevádzkovatelia základnej služby, prišlo by tak k zníženiu finančnej záťaže subjektov, ktoré by výkon kontroly plnenia povinností v zmysle zákona o</w:t>
      </w:r>
      <w:r>
        <w:rPr>
          <w:rFonts w:ascii="Times New Roman" w:eastAsia="Times New Roman" w:hAnsi="Times New Roman" w:cs="Times New Roman"/>
          <w:bCs/>
          <w:sz w:val="24"/>
          <w:szCs w:val="24"/>
          <w:lang w:eastAsia="sk-SK"/>
        </w:rPr>
        <w:t> </w:t>
      </w:r>
      <w:r w:rsidR="0065353C" w:rsidRPr="001E47E5">
        <w:rPr>
          <w:rFonts w:ascii="Times New Roman" w:eastAsia="Times New Roman" w:hAnsi="Times New Roman" w:cs="Times New Roman"/>
          <w:bCs/>
          <w:sz w:val="24"/>
          <w:szCs w:val="24"/>
          <w:lang w:eastAsia="sk-SK"/>
        </w:rPr>
        <w:t>kybernetickej bezpečnosti realizovali formou Samohodnotenia v zmysle zákona o</w:t>
      </w:r>
      <w:r>
        <w:rPr>
          <w:rFonts w:ascii="Times New Roman" w:eastAsia="Times New Roman" w:hAnsi="Times New Roman" w:cs="Times New Roman"/>
          <w:bCs/>
          <w:sz w:val="24"/>
          <w:szCs w:val="24"/>
          <w:lang w:eastAsia="sk-SK"/>
        </w:rPr>
        <w:t> </w:t>
      </w:r>
      <w:r w:rsidR="0065353C" w:rsidRPr="001E47E5">
        <w:rPr>
          <w:rFonts w:ascii="Times New Roman" w:eastAsia="Times New Roman" w:hAnsi="Times New Roman" w:cs="Times New Roman"/>
          <w:bCs/>
          <w:sz w:val="24"/>
          <w:szCs w:val="24"/>
          <w:lang w:eastAsia="sk-SK"/>
        </w:rPr>
        <w:t>kybernetickej bezpečnosti raz za 12 mesiacov</w:t>
      </w:r>
      <w:r>
        <w:rPr>
          <w:rFonts w:ascii="Times New Roman" w:eastAsia="Times New Roman" w:hAnsi="Times New Roman" w:cs="Times New Roman"/>
          <w:bCs/>
          <w:sz w:val="24"/>
          <w:szCs w:val="24"/>
          <w:lang w:eastAsia="sk-SK"/>
        </w:rPr>
        <w:t>,</w:t>
      </w:r>
    </w:p>
    <w:p w14:paraId="38785B38" w14:textId="13E11A52"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j</w:t>
      </w:r>
      <w:r w:rsidR="0065353C" w:rsidRPr="001E47E5">
        <w:rPr>
          <w:rFonts w:ascii="Times New Roman" w:eastAsia="Times New Roman" w:hAnsi="Times New Roman" w:cs="Times New Roman"/>
          <w:bCs/>
          <w:sz w:val="24"/>
          <w:szCs w:val="24"/>
          <w:lang w:eastAsia="sk-SK"/>
        </w:rPr>
        <w:t xml:space="preserve">asnejšia definícia čo je to základná služba a ktoré informačné systémy </w:t>
      </w:r>
      <w:r w:rsidR="00D3174B">
        <w:rPr>
          <w:rFonts w:ascii="Times New Roman" w:eastAsia="Times New Roman" w:hAnsi="Times New Roman" w:cs="Times New Roman"/>
          <w:bCs/>
          <w:sz w:val="24"/>
          <w:szCs w:val="24"/>
          <w:lang w:eastAsia="sk-SK"/>
        </w:rPr>
        <w:t>prevádzkovateľa základnej služby</w:t>
      </w:r>
      <w:r w:rsidR="0065353C" w:rsidRPr="001E47E5">
        <w:rPr>
          <w:rFonts w:ascii="Times New Roman" w:eastAsia="Times New Roman" w:hAnsi="Times New Roman" w:cs="Times New Roman"/>
          <w:bCs/>
          <w:sz w:val="24"/>
          <w:szCs w:val="24"/>
          <w:lang w:eastAsia="sk-SK"/>
        </w:rPr>
        <w:t xml:space="preserve"> pod ňu spadajú a kt</w:t>
      </w:r>
      <w:r>
        <w:rPr>
          <w:rFonts w:ascii="Times New Roman" w:eastAsia="Times New Roman" w:hAnsi="Times New Roman" w:cs="Times New Roman"/>
          <w:bCs/>
          <w:sz w:val="24"/>
          <w:szCs w:val="24"/>
          <w:lang w:eastAsia="sk-SK"/>
        </w:rPr>
        <w:t>oré už nie (súčasná definícia „z</w:t>
      </w:r>
      <w:r w:rsidR="0065353C" w:rsidRPr="001E47E5">
        <w:rPr>
          <w:rFonts w:ascii="Times New Roman" w:eastAsia="Times New Roman" w:hAnsi="Times New Roman" w:cs="Times New Roman"/>
          <w:bCs/>
          <w:sz w:val="24"/>
          <w:szCs w:val="24"/>
          <w:lang w:eastAsia="sk-SK"/>
        </w:rPr>
        <w:t>ákladnou službou je služba, ktorá je zaradená v zozname základných služieb...</w:t>
      </w:r>
      <w:r>
        <w:rPr>
          <w:rFonts w:ascii="Times New Roman" w:eastAsia="Times New Roman" w:hAnsi="Times New Roman" w:cs="Times New Roman"/>
          <w:bCs/>
          <w:sz w:val="24"/>
          <w:szCs w:val="24"/>
          <w:lang w:eastAsia="sk-SK"/>
        </w:rPr>
        <w:t>.“ je niekedy mätúca a nejasná),</w:t>
      </w:r>
    </w:p>
    <w:p w14:paraId="30548E3F" w14:textId="0A5388E0"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zosúladenie zákonov: z</w:t>
      </w:r>
      <w:r w:rsidR="0065353C" w:rsidRPr="001E47E5">
        <w:rPr>
          <w:rFonts w:ascii="Times New Roman" w:eastAsia="Times New Roman" w:hAnsi="Times New Roman" w:cs="Times New Roman"/>
          <w:bCs/>
          <w:sz w:val="24"/>
          <w:szCs w:val="24"/>
          <w:lang w:eastAsia="sk-SK"/>
        </w:rPr>
        <w:t>ákona č. 69/2018 Z. z. o kybernetickej bezpečnosti a o zmene a</w:t>
      </w:r>
      <w:r w:rsidR="00D3174B">
        <w:rPr>
          <w:rFonts w:ascii="Times New Roman" w:eastAsia="Times New Roman" w:hAnsi="Times New Roman" w:cs="Times New Roman"/>
          <w:bCs/>
          <w:sz w:val="24"/>
          <w:szCs w:val="24"/>
          <w:lang w:eastAsia="sk-SK"/>
        </w:rPr>
        <w:t> </w:t>
      </w:r>
      <w:r w:rsidR="0065353C" w:rsidRPr="001E47E5">
        <w:rPr>
          <w:rFonts w:ascii="Times New Roman" w:eastAsia="Times New Roman" w:hAnsi="Times New Roman" w:cs="Times New Roman"/>
          <w:bCs/>
          <w:sz w:val="24"/>
          <w:szCs w:val="24"/>
          <w:lang w:eastAsia="sk-SK"/>
        </w:rPr>
        <w:t xml:space="preserve">doplnení niektorých zákonov v znení neskorších predpisov a </w:t>
      </w:r>
      <w:r>
        <w:rPr>
          <w:rFonts w:ascii="Times New Roman" w:eastAsia="Times New Roman" w:hAnsi="Times New Roman" w:cs="Times New Roman"/>
          <w:bCs/>
          <w:sz w:val="24"/>
          <w:szCs w:val="24"/>
          <w:lang w:eastAsia="sk-SK"/>
        </w:rPr>
        <w:t>z</w:t>
      </w:r>
      <w:r w:rsidR="0065353C" w:rsidRPr="001E47E5">
        <w:rPr>
          <w:rFonts w:ascii="Times New Roman" w:eastAsia="Times New Roman" w:hAnsi="Times New Roman" w:cs="Times New Roman"/>
          <w:bCs/>
          <w:sz w:val="24"/>
          <w:szCs w:val="24"/>
          <w:lang w:eastAsia="sk-SK"/>
        </w:rPr>
        <w:t>ákona č. 95/2019</w:t>
      </w:r>
      <w:r>
        <w:rPr>
          <w:rFonts w:ascii="Times New Roman" w:eastAsia="Times New Roman" w:hAnsi="Times New Roman" w:cs="Times New Roman"/>
          <w:bCs/>
          <w:sz w:val="24"/>
          <w:szCs w:val="24"/>
          <w:lang w:eastAsia="sk-SK"/>
        </w:rPr>
        <w:t xml:space="preserve"> Z. z.</w:t>
      </w:r>
      <w:r w:rsidR="0065353C" w:rsidRPr="001E47E5">
        <w:rPr>
          <w:rFonts w:ascii="Times New Roman" w:eastAsia="Times New Roman" w:hAnsi="Times New Roman" w:cs="Times New Roman"/>
          <w:bCs/>
          <w:sz w:val="24"/>
          <w:szCs w:val="24"/>
          <w:lang w:eastAsia="sk-SK"/>
        </w:rPr>
        <w:t xml:space="preserve"> o</w:t>
      </w:r>
      <w:r>
        <w:rPr>
          <w:rFonts w:ascii="Times New Roman" w:eastAsia="Times New Roman" w:hAnsi="Times New Roman" w:cs="Times New Roman"/>
          <w:bCs/>
          <w:sz w:val="24"/>
          <w:szCs w:val="24"/>
          <w:lang w:eastAsia="sk-SK"/>
        </w:rPr>
        <w:t> </w:t>
      </w:r>
      <w:r w:rsidR="0065353C" w:rsidRPr="001E47E5">
        <w:rPr>
          <w:rFonts w:ascii="Times New Roman" w:eastAsia="Times New Roman" w:hAnsi="Times New Roman" w:cs="Times New Roman"/>
          <w:bCs/>
          <w:sz w:val="24"/>
          <w:szCs w:val="24"/>
          <w:lang w:eastAsia="sk-SK"/>
        </w:rPr>
        <w:t>informačných technológiách vo verejnej správe a o zmene a doplnení niektorých zákon</w:t>
      </w:r>
      <w:r>
        <w:rPr>
          <w:rFonts w:ascii="Times New Roman" w:eastAsia="Times New Roman" w:hAnsi="Times New Roman" w:cs="Times New Roman"/>
          <w:bCs/>
          <w:sz w:val="24"/>
          <w:szCs w:val="24"/>
          <w:lang w:eastAsia="sk-SK"/>
        </w:rPr>
        <w:t>ov v znení neskorších predpisov,</w:t>
      </w:r>
    </w:p>
    <w:p w14:paraId="1112A148" w14:textId="0B06CA79"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w:t>
      </w:r>
      <w:r w:rsidR="0065353C" w:rsidRPr="001E47E5">
        <w:rPr>
          <w:rFonts w:ascii="Times New Roman" w:eastAsia="Times New Roman" w:hAnsi="Times New Roman" w:cs="Times New Roman"/>
          <w:bCs/>
          <w:sz w:val="24"/>
          <w:szCs w:val="24"/>
          <w:lang w:eastAsia="sk-SK"/>
        </w:rPr>
        <w:t>re subjekt zaradený NBÚ (ako p</w:t>
      </w:r>
      <w:r w:rsidR="005A2A4C">
        <w:rPr>
          <w:rFonts w:ascii="Times New Roman" w:eastAsia="Times New Roman" w:hAnsi="Times New Roman" w:cs="Times New Roman"/>
          <w:bCs/>
          <w:sz w:val="24"/>
          <w:szCs w:val="24"/>
          <w:lang w:eastAsia="sk-SK"/>
        </w:rPr>
        <w:t>revádzkovateľ</w:t>
      </w:r>
      <w:r w:rsidR="0065353C" w:rsidRPr="001E47E5">
        <w:rPr>
          <w:rFonts w:ascii="Times New Roman" w:eastAsia="Times New Roman" w:hAnsi="Times New Roman" w:cs="Times New Roman"/>
          <w:bCs/>
          <w:sz w:val="24"/>
          <w:szCs w:val="24"/>
          <w:lang w:eastAsia="sk-SK"/>
        </w:rPr>
        <w:t xml:space="preserve"> základnej služby) do povinnosti aplikovať zákon č. 69/2018</w:t>
      </w:r>
      <w:r w:rsidR="005A2A4C">
        <w:rPr>
          <w:rFonts w:ascii="Times New Roman" w:eastAsia="Times New Roman" w:hAnsi="Times New Roman" w:cs="Times New Roman"/>
          <w:bCs/>
          <w:sz w:val="24"/>
          <w:szCs w:val="24"/>
          <w:lang w:eastAsia="sk-SK"/>
        </w:rPr>
        <w:t xml:space="preserve"> Z. z.</w:t>
      </w:r>
      <w:r w:rsidR="0065353C" w:rsidRPr="001E47E5">
        <w:rPr>
          <w:rFonts w:ascii="Times New Roman" w:eastAsia="Times New Roman" w:hAnsi="Times New Roman" w:cs="Times New Roman"/>
          <w:bCs/>
          <w:sz w:val="24"/>
          <w:szCs w:val="24"/>
          <w:lang w:eastAsia="sk-SK"/>
        </w:rPr>
        <w:t>, zabezpečiť nenávratné  finančné zdroje  na zabezpečenie potrebných školení, personálu a technického vybavenia</w:t>
      </w:r>
      <w:r w:rsidR="005A2A4C">
        <w:rPr>
          <w:rFonts w:ascii="Times New Roman" w:eastAsia="Times New Roman" w:hAnsi="Times New Roman" w:cs="Times New Roman"/>
          <w:bCs/>
          <w:sz w:val="24"/>
          <w:szCs w:val="24"/>
          <w:lang w:eastAsia="sk-SK"/>
        </w:rPr>
        <w:t>,</w:t>
      </w:r>
    </w:p>
    <w:p w14:paraId="387F1617" w14:textId="360624B4"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0065353C" w:rsidRPr="001E47E5">
        <w:rPr>
          <w:rFonts w:ascii="Times New Roman" w:eastAsia="Times New Roman" w:hAnsi="Times New Roman" w:cs="Times New Roman"/>
          <w:bCs/>
          <w:sz w:val="24"/>
          <w:szCs w:val="24"/>
          <w:lang w:eastAsia="sk-SK"/>
        </w:rPr>
        <w:t xml:space="preserve">edľa pozície </w:t>
      </w:r>
      <w:r w:rsidR="00D3174B">
        <w:rPr>
          <w:rFonts w:ascii="Times New Roman" w:eastAsia="Times New Roman" w:hAnsi="Times New Roman" w:cs="Times New Roman"/>
          <w:bCs/>
          <w:sz w:val="24"/>
          <w:szCs w:val="24"/>
          <w:lang w:eastAsia="sk-SK"/>
        </w:rPr>
        <w:t>manažéra kybernetickej bezpečnosti</w:t>
      </w:r>
      <w:r w:rsidR="0065353C" w:rsidRPr="001E47E5">
        <w:rPr>
          <w:rFonts w:ascii="Times New Roman" w:eastAsia="Times New Roman" w:hAnsi="Times New Roman" w:cs="Times New Roman"/>
          <w:bCs/>
          <w:sz w:val="24"/>
          <w:szCs w:val="24"/>
          <w:lang w:eastAsia="sk-SK"/>
        </w:rPr>
        <w:t xml:space="preserve"> </w:t>
      </w:r>
      <w:r w:rsidR="00D3174B">
        <w:rPr>
          <w:rFonts w:ascii="Times New Roman" w:eastAsia="Times New Roman" w:hAnsi="Times New Roman" w:cs="Times New Roman"/>
          <w:bCs/>
          <w:sz w:val="24"/>
          <w:szCs w:val="24"/>
          <w:lang w:eastAsia="sk-SK"/>
        </w:rPr>
        <w:t xml:space="preserve">(MKB) </w:t>
      </w:r>
      <w:r w:rsidR="0065353C" w:rsidRPr="001E47E5">
        <w:rPr>
          <w:rFonts w:ascii="Times New Roman" w:eastAsia="Times New Roman" w:hAnsi="Times New Roman" w:cs="Times New Roman"/>
          <w:bCs/>
          <w:sz w:val="24"/>
          <w:szCs w:val="24"/>
          <w:lang w:eastAsia="sk-SK"/>
        </w:rPr>
        <w:t>by bolo vhodné doplniť v</w:t>
      </w:r>
      <w:r w:rsidR="00D3174B">
        <w:rPr>
          <w:rFonts w:ascii="Times New Roman" w:eastAsia="Times New Roman" w:hAnsi="Times New Roman" w:cs="Times New Roman"/>
          <w:bCs/>
          <w:sz w:val="24"/>
          <w:szCs w:val="24"/>
          <w:lang w:eastAsia="sk-SK"/>
        </w:rPr>
        <w:t> </w:t>
      </w:r>
      <w:r w:rsidR="0065353C" w:rsidRPr="001E47E5">
        <w:rPr>
          <w:rFonts w:ascii="Times New Roman" w:eastAsia="Times New Roman" w:hAnsi="Times New Roman" w:cs="Times New Roman"/>
          <w:bCs/>
          <w:sz w:val="24"/>
          <w:szCs w:val="24"/>
          <w:lang w:eastAsia="sk-SK"/>
        </w:rPr>
        <w:t xml:space="preserve">zákone napr. pozíciu asistenta </w:t>
      </w:r>
      <w:r w:rsidR="00D3174B">
        <w:rPr>
          <w:rFonts w:ascii="Times New Roman" w:eastAsia="Times New Roman" w:hAnsi="Times New Roman" w:cs="Times New Roman"/>
          <w:bCs/>
          <w:sz w:val="24"/>
          <w:szCs w:val="24"/>
          <w:lang w:eastAsia="sk-SK"/>
        </w:rPr>
        <w:t xml:space="preserve">manažéra kybernetickej bezpečnosti </w:t>
      </w:r>
      <w:r w:rsidR="0065353C" w:rsidRPr="001E47E5">
        <w:rPr>
          <w:rFonts w:ascii="Times New Roman" w:eastAsia="Times New Roman" w:hAnsi="Times New Roman" w:cs="Times New Roman"/>
          <w:bCs/>
          <w:sz w:val="24"/>
          <w:szCs w:val="24"/>
          <w:lang w:eastAsia="sk-SK"/>
        </w:rPr>
        <w:t>(AMKB). Pracovné zaťaženie MKB narastá a AMKB by bol súčinný pri riešení pracovných úloh pod vedením MKB. Počet AMKB by bol napr. závislý od veľkosti organizácie/počtu zamestnancov. Ďalej by bol priamo AMKB zastupujúcim v prípade neprít</w:t>
      </w:r>
      <w:r w:rsidR="005A2A4C">
        <w:rPr>
          <w:rFonts w:ascii="Times New Roman" w:eastAsia="Times New Roman" w:hAnsi="Times New Roman" w:cs="Times New Roman"/>
          <w:bCs/>
          <w:sz w:val="24"/>
          <w:szCs w:val="24"/>
          <w:lang w:eastAsia="sk-SK"/>
        </w:rPr>
        <w:t>omnosti MKB (PN, dovolenka ap.),</w:t>
      </w:r>
    </w:p>
    <w:p w14:paraId="746530CC" w14:textId="506E641D" w:rsidR="0065353C" w:rsidRPr="001E47E5" w:rsidRDefault="00260E02" w:rsidP="0065353C">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w:t>
      </w:r>
      <w:r w:rsidR="0065353C" w:rsidRPr="001E47E5">
        <w:rPr>
          <w:rFonts w:ascii="Times New Roman" w:eastAsia="Times New Roman" w:hAnsi="Times New Roman" w:cs="Times New Roman"/>
          <w:bCs/>
          <w:sz w:val="24"/>
          <w:szCs w:val="24"/>
          <w:lang w:eastAsia="sk-SK"/>
        </w:rPr>
        <w:t xml:space="preserve">ákon </w:t>
      </w:r>
      <w:r w:rsidR="005A2A4C">
        <w:rPr>
          <w:rFonts w:ascii="Times New Roman" w:eastAsia="Times New Roman" w:hAnsi="Times New Roman" w:cs="Times New Roman"/>
          <w:bCs/>
          <w:sz w:val="24"/>
          <w:szCs w:val="24"/>
          <w:lang w:eastAsia="sk-SK"/>
        </w:rPr>
        <w:t xml:space="preserve">č. 69/2018 Z. z. </w:t>
      </w:r>
      <w:r w:rsidR="0065353C" w:rsidRPr="001E47E5">
        <w:rPr>
          <w:rFonts w:ascii="Times New Roman" w:eastAsia="Times New Roman" w:hAnsi="Times New Roman" w:cs="Times New Roman"/>
          <w:bCs/>
          <w:sz w:val="24"/>
          <w:szCs w:val="24"/>
          <w:lang w:eastAsia="sk-SK"/>
        </w:rPr>
        <w:t xml:space="preserve">alebo jeho vyhláška o bezpečnostných opatreniach by mohla obsahovať exaktnejšie  požiadavky </w:t>
      </w:r>
      <w:r w:rsidR="005A2A4C">
        <w:rPr>
          <w:rFonts w:ascii="Times New Roman" w:eastAsia="Times New Roman" w:hAnsi="Times New Roman" w:cs="Times New Roman"/>
          <w:bCs/>
          <w:sz w:val="24"/>
          <w:szCs w:val="24"/>
          <w:lang w:eastAsia="sk-SK"/>
        </w:rPr>
        <w:t>v oblasti bezpečnostných testov,</w:t>
      </w:r>
    </w:p>
    <w:p w14:paraId="16AD2102" w14:textId="5E200D3F" w:rsidR="0065353C" w:rsidRPr="001E47E5" w:rsidRDefault="00260E02" w:rsidP="00506555">
      <w:pPr>
        <w:pStyle w:val="Odsekzoznamu"/>
        <w:numPr>
          <w:ilvl w:val="0"/>
          <w:numId w:val="15"/>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0065353C" w:rsidRPr="001E47E5">
        <w:rPr>
          <w:rFonts w:ascii="Times New Roman" w:eastAsia="Times New Roman" w:hAnsi="Times New Roman" w:cs="Times New Roman"/>
          <w:bCs/>
          <w:sz w:val="24"/>
          <w:szCs w:val="24"/>
          <w:lang w:eastAsia="sk-SK"/>
        </w:rPr>
        <w:t xml:space="preserve"> zákone </w:t>
      </w:r>
      <w:r w:rsidR="005A2A4C">
        <w:rPr>
          <w:rFonts w:ascii="Times New Roman" w:eastAsia="Times New Roman" w:hAnsi="Times New Roman" w:cs="Times New Roman"/>
          <w:bCs/>
          <w:sz w:val="24"/>
          <w:szCs w:val="24"/>
          <w:lang w:eastAsia="sk-SK"/>
        </w:rPr>
        <w:t xml:space="preserve">č. 69/2018 Z. z. </w:t>
      </w:r>
      <w:r w:rsidR="0065353C" w:rsidRPr="001E47E5">
        <w:rPr>
          <w:rFonts w:ascii="Times New Roman" w:eastAsia="Times New Roman" w:hAnsi="Times New Roman" w:cs="Times New Roman"/>
          <w:bCs/>
          <w:sz w:val="24"/>
          <w:szCs w:val="24"/>
          <w:lang w:eastAsia="sk-SK"/>
        </w:rPr>
        <w:t xml:space="preserve">lepšie definovať BCM a BIA a v novele zákona </w:t>
      </w:r>
      <w:r w:rsidR="005A2A4C">
        <w:rPr>
          <w:rFonts w:ascii="Times New Roman" w:eastAsia="Times New Roman" w:hAnsi="Times New Roman" w:cs="Times New Roman"/>
          <w:bCs/>
          <w:sz w:val="24"/>
          <w:szCs w:val="24"/>
          <w:lang w:eastAsia="sk-SK"/>
        </w:rPr>
        <w:t xml:space="preserve">č. 69/2018 Z. z. </w:t>
      </w:r>
      <w:r w:rsidR="0065353C" w:rsidRPr="001E47E5">
        <w:rPr>
          <w:rFonts w:ascii="Times New Roman" w:eastAsia="Times New Roman" w:hAnsi="Times New Roman" w:cs="Times New Roman"/>
          <w:bCs/>
          <w:sz w:val="24"/>
          <w:szCs w:val="24"/>
          <w:lang w:eastAsia="sk-SK"/>
        </w:rPr>
        <w:t>sa zaoberať aj utajovanými skutočnosťami.</w:t>
      </w:r>
    </w:p>
    <w:p w14:paraId="54679CBD" w14:textId="1CDE0399" w:rsidR="0065353C" w:rsidRPr="001E47E5" w:rsidRDefault="0065353C" w:rsidP="00506555">
      <w:pPr>
        <w:jc w:val="both"/>
        <w:rPr>
          <w:rFonts w:ascii="Times New Roman" w:hAnsi="Times New Roman" w:cs="Times New Roman"/>
          <w:sz w:val="24"/>
          <w:szCs w:val="24"/>
        </w:rPr>
      </w:pPr>
      <w:r w:rsidRPr="001E47E5">
        <w:rPr>
          <w:rFonts w:ascii="Times New Roman" w:hAnsi="Times New Roman" w:cs="Times New Roman"/>
          <w:sz w:val="24"/>
          <w:szCs w:val="24"/>
        </w:rPr>
        <w:t>Tam</w:t>
      </w:r>
      <w:r w:rsidR="00D730C6">
        <w:rPr>
          <w:rFonts w:ascii="Times New Roman" w:hAnsi="Times New Roman" w:cs="Times New Roman"/>
          <w:sz w:val="24"/>
          <w:szCs w:val="24"/>
        </w:rPr>
        <w:t>,</w:t>
      </w:r>
      <w:r w:rsidRPr="001E47E5">
        <w:rPr>
          <w:rFonts w:ascii="Times New Roman" w:hAnsi="Times New Roman" w:cs="Times New Roman"/>
          <w:sz w:val="24"/>
          <w:szCs w:val="24"/>
        </w:rPr>
        <w:t xml:space="preserve"> kde to bolo vhodné</w:t>
      </w:r>
      <w:r w:rsidR="00D730C6">
        <w:rPr>
          <w:rFonts w:ascii="Times New Roman" w:hAnsi="Times New Roman" w:cs="Times New Roman"/>
          <w:sz w:val="24"/>
          <w:szCs w:val="24"/>
        </w:rPr>
        <w:t>,</w:t>
      </w:r>
      <w:r w:rsidRPr="001E47E5">
        <w:rPr>
          <w:rFonts w:ascii="Times New Roman" w:hAnsi="Times New Roman" w:cs="Times New Roman"/>
          <w:sz w:val="24"/>
          <w:szCs w:val="24"/>
        </w:rPr>
        <w:t xml:space="preserve"> bola legislatíva upravená na základe širokých konzultácií, množstvo podnetov sa dotýkalo samotného zavedenia legislatívy do praxe. NBÚ a KCCKB v tomto kontexte implementujú projekty</w:t>
      </w:r>
      <w:r w:rsidR="006D00C3" w:rsidRPr="001E47E5">
        <w:rPr>
          <w:rFonts w:ascii="Times New Roman" w:hAnsi="Times New Roman" w:cs="Times New Roman"/>
          <w:sz w:val="24"/>
          <w:szCs w:val="24"/>
        </w:rPr>
        <w:t>, zamerané na zvýšenie povedomia o novej legislatíve a podpore nových poskytovateľov základnej služby pri zavádzaní legislatívy do praxe.</w:t>
      </w:r>
    </w:p>
    <w:p w14:paraId="6C852227" w14:textId="31D77B76" w:rsidR="00B4368F" w:rsidRPr="001E47E5" w:rsidRDefault="00B4368F" w:rsidP="00506555">
      <w:pPr>
        <w:jc w:val="both"/>
        <w:rPr>
          <w:rFonts w:ascii="Times New Roman" w:hAnsi="Times New Roman" w:cs="Times New Roman"/>
          <w:sz w:val="24"/>
          <w:szCs w:val="24"/>
        </w:rPr>
      </w:pPr>
      <w:r w:rsidRPr="001E47E5">
        <w:rPr>
          <w:rFonts w:ascii="Times New Roman" w:hAnsi="Times New Roman" w:cs="Times New Roman"/>
          <w:sz w:val="24"/>
          <w:szCs w:val="24"/>
        </w:rPr>
        <w:lastRenderedPageBreak/>
        <w:t>Po</w:t>
      </w:r>
      <w:r w:rsidR="00D730C6">
        <w:rPr>
          <w:rFonts w:ascii="Times New Roman" w:hAnsi="Times New Roman" w:cs="Times New Roman"/>
          <w:sz w:val="24"/>
          <w:szCs w:val="24"/>
        </w:rPr>
        <w:t>drobné informácie ku konzultáciá</w:t>
      </w:r>
      <w:r w:rsidRPr="001E47E5">
        <w:rPr>
          <w:rFonts w:ascii="Times New Roman" w:hAnsi="Times New Roman" w:cs="Times New Roman"/>
          <w:sz w:val="24"/>
          <w:szCs w:val="24"/>
        </w:rPr>
        <w:t xml:space="preserve">m s verejnosťou sú dostupné na </w:t>
      </w:r>
      <w:hyperlink r:id="rId19" w:history="1">
        <w:r w:rsidRPr="001E47E5">
          <w:rPr>
            <w:rStyle w:val="Hypertextovprepojenie"/>
            <w:rFonts w:ascii="Times New Roman" w:hAnsi="Times New Roman" w:cs="Times New Roman"/>
            <w:sz w:val="24"/>
            <w:szCs w:val="24"/>
          </w:rPr>
          <w:t>https://www.nbu.gov.sk/data/att/2546.pdf</w:t>
        </w:r>
      </w:hyperlink>
      <w:r w:rsidRPr="001E47E5">
        <w:rPr>
          <w:rFonts w:ascii="Times New Roman" w:hAnsi="Times New Roman" w:cs="Times New Roman"/>
          <w:sz w:val="24"/>
          <w:szCs w:val="24"/>
        </w:rPr>
        <w:t xml:space="preserve"> </w:t>
      </w:r>
    </w:p>
    <w:p w14:paraId="178FF6D3" w14:textId="77777777" w:rsidR="00054C41" w:rsidRPr="001E47E5" w:rsidRDefault="00054C41" w:rsidP="00054C41">
      <w:pPr>
        <w:spacing w:after="0"/>
        <w:jc w:val="both"/>
        <w:rPr>
          <w:rFonts w:ascii="Times New Roman" w:eastAsia="Calibri" w:hAnsi="Times New Roman" w:cs="Times New Roman"/>
          <w:i/>
          <w:sz w:val="24"/>
          <w:szCs w:val="24"/>
          <w:highlight w:val="yellow"/>
        </w:rPr>
      </w:pPr>
    </w:p>
    <w:p w14:paraId="08FCAD96" w14:textId="77777777" w:rsidR="00054C41" w:rsidRPr="001E47E5" w:rsidRDefault="00054C41" w:rsidP="00054C41">
      <w:pPr>
        <w:spacing w:after="0"/>
        <w:jc w:val="both"/>
        <w:rPr>
          <w:rFonts w:ascii="Times New Roman" w:eastAsia="Calibri" w:hAnsi="Times New Roman" w:cs="Times New Roman"/>
          <w:i/>
          <w:sz w:val="24"/>
          <w:szCs w:val="24"/>
          <w:highlight w:val="yellow"/>
        </w:rPr>
      </w:pPr>
    </w:p>
    <w:p w14:paraId="609C066C" w14:textId="77777777" w:rsidR="00054C41" w:rsidRPr="001E47E5" w:rsidRDefault="00054C41" w:rsidP="00054C41">
      <w:pPr>
        <w:jc w:val="both"/>
        <w:rPr>
          <w:rFonts w:ascii="Times New Roman" w:eastAsia="Calibri" w:hAnsi="Times New Roman" w:cs="Times New Roman"/>
          <w:b/>
          <w:sz w:val="24"/>
          <w:szCs w:val="24"/>
        </w:rPr>
      </w:pPr>
      <w:bookmarkStart w:id="0" w:name="_Hlk47698091"/>
      <w:r w:rsidRPr="001E47E5">
        <w:rPr>
          <w:rFonts w:ascii="Times New Roman" w:eastAsia="Calibri" w:hAnsi="Times New Roman" w:cs="Times New Roman"/>
          <w:b/>
          <w:sz w:val="24"/>
          <w:szCs w:val="24"/>
        </w:rPr>
        <w:t>3.3 Vplyvy na konkurencieschopnosť a produktivitu</w:t>
      </w:r>
    </w:p>
    <w:bookmarkEnd w:id="0"/>
    <w:p w14:paraId="5CAF52B4" w14:textId="77777777" w:rsidR="00054C41" w:rsidRPr="00203FA7" w:rsidRDefault="00054C41" w:rsidP="00054C41">
      <w:pPr>
        <w:spacing w:after="0"/>
        <w:jc w:val="both"/>
        <w:rPr>
          <w:rFonts w:ascii="Times New Roman" w:eastAsia="Calibri" w:hAnsi="Times New Roman" w:cs="Times New Roman"/>
          <w:b/>
          <w:bCs/>
          <w:i/>
          <w:sz w:val="24"/>
          <w:szCs w:val="24"/>
        </w:rPr>
      </w:pPr>
      <w:r w:rsidRPr="00203FA7">
        <w:rPr>
          <w:rFonts w:ascii="Times New Roman" w:eastAsia="Calibri" w:hAnsi="Times New Roman" w:cs="Times New Roman"/>
          <w:b/>
          <w:bCs/>
          <w:i/>
          <w:sz w:val="24"/>
          <w:szCs w:val="24"/>
        </w:rPr>
        <w:t xml:space="preserve">Dochádza k vytvoreniu resp. k zmene bariér na trhu? </w:t>
      </w:r>
    </w:p>
    <w:p w14:paraId="13D336F1" w14:textId="5CC9412B" w:rsidR="00252F5C" w:rsidRPr="00203FA7" w:rsidRDefault="00252F5C"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15AD6FF4" w14:textId="77777777" w:rsidR="00252F5C" w:rsidRPr="001E47E5" w:rsidRDefault="00252F5C" w:rsidP="00054C41">
      <w:pPr>
        <w:spacing w:after="0"/>
        <w:jc w:val="both"/>
        <w:rPr>
          <w:rFonts w:ascii="Times New Roman" w:eastAsia="Calibri" w:hAnsi="Times New Roman" w:cs="Times New Roman"/>
          <w:i/>
          <w:sz w:val="24"/>
          <w:szCs w:val="24"/>
        </w:rPr>
      </w:pPr>
    </w:p>
    <w:p w14:paraId="4D049DE7" w14:textId="77777777" w:rsidR="00054C41" w:rsidRPr="001E47E5" w:rsidRDefault="00054C41" w:rsidP="00054C41">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 xml:space="preserve">Bude sa s niektorými podnikmi alebo produktmi zaobchádzať v porovnateľnej situácii rôzne (napr. špeciálne režimy pre mikro, malé a stredné podniky tzv. MSP)? </w:t>
      </w:r>
    </w:p>
    <w:p w14:paraId="0085A71E" w14:textId="6F76A0FB" w:rsidR="00252F5C" w:rsidRPr="00203FA7" w:rsidRDefault="00252F5C" w:rsidP="00252F5C">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 xml:space="preserve">Mechanizmus identifikácie prevádzkovateľa základnej služby sa smernicou </w:t>
      </w:r>
      <w:r w:rsidR="009544BD" w:rsidRPr="00203FA7">
        <w:rPr>
          <w:rFonts w:ascii="Times New Roman" w:eastAsia="Calibri" w:hAnsi="Times New Roman" w:cs="Times New Roman"/>
          <w:sz w:val="24"/>
          <w:szCs w:val="24"/>
        </w:rPr>
        <w:t>NIS 2</w:t>
      </w:r>
      <w:r w:rsidRPr="00203FA7">
        <w:rPr>
          <w:rFonts w:ascii="Times New Roman" w:eastAsia="Calibri" w:hAnsi="Times New Roman" w:cs="Times New Roman"/>
          <w:sz w:val="24"/>
          <w:szCs w:val="24"/>
        </w:rPr>
        <w:t xml:space="preserve"> mení oproti právnej úprave vyplývajúcej zo smernice NIS1. Pôvodný mechanizmus identifikácie podľa prílohy č. 1 v spojení s prekročením identifikačných kritérií uvedených v § 18 zákona sa nahrádza taxatívnym vymenovaním subjektov v § 17 ods. 1 zákona, teda subjekty, ktoré možno zapísať do registra prevádzkovateľov základnej služby sú priamo identifikované v zákone.</w:t>
      </w:r>
    </w:p>
    <w:p w14:paraId="2A82E126" w14:textId="77777777" w:rsidR="00252F5C" w:rsidRPr="00203FA7" w:rsidRDefault="00252F5C" w:rsidP="00252F5C">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Návrhom zákona nedochádza k výraznému nárastu regulovaných odvetví, avšak zmenou prístupu k identifikácii povinných subjektov, tzv. prevádzkovateľov základnej služby, dochádza k rozšíreniu pôsobnosti na ďalšie subjekty. Návrh zákona zavádza tak podľa pravidiel smernice NIS 2 prahovú hodnotu veľkosti subjektu (stredné podniky podľa článku 2 prílohy k odporúčaniu 2003/361/ES alebo presahujúce limity pre stredné podniky), do regulácie ale spadajú aj subjekty kritického významu bez hodnotenia ich veľkosti.</w:t>
      </w:r>
    </w:p>
    <w:p w14:paraId="52288CF4" w14:textId="77777777" w:rsidR="0065353C" w:rsidRPr="001E47E5" w:rsidRDefault="0065353C" w:rsidP="00054C41">
      <w:pPr>
        <w:spacing w:after="0"/>
        <w:jc w:val="both"/>
        <w:rPr>
          <w:rFonts w:ascii="Times New Roman" w:eastAsia="Calibri" w:hAnsi="Times New Roman" w:cs="Times New Roman"/>
          <w:i/>
          <w:sz w:val="24"/>
          <w:szCs w:val="24"/>
        </w:rPr>
      </w:pPr>
    </w:p>
    <w:p w14:paraId="452A90F1" w14:textId="77777777" w:rsidR="00054C41" w:rsidRPr="001E47E5" w:rsidRDefault="00054C41" w:rsidP="00054C41">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 xml:space="preserve">Ovplyvňuje zmena regulácie cezhraničné investície (príliv/odliv zahraničných investícií resp. uplatnenie slovenských podnikov na zahraničných trhoch)? </w:t>
      </w:r>
    </w:p>
    <w:p w14:paraId="1FE06914" w14:textId="73953491" w:rsidR="0065353C" w:rsidRPr="00203FA7" w:rsidRDefault="0065353C"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2F7B710F" w14:textId="77777777" w:rsidR="00252F5C" w:rsidRPr="001E47E5" w:rsidRDefault="00252F5C" w:rsidP="00054C41">
      <w:pPr>
        <w:spacing w:after="0"/>
        <w:jc w:val="both"/>
        <w:rPr>
          <w:rFonts w:ascii="Times New Roman" w:eastAsia="Calibri" w:hAnsi="Times New Roman" w:cs="Times New Roman"/>
          <w:i/>
          <w:sz w:val="24"/>
          <w:szCs w:val="24"/>
        </w:rPr>
      </w:pPr>
    </w:p>
    <w:p w14:paraId="0D074838" w14:textId="77777777" w:rsidR="00054C41" w:rsidRPr="001E47E5" w:rsidRDefault="00054C41" w:rsidP="00054C41">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 xml:space="preserve">Ovplyvní dostupnosť základných zdrojov (financie, pracovná sila, suroviny, mechanizmy, energie atď.)? </w:t>
      </w:r>
    </w:p>
    <w:p w14:paraId="36B311D9" w14:textId="77E67359" w:rsidR="0065353C" w:rsidRPr="00203FA7" w:rsidRDefault="0065353C"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6671D8C0" w14:textId="77777777" w:rsidR="00252F5C" w:rsidRPr="001E47E5" w:rsidRDefault="00252F5C" w:rsidP="00054C41">
      <w:pPr>
        <w:spacing w:after="0"/>
        <w:jc w:val="both"/>
        <w:rPr>
          <w:rFonts w:ascii="Times New Roman" w:eastAsia="Calibri" w:hAnsi="Times New Roman" w:cs="Times New Roman"/>
          <w:i/>
          <w:sz w:val="24"/>
          <w:szCs w:val="24"/>
        </w:rPr>
      </w:pPr>
    </w:p>
    <w:p w14:paraId="6B6A3793" w14:textId="77777777" w:rsidR="007259CB" w:rsidRPr="001E47E5" w:rsidRDefault="007259CB" w:rsidP="00054C41">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Ovplyvňuje zmena regulácie inovácie, vedu a výskum?</w:t>
      </w:r>
    </w:p>
    <w:p w14:paraId="6FF7A665" w14:textId="6A859DAD" w:rsidR="0065353C" w:rsidRPr="00203FA7" w:rsidRDefault="0065353C"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4F657799" w14:textId="77777777" w:rsidR="00252F5C" w:rsidRPr="001E47E5" w:rsidRDefault="00252F5C" w:rsidP="00054C41">
      <w:pPr>
        <w:spacing w:after="0"/>
        <w:jc w:val="both"/>
        <w:rPr>
          <w:rFonts w:ascii="Times New Roman" w:eastAsia="Calibri" w:hAnsi="Times New Roman" w:cs="Times New Roman"/>
          <w:i/>
          <w:sz w:val="24"/>
          <w:szCs w:val="24"/>
        </w:rPr>
      </w:pPr>
    </w:p>
    <w:p w14:paraId="283DF8E6" w14:textId="77777777" w:rsidR="0065353C" w:rsidRPr="001E47E5" w:rsidRDefault="00BA19B0" w:rsidP="00054C41">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Ak bol identifikovaný goldplating</w:t>
      </w:r>
      <w:r w:rsidR="00581EB9" w:rsidRPr="001E47E5">
        <w:rPr>
          <w:rFonts w:ascii="Times New Roman" w:eastAsia="Calibri" w:hAnsi="Times New Roman" w:cs="Times New Roman"/>
          <w:b/>
          <w:bCs/>
          <w:i/>
          <w:sz w:val="24"/>
          <w:szCs w:val="24"/>
        </w:rPr>
        <w:t>,</w:t>
      </w:r>
      <w:r w:rsidR="00C14655" w:rsidRPr="001E47E5">
        <w:rPr>
          <w:rFonts w:ascii="Times New Roman" w:eastAsia="Calibri" w:hAnsi="Times New Roman" w:cs="Times New Roman"/>
          <w:b/>
          <w:bCs/>
          <w:i/>
          <w:sz w:val="24"/>
          <w:szCs w:val="24"/>
        </w:rPr>
        <w:t xml:space="preserve"> prispieva k zníženiu konkurencieschopnosti a produktivity?</w:t>
      </w:r>
      <w:r w:rsidR="00581EB9" w:rsidRPr="001E47E5">
        <w:rPr>
          <w:rFonts w:ascii="Times New Roman" w:eastAsia="Calibri" w:hAnsi="Times New Roman" w:cs="Times New Roman"/>
          <w:b/>
          <w:bCs/>
          <w:i/>
          <w:sz w:val="24"/>
          <w:szCs w:val="24"/>
        </w:rPr>
        <w:t xml:space="preserve"> </w:t>
      </w:r>
    </w:p>
    <w:p w14:paraId="489E3660" w14:textId="77777777" w:rsidR="0065353C" w:rsidRPr="00203FA7" w:rsidRDefault="0065353C"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 xml:space="preserve">Nie </w:t>
      </w:r>
    </w:p>
    <w:p w14:paraId="50484E1A" w14:textId="77777777" w:rsidR="00252F5C" w:rsidRPr="001E47E5" w:rsidRDefault="00252F5C" w:rsidP="00054C41">
      <w:pPr>
        <w:spacing w:after="0"/>
        <w:jc w:val="both"/>
        <w:rPr>
          <w:rFonts w:ascii="Times New Roman" w:eastAsia="Calibri" w:hAnsi="Times New Roman" w:cs="Times New Roman"/>
          <w:i/>
          <w:sz w:val="24"/>
          <w:szCs w:val="24"/>
        </w:rPr>
      </w:pPr>
    </w:p>
    <w:p w14:paraId="64E2FB2F" w14:textId="1E5F49C8" w:rsidR="00BA19B0" w:rsidRPr="001E47E5" w:rsidRDefault="00581EB9" w:rsidP="00054C41">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Akým spôsobom?</w:t>
      </w:r>
    </w:p>
    <w:p w14:paraId="1DEE2EEB" w14:textId="053D1ED4" w:rsidR="0065353C" w:rsidRPr="00203FA7" w:rsidRDefault="0065353C"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w:t>
      </w:r>
    </w:p>
    <w:p w14:paraId="57A72800" w14:textId="77777777" w:rsidR="00203FA7" w:rsidRDefault="00054C41" w:rsidP="0065353C">
      <w:pPr>
        <w:spacing w:after="0"/>
        <w:jc w:val="both"/>
        <w:rPr>
          <w:rFonts w:ascii="Times New Roman" w:eastAsia="Calibri" w:hAnsi="Times New Roman" w:cs="Times New Roman"/>
          <w:b/>
          <w:bCs/>
          <w:i/>
          <w:iCs/>
          <w:sz w:val="24"/>
          <w:szCs w:val="24"/>
        </w:rPr>
      </w:pPr>
      <w:r w:rsidRPr="001E47E5">
        <w:rPr>
          <w:rFonts w:ascii="Times New Roman" w:eastAsia="Calibri" w:hAnsi="Times New Roman" w:cs="Times New Roman"/>
          <w:b/>
          <w:bCs/>
          <w:i/>
          <w:iCs/>
          <w:sz w:val="24"/>
          <w:szCs w:val="24"/>
        </w:rPr>
        <w:t>Ako prispieva zmena regulácie k cieľu Slovenska mať najlepšie podnikateľské prostredie spomedzi susediacich krajín EÚ?</w:t>
      </w:r>
    </w:p>
    <w:p w14:paraId="71ADF26D" w14:textId="04D14062" w:rsidR="0065353C" w:rsidRPr="00203FA7" w:rsidRDefault="0065353C" w:rsidP="0065353C">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w:t>
      </w:r>
    </w:p>
    <w:p w14:paraId="78681465" w14:textId="77777777" w:rsidR="00054C41" w:rsidRPr="001E47E5" w:rsidRDefault="00054C41" w:rsidP="00054C41">
      <w:pPr>
        <w:spacing w:after="0"/>
        <w:jc w:val="both"/>
        <w:rPr>
          <w:rFonts w:ascii="Times New Roman" w:eastAsia="Calibri" w:hAnsi="Times New Roman" w:cs="Times New Roman"/>
          <w:i/>
          <w:sz w:val="24"/>
          <w:szCs w:val="24"/>
        </w:rPr>
      </w:pPr>
    </w:p>
    <w:p w14:paraId="4BE35CB4" w14:textId="77777777" w:rsidR="00054C41" w:rsidRPr="001E47E5" w:rsidRDefault="00054C41" w:rsidP="00054C41">
      <w:pPr>
        <w:spacing w:after="0"/>
        <w:jc w:val="both"/>
        <w:rPr>
          <w:rFonts w:ascii="Times New Roman" w:eastAsia="Calibri" w:hAnsi="Times New Roman" w:cs="Times New Roman"/>
          <w:b/>
          <w:i/>
          <w:sz w:val="24"/>
          <w:szCs w:val="24"/>
        </w:rPr>
      </w:pPr>
      <w:r w:rsidRPr="001E47E5">
        <w:rPr>
          <w:rFonts w:ascii="Times New Roman" w:eastAsia="Calibri" w:hAnsi="Times New Roman" w:cs="Times New Roman"/>
          <w:b/>
          <w:i/>
          <w:sz w:val="24"/>
          <w:szCs w:val="24"/>
        </w:rPr>
        <w:t>Konkurencieschopnosť:</w:t>
      </w:r>
    </w:p>
    <w:p w14:paraId="6C684286" w14:textId="77777777" w:rsidR="00054C41" w:rsidRPr="00203FA7" w:rsidRDefault="00054C41"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 základe uvedených odpovedí zaškrtnite a popíšte, či materiál konkurencieschopnosť:</w:t>
      </w:r>
    </w:p>
    <w:p w14:paraId="76CD0669" w14:textId="2926B7FC" w:rsidR="00054C41" w:rsidRPr="00203FA7" w:rsidRDefault="00DE024B" w:rsidP="00054C41">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576880"/>
        </w:sdtPr>
        <w:sdtContent>
          <w:sdt>
            <w:sdtPr>
              <w:rPr>
                <w:rFonts w:ascii="Times New Roman" w:eastAsia="Calibri" w:hAnsi="Times New Roman" w:cs="Times New Roman"/>
                <w:sz w:val="24"/>
                <w:szCs w:val="24"/>
              </w:rPr>
              <w:id w:val="1729873660"/>
            </w:sdtPr>
            <w:sdtContent>
              <w:r w:rsidR="00054C41" w:rsidRPr="00203FA7">
                <w:rPr>
                  <w:rFonts w:ascii="Segoe UI Symbol" w:eastAsia="Calibri" w:hAnsi="Segoe UI Symbol" w:cs="Segoe UI Symbol"/>
                  <w:sz w:val="24"/>
                  <w:szCs w:val="24"/>
                </w:rPr>
                <w:t>☐</w:t>
              </w:r>
            </w:sdtContent>
          </w:sdt>
        </w:sdtContent>
      </w:sdt>
      <w:r w:rsidR="00054C41" w:rsidRPr="00203FA7">
        <w:rPr>
          <w:rFonts w:ascii="Times New Roman" w:eastAsia="Calibri" w:hAnsi="Times New Roman" w:cs="Times New Roman"/>
          <w:sz w:val="24"/>
          <w:szCs w:val="24"/>
        </w:rPr>
        <w:t xml:space="preserve"> zvyšuje  </w:t>
      </w:r>
      <w:bookmarkStart w:id="1" w:name="_GoBack"/>
      <w:bookmarkEnd w:id="1"/>
      <w:r w:rsidR="00054C41"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410579887"/>
        </w:sdtPr>
        <w:sdtContent>
          <w:sdt>
            <w:sdtPr>
              <w:rPr>
                <w:rFonts w:ascii="Times New Roman" w:eastAsia="Calibri" w:hAnsi="Times New Roman" w:cs="Times New Roman"/>
                <w:sz w:val="24"/>
                <w:szCs w:val="24"/>
              </w:rPr>
              <w:id w:val="-80300261"/>
            </w:sdtPr>
            <w:sdtContent>
              <w:r w:rsidR="0065353C" w:rsidRPr="00203FA7">
                <w:rPr>
                  <w:rFonts w:ascii="Times New Roman" w:eastAsia="Calibri" w:hAnsi="Times New Roman" w:cs="Times New Roman"/>
                  <w:sz w:val="24"/>
                  <w:szCs w:val="24"/>
                </w:rPr>
                <w:t xml:space="preserve">X </w:t>
              </w:r>
            </w:sdtContent>
          </w:sdt>
        </w:sdtContent>
      </w:sdt>
      <w:r w:rsidR="00054C41" w:rsidRPr="00203FA7">
        <w:rPr>
          <w:rFonts w:ascii="Times New Roman" w:eastAsia="Calibri" w:hAnsi="Times New Roman" w:cs="Times New Roman"/>
          <w:sz w:val="24"/>
          <w:szCs w:val="24"/>
        </w:rPr>
        <w:t xml:space="preserve"> nemení</w:t>
      </w:r>
      <w:r w:rsidR="00054C41"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474604883"/>
        </w:sdtPr>
        <w:sdtContent>
          <w:sdt>
            <w:sdtPr>
              <w:rPr>
                <w:rFonts w:ascii="Times New Roman" w:eastAsia="Calibri" w:hAnsi="Times New Roman" w:cs="Times New Roman"/>
                <w:sz w:val="24"/>
                <w:szCs w:val="24"/>
              </w:rPr>
              <w:id w:val="-1706551548"/>
            </w:sdtPr>
            <w:sdtContent>
              <w:r w:rsidR="00054C41" w:rsidRPr="00203FA7">
                <w:rPr>
                  <w:rFonts w:ascii="Segoe UI Symbol" w:eastAsia="Calibri" w:hAnsi="Segoe UI Symbol" w:cs="Segoe UI Symbol"/>
                  <w:sz w:val="24"/>
                  <w:szCs w:val="24"/>
                </w:rPr>
                <w:t>☐</w:t>
              </w:r>
            </w:sdtContent>
          </w:sdt>
        </w:sdtContent>
      </w:sdt>
      <w:r w:rsidR="00054C41" w:rsidRPr="00203FA7">
        <w:rPr>
          <w:rFonts w:ascii="Times New Roman" w:eastAsia="Calibri" w:hAnsi="Times New Roman" w:cs="Times New Roman"/>
          <w:sz w:val="24"/>
          <w:szCs w:val="24"/>
        </w:rPr>
        <w:t xml:space="preserve"> znižuje</w:t>
      </w:r>
    </w:p>
    <w:p w14:paraId="327BF48A" w14:textId="77777777" w:rsidR="00054C41" w:rsidRPr="001E47E5" w:rsidRDefault="00054C41" w:rsidP="00054C41">
      <w:pPr>
        <w:spacing w:after="0"/>
        <w:jc w:val="both"/>
        <w:rPr>
          <w:rFonts w:ascii="Times New Roman" w:eastAsia="Calibri" w:hAnsi="Times New Roman" w:cs="Times New Roman"/>
          <w:i/>
          <w:sz w:val="24"/>
          <w:szCs w:val="24"/>
        </w:rPr>
      </w:pPr>
    </w:p>
    <w:p w14:paraId="5861187D" w14:textId="77777777" w:rsidR="00054C41" w:rsidRPr="001E47E5" w:rsidRDefault="00054C41" w:rsidP="00054C41">
      <w:pPr>
        <w:spacing w:after="0"/>
        <w:jc w:val="both"/>
        <w:rPr>
          <w:rFonts w:ascii="Times New Roman" w:eastAsia="Calibri" w:hAnsi="Times New Roman" w:cs="Times New Roman"/>
          <w:b/>
          <w:i/>
          <w:sz w:val="24"/>
          <w:szCs w:val="24"/>
        </w:rPr>
      </w:pPr>
      <w:r w:rsidRPr="001E47E5">
        <w:rPr>
          <w:rFonts w:ascii="Times New Roman" w:eastAsia="Calibri" w:hAnsi="Times New Roman" w:cs="Times New Roman"/>
          <w:b/>
          <w:i/>
          <w:sz w:val="24"/>
          <w:szCs w:val="24"/>
        </w:rPr>
        <w:t>Produktivita:</w:t>
      </w:r>
    </w:p>
    <w:p w14:paraId="1FF562C2" w14:textId="77777777" w:rsidR="00054C41" w:rsidRPr="00203FA7" w:rsidRDefault="00054C41"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 xml:space="preserve">Aký má materiál vplyv na zmenu pomeru medzi produkciou podnikov a ich nákladmi? </w:t>
      </w:r>
    </w:p>
    <w:p w14:paraId="69456E10" w14:textId="59CCDB45" w:rsidR="0065353C" w:rsidRPr="00203FA7" w:rsidRDefault="0065353C"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Bez vplyvu</w:t>
      </w:r>
    </w:p>
    <w:p w14:paraId="23DA5CCF" w14:textId="77777777" w:rsidR="00054C41" w:rsidRPr="00203FA7" w:rsidRDefault="00054C41" w:rsidP="00054C41">
      <w:pPr>
        <w:spacing w:after="0"/>
        <w:jc w:val="both"/>
        <w:rPr>
          <w:rFonts w:ascii="Times New Roman" w:eastAsia="Calibri" w:hAnsi="Times New Roman" w:cs="Times New Roman"/>
          <w:sz w:val="24"/>
          <w:szCs w:val="24"/>
        </w:rPr>
      </w:pPr>
    </w:p>
    <w:p w14:paraId="0B272ABF" w14:textId="77777777" w:rsidR="00054C41" w:rsidRPr="00203FA7" w:rsidRDefault="00054C41" w:rsidP="00054C41">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 základe uvedenej odpovede zaškrtnite a popíšte, či materiál produktivitu:</w:t>
      </w:r>
    </w:p>
    <w:p w14:paraId="789FA80A" w14:textId="23D5AB40" w:rsidR="00054C41" w:rsidRPr="00203FA7" w:rsidRDefault="00DE024B" w:rsidP="00054C41">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45903528"/>
        </w:sdtPr>
        <w:sdtContent>
          <w:sdt>
            <w:sdtPr>
              <w:rPr>
                <w:rFonts w:ascii="Times New Roman" w:eastAsia="Calibri" w:hAnsi="Times New Roman" w:cs="Times New Roman"/>
                <w:sz w:val="24"/>
                <w:szCs w:val="24"/>
              </w:rPr>
              <w:id w:val="825715010"/>
            </w:sdtPr>
            <w:sdtContent>
              <w:r w:rsidR="00054C41" w:rsidRPr="00203FA7">
                <w:rPr>
                  <w:rFonts w:ascii="Segoe UI Symbol" w:eastAsia="Calibri" w:hAnsi="Segoe UI Symbol" w:cs="Segoe UI Symbol"/>
                  <w:sz w:val="24"/>
                  <w:szCs w:val="24"/>
                </w:rPr>
                <w:t>☐</w:t>
              </w:r>
            </w:sdtContent>
          </w:sdt>
        </w:sdtContent>
      </w:sdt>
      <w:r w:rsidR="00054C41" w:rsidRPr="00203FA7">
        <w:rPr>
          <w:rFonts w:ascii="Times New Roman" w:eastAsia="Calibri" w:hAnsi="Times New Roman" w:cs="Times New Roman"/>
          <w:sz w:val="24"/>
          <w:szCs w:val="24"/>
        </w:rPr>
        <w:t xml:space="preserve"> zvyšuje  </w:t>
      </w:r>
      <w:r w:rsidR="00054C41"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353966921"/>
        </w:sdtPr>
        <w:sdtContent>
          <w:sdt>
            <w:sdtPr>
              <w:rPr>
                <w:rFonts w:ascii="Times New Roman" w:eastAsia="Calibri" w:hAnsi="Times New Roman" w:cs="Times New Roman"/>
                <w:sz w:val="24"/>
                <w:szCs w:val="24"/>
              </w:rPr>
              <w:id w:val="-1222205104"/>
            </w:sdtPr>
            <w:sdtContent>
              <w:r w:rsidR="0065353C" w:rsidRPr="00203FA7">
                <w:rPr>
                  <w:rFonts w:ascii="Times New Roman" w:eastAsia="Calibri" w:hAnsi="Times New Roman" w:cs="Times New Roman"/>
                  <w:sz w:val="24"/>
                  <w:szCs w:val="24"/>
                </w:rPr>
                <w:t>X</w:t>
              </w:r>
            </w:sdtContent>
          </w:sdt>
        </w:sdtContent>
      </w:sdt>
      <w:r w:rsidR="00054C41" w:rsidRPr="00203FA7">
        <w:rPr>
          <w:rFonts w:ascii="Times New Roman" w:eastAsia="Calibri" w:hAnsi="Times New Roman" w:cs="Times New Roman"/>
          <w:sz w:val="24"/>
          <w:szCs w:val="24"/>
        </w:rPr>
        <w:t xml:space="preserve"> nemení</w:t>
      </w:r>
      <w:r w:rsidR="00054C41"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1457723544"/>
        </w:sdtPr>
        <w:sdtContent>
          <w:sdt>
            <w:sdtPr>
              <w:rPr>
                <w:rFonts w:ascii="Times New Roman" w:eastAsia="Calibri" w:hAnsi="Times New Roman" w:cs="Times New Roman"/>
                <w:sz w:val="24"/>
                <w:szCs w:val="24"/>
              </w:rPr>
              <w:id w:val="-623767955"/>
            </w:sdtPr>
            <w:sdtContent>
              <w:r w:rsidR="00054C41" w:rsidRPr="00203FA7">
                <w:rPr>
                  <w:rFonts w:ascii="Segoe UI Symbol" w:eastAsia="Calibri" w:hAnsi="Segoe UI Symbol" w:cs="Segoe UI Symbol"/>
                  <w:sz w:val="24"/>
                  <w:szCs w:val="24"/>
                </w:rPr>
                <w:t>☐</w:t>
              </w:r>
            </w:sdtContent>
          </w:sdt>
        </w:sdtContent>
      </w:sdt>
      <w:r w:rsidR="00054C41" w:rsidRPr="00203FA7">
        <w:rPr>
          <w:rFonts w:ascii="Times New Roman" w:eastAsia="Calibri" w:hAnsi="Times New Roman" w:cs="Times New Roman"/>
          <w:sz w:val="24"/>
          <w:szCs w:val="24"/>
        </w:rPr>
        <w:t xml:space="preserve"> znižuje</w:t>
      </w:r>
    </w:p>
    <w:p w14:paraId="3814BF91" w14:textId="77777777" w:rsidR="00E30D85" w:rsidRPr="001E47E5" w:rsidRDefault="00E30D85" w:rsidP="00054C41">
      <w:pPr>
        <w:spacing w:after="0"/>
        <w:jc w:val="both"/>
        <w:rPr>
          <w:rFonts w:ascii="Times New Roman" w:eastAsia="Calibri" w:hAnsi="Times New Roman" w:cs="Times New Roman"/>
          <w:i/>
          <w:sz w:val="24"/>
          <w:szCs w:val="24"/>
          <w:highlight w:val="yellow"/>
        </w:rPr>
      </w:pPr>
    </w:p>
    <w:p w14:paraId="0F05F45F" w14:textId="77777777" w:rsidR="00054C41" w:rsidRPr="001E47E5" w:rsidRDefault="00054C41" w:rsidP="00054C41">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 xml:space="preserve">3.4  Iné vplyvy na podnikateľské prostredie </w:t>
      </w:r>
    </w:p>
    <w:p w14:paraId="656A83C3" w14:textId="44551A2F" w:rsidR="00B21D1F" w:rsidRPr="00203FA7" w:rsidRDefault="00346D0F" w:rsidP="00203FA7">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w:t>
      </w:r>
    </w:p>
    <w:p w14:paraId="27B18BC3" w14:textId="77777777" w:rsidR="00D730C6" w:rsidRDefault="00D730C6">
      <w:pP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br w:type="page"/>
      </w:r>
    </w:p>
    <w:p w14:paraId="3B7E46D6" w14:textId="7397F57C" w:rsidR="00054C41" w:rsidRPr="001E47E5" w:rsidRDefault="00054C41" w:rsidP="00054C41">
      <w:pPr>
        <w:spacing w:after="0" w:line="240" w:lineRule="auto"/>
        <w:jc w:val="center"/>
        <w:rPr>
          <w:rFonts w:ascii="Times New Roman" w:eastAsia="Times New Roman" w:hAnsi="Times New Roman" w:cs="Times New Roman"/>
          <w:b/>
          <w:sz w:val="28"/>
          <w:szCs w:val="28"/>
          <w:lang w:eastAsia="sk-SK"/>
        </w:rPr>
      </w:pPr>
      <w:r w:rsidRPr="001E47E5">
        <w:rPr>
          <w:rFonts w:ascii="Times New Roman" w:eastAsia="Times New Roman" w:hAnsi="Times New Roman" w:cs="Times New Roman"/>
          <w:b/>
          <w:sz w:val="28"/>
          <w:szCs w:val="28"/>
          <w:lang w:eastAsia="sk-SK"/>
        </w:rPr>
        <w:lastRenderedPageBreak/>
        <w:t>Metodický postup pre analýzu vplyvov na podnikateľské prostredie</w:t>
      </w:r>
    </w:p>
    <w:p w14:paraId="767054DC" w14:textId="77777777" w:rsidR="00054C41" w:rsidRPr="001E47E5" w:rsidRDefault="00054C41" w:rsidP="00054C41">
      <w:pPr>
        <w:spacing w:after="0" w:line="240" w:lineRule="auto"/>
        <w:ind w:firstLine="720"/>
        <w:jc w:val="center"/>
        <w:rPr>
          <w:rFonts w:ascii="Times New Roman" w:eastAsia="Times New Roman" w:hAnsi="Times New Roman" w:cs="Times New Roman"/>
          <w:lang w:eastAsia="sk-SK"/>
        </w:rPr>
      </w:pPr>
    </w:p>
    <w:p w14:paraId="4E7462F3" w14:textId="77777777" w:rsidR="00054C41" w:rsidRPr="001E47E5" w:rsidRDefault="00054C41" w:rsidP="00054C41">
      <w:pPr>
        <w:spacing w:after="0" w:line="240" w:lineRule="auto"/>
        <w:rPr>
          <w:rFonts w:ascii="Times New Roman" w:eastAsia="Times New Roman" w:hAnsi="Times New Roman" w:cs="Times New Roman"/>
          <w:bCs/>
          <w:lang w:eastAsia="sk-SK"/>
        </w:rPr>
      </w:pPr>
    </w:p>
    <w:p w14:paraId="6204D4D3" w14:textId="77777777" w:rsidR="00054C41" w:rsidRPr="001E47E5"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3.1 Náklady regulácie</w:t>
      </w:r>
    </w:p>
    <w:p w14:paraId="6E65869B" w14:textId="77777777" w:rsidR="009B1F04" w:rsidRPr="001E47E5" w:rsidRDefault="009B1F04" w:rsidP="009B1F04">
      <w:pPr>
        <w:spacing w:after="0" w:line="240" w:lineRule="auto"/>
        <w:jc w:val="both"/>
        <w:rPr>
          <w:rFonts w:ascii="Times New Roman" w:eastAsia="Times New Roman" w:hAnsi="Times New Roman" w:cs="Times New Roman"/>
          <w:i/>
          <w:sz w:val="24"/>
          <w:szCs w:val="24"/>
          <w:lang w:eastAsia="sk-SK"/>
        </w:rPr>
      </w:pPr>
      <w:r w:rsidRPr="001E47E5">
        <w:rPr>
          <w:rFonts w:ascii="Times New Roman" w:eastAsia="Times New Roman" w:hAnsi="Times New Roman" w:cs="Times New Roman"/>
          <w:i/>
          <w:sz w:val="24"/>
          <w:szCs w:val="24"/>
          <w:lang w:eastAsia="sk-SK"/>
        </w:rPr>
        <w:t xml:space="preserve">Náklady regulácie </w:t>
      </w:r>
      <w:r w:rsidR="005B56E4" w:rsidRPr="001E47E5">
        <w:rPr>
          <w:rFonts w:ascii="Times New Roman" w:eastAsia="Times New Roman" w:hAnsi="Times New Roman" w:cs="Times New Roman"/>
          <w:i/>
          <w:sz w:val="24"/>
          <w:szCs w:val="24"/>
          <w:lang w:eastAsia="sk-SK"/>
        </w:rPr>
        <w:t xml:space="preserve">predkladateľ vypočíta pomocou Kalkulačky nákladov, vyplnením ktorej automaticky vyplní </w:t>
      </w:r>
      <w:r w:rsidRPr="001E47E5">
        <w:rPr>
          <w:rFonts w:ascii="Times New Roman" w:eastAsia="Times New Roman" w:hAnsi="Times New Roman" w:cs="Times New Roman"/>
          <w:i/>
          <w:sz w:val="24"/>
          <w:szCs w:val="24"/>
          <w:lang w:eastAsia="sk-SK"/>
        </w:rPr>
        <w:t xml:space="preserve">2 tabuľky, a to: </w:t>
      </w:r>
    </w:p>
    <w:p w14:paraId="47E9CDFC" w14:textId="77777777" w:rsidR="009B1F04" w:rsidRPr="001E47E5" w:rsidRDefault="009B1F04" w:rsidP="009B1F04">
      <w:pPr>
        <w:spacing w:after="0" w:line="240" w:lineRule="auto"/>
        <w:jc w:val="both"/>
        <w:rPr>
          <w:rFonts w:ascii="Times New Roman" w:eastAsia="Calibri" w:hAnsi="Times New Roman" w:cs="Times New Roman"/>
          <w:b/>
          <w:sz w:val="24"/>
          <w:szCs w:val="24"/>
        </w:rPr>
      </w:pPr>
    </w:p>
    <w:p w14:paraId="6F90291E" w14:textId="77777777" w:rsidR="00985515" w:rsidRPr="001E47E5" w:rsidRDefault="005B56E4" w:rsidP="00985515">
      <w:pPr>
        <w:pStyle w:val="Odsekzoznamu"/>
        <w:numPr>
          <w:ilvl w:val="0"/>
          <w:numId w:val="11"/>
        </w:numPr>
        <w:spacing w:after="0" w:line="240" w:lineRule="auto"/>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 xml:space="preserve">Tabuľka </w:t>
      </w:r>
      <w:r w:rsidR="009B1F04" w:rsidRPr="001E47E5">
        <w:rPr>
          <w:rFonts w:ascii="Times New Roman" w:eastAsia="Calibri" w:hAnsi="Times New Roman" w:cs="Times New Roman"/>
          <w:sz w:val="24"/>
          <w:szCs w:val="24"/>
        </w:rPr>
        <w:t>č.</w:t>
      </w:r>
      <w:r w:rsidR="00E30D85" w:rsidRPr="001E47E5">
        <w:rPr>
          <w:rFonts w:ascii="Times New Roman" w:eastAsia="Calibri" w:hAnsi="Times New Roman" w:cs="Times New Roman"/>
          <w:sz w:val="24"/>
          <w:szCs w:val="24"/>
        </w:rPr>
        <w:t> </w:t>
      </w:r>
      <w:r w:rsidR="009B1F04" w:rsidRPr="001E47E5">
        <w:rPr>
          <w:rFonts w:ascii="Times New Roman" w:eastAsia="Calibri" w:hAnsi="Times New Roman" w:cs="Times New Roman"/>
          <w:sz w:val="24"/>
          <w:szCs w:val="24"/>
        </w:rPr>
        <w:t xml:space="preserve">1: </w:t>
      </w:r>
      <w:r w:rsidR="00985515" w:rsidRPr="001E47E5">
        <w:rPr>
          <w:rFonts w:ascii="Times New Roman" w:eastAsia="Calibri" w:hAnsi="Times New Roman" w:cs="Times New Roman"/>
          <w:sz w:val="24"/>
          <w:szCs w:val="24"/>
        </w:rPr>
        <w:t>Zmeny ročných nákladov v prepočte na podnikateľské prostredie, vyhodnotenie mechanizmu znižovania byrokracie a</w:t>
      </w:r>
      <w:r w:rsidR="007E7632" w:rsidRPr="001E47E5">
        <w:rPr>
          <w:rFonts w:ascii="Times New Roman" w:eastAsia="Calibri" w:hAnsi="Times New Roman" w:cs="Times New Roman"/>
          <w:sz w:val="24"/>
          <w:szCs w:val="24"/>
        </w:rPr>
        <w:t> </w:t>
      </w:r>
      <w:r w:rsidR="00985515" w:rsidRPr="001E47E5">
        <w:rPr>
          <w:rFonts w:ascii="Times New Roman" w:eastAsia="Calibri" w:hAnsi="Times New Roman" w:cs="Times New Roman"/>
          <w:sz w:val="24"/>
          <w:szCs w:val="24"/>
        </w:rPr>
        <w:t>nákladov</w:t>
      </w:r>
      <w:r w:rsidR="007E7632" w:rsidRPr="001E47E5">
        <w:rPr>
          <w:rFonts w:ascii="Times New Roman" w:eastAsia="Calibri" w:hAnsi="Times New Roman" w:cs="Times New Roman"/>
          <w:sz w:val="24"/>
          <w:szCs w:val="24"/>
        </w:rPr>
        <w:t>, výpočet goldplatingu</w:t>
      </w:r>
      <w:r w:rsidR="00985515" w:rsidRPr="001E47E5">
        <w:rPr>
          <w:rFonts w:ascii="Times New Roman" w:eastAsia="Calibri" w:hAnsi="Times New Roman" w:cs="Times New Roman"/>
          <w:sz w:val="24"/>
          <w:szCs w:val="24"/>
        </w:rPr>
        <w:t>.</w:t>
      </w:r>
    </w:p>
    <w:p w14:paraId="0886454F" w14:textId="77777777" w:rsidR="009B1F04" w:rsidRPr="001E47E5" w:rsidRDefault="005B56E4" w:rsidP="00484D16">
      <w:pPr>
        <w:pStyle w:val="Odsekzoznamu"/>
        <w:numPr>
          <w:ilvl w:val="0"/>
          <w:numId w:val="11"/>
        </w:numPr>
        <w:spacing w:after="0" w:line="240" w:lineRule="auto"/>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 xml:space="preserve">Tabuľka </w:t>
      </w:r>
      <w:r w:rsidR="009B1F04" w:rsidRPr="001E47E5">
        <w:rPr>
          <w:rFonts w:ascii="Times New Roman" w:eastAsia="Calibri" w:hAnsi="Times New Roman" w:cs="Times New Roman"/>
          <w:sz w:val="24"/>
          <w:szCs w:val="24"/>
        </w:rPr>
        <w:t>č. 2: Výpočet vplyvov jednotlivých regulácií</w:t>
      </w:r>
    </w:p>
    <w:p w14:paraId="221DA046" w14:textId="77777777" w:rsidR="009B1F04" w:rsidRPr="001E47E5" w:rsidRDefault="009B1F04" w:rsidP="009B1F04">
      <w:pPr>
        <w:spacing w:after="0" w:line="240" w:lineRule="auto"/>
        <w:jc w:val="both"/>
        <w:rPr>
          <w:rFonts w:ascii="Times New Roman" w:eastAsia="Times New Roman" w:hAnsi="Times New Roman" w:cs="Times New Roman"/>
          <w:i/>
          <w:sz w:val="24"/>
          <w:szCs w:val="24"/>
          <w:lang w:eastAsia="sk-SK"/>
        </w:rPr>
      </w:pPr>
    </w:p>
    <w:p w14:paraId="659A5639" w14:textId="77777777" w:rsidR="009B1F04" w:rsidRPr="001E47E5" w:rsidRDefault="00CA6348" w:rsidP="009B1F04">
      <w:pPr>
        <w:spacing w:after="0" w:line="240" w:lineRule="auto"/>
        <w:jc w:val="both"/>
        <w:rPr>
          <w:rFonts w:ascii="Times New Roman" w:eastAsia="Times New Roman" w:hAnsi="Times New Roman" w:cs="Times New Roman"/>
          <w:i/>
          <w:sz w:val="24"/>
          <w:szCs w:val="24"/>
          <w:lang w:eastAsia="sk-SK"/>
        </w:rPr>
      </w:pPr>
      <w:r w:rsidRPr="001E47E5">
        <w:rPr>
          <w:rFonts w:ascii="Times New Roman" w:eastAsia="Times New Roman" w:hAnsi="Times New Roman" w:cs="Times New Roman"/>
          <w:i/>
          <w:sz w:val="24"/>
          <w:szCs w:val="24"/>
          <w:lang w:eastAsia="sk-SK"/>
        </w:rPr>
        <w:t>Predkladateľ n</w:t>
      </w:r>
      <w:r w:rsidR="009B1F04" w:rsidRPr="001E47E5">
        <w:rPr>
          <w:rFonts w:ascii="Times New Roman" w:eastAsia="Times New Roman" w:hAnsi="Times New Roman" w:cs="Times New Roman"/>
          <w:i/>
          <w:sz w:val="24"/>
          <w:szCs w:val="24"/>
          <w:lang w:eastAsia="sk-SK"/>
        </w:rPr>
        <w:t xml:space="preserve">ásledne tabuľky </w:t>
      </w:r>
      <w:r w:rsidR="005B56E4" w:rsidRPr="001E47E5">
        <w:rPr>
          <w:rFonts w:ascii="Times New Roman" w:eastAsia="Times New Roman" w:hAnsi="Times New Roman" w:cs="Times New Roman"/>
          <w:i/>
          <w:sz w:val="24"/>
          <w:szCs w:val="24"/>
          <w:lang w:eastAsia="sk-SK"/>
        </w:rPr>
        <w:t>odkopíruje</w:t>
      </w:r>
      <w:r w:rsidR="009B1F04" w:rsidRPr="001E47E5">
        <w:rPr>
          <w:rFonts w:ascii="Times New Roman" w:eastAsia="Times New Roman" w:hAnsi="Times New Roman" w:cs="Times New Roman"/>
          <w:i/>
          <w:sz w:val="24"/>
          <w:szCs w:val="24"/>
          <w:lang w:eastAsia="sk-SK"/>
        </w:rPr>
        <w:t xml:space="preserve"> a</w:t>
      </w:r>
      <w:r w:rsidRPr="001E47E5">
        <w:rPr>
          <w:rFonts w:ascii="Times New Roman" w:eastAsia="Times New Roman" w:hAnsi="Times New Roman" w:cs="Times New Roman"/>
          <w:i/>
          <w:sz w:val="24"/>
          <w:szCs w:val="24"/>
          <w:lang w:eastAsia="sk-SK"/>
        </w:rPr>
        <w:t> </w:t>
      </w:r>
      <w:r w:rsidR="009B1F04" w:rsidRPr="001E47E5">
        <w:rPr>
          <w:rFonts w:ascii="Times New Roman" w:eastAsia="Times New Roman" w:hAnsi="Times New Roman" w:cs="Times New Roman"/>
          <w:i/>
          <w:sz w:val="24"/>
          <w:szCs w:val="24"/>
          <w:lang w:eastAsia="sk-SK"/>
        </w:rPr>
        <w:t>vlo</w:t>
      </w:r>
      <w:r w:rsidRPr="001E47E5">
        <w:rPr>
          <w:rFonts w:ascii="Times New Roman" w:eastAsia="Times New Roman" w:hAnsi="Times New Roman" w:cs="Times New Roman"/>
          <w:i/>
          <w:sz w:val="24"/>
          <w:szCs w:val="24"/>
          <w:lang w:eastAsia="sk-SK"/>
        </w:rPr>
        <w:t xml:space="preserve">ží </w:t>
      </w:r>
      <w:r w:rsidR="009B1F04" w:rsidRPr="001E47E5">
        <w:rPr>
          <w:rFonts w:ascii="Times New Roman" w:eastAsia="Times New Roman" w:hAnsi="Times New Roman" w:cs="Times New Roman"/>
          <w:i/>
          <w:sz w:val="24"/>
          <w:szCs w:val="24"/>
          <w:lang w:eastAsia="sk-SK"/>
        </w:rPr>
        <w:t xml:space="preserve">do </w:t>
      </w:r>
      <w:r w:rsidR="0018715C" w:rsidRPr="001E47E5">
        <w:rPr>
          <w:rFonts w:ascii="Times New Roman" w:eastAsia="Times New Roman" w:hAnsi="Times New Roman" w:cs="Times New Roman"/>
          <w:i/>
          <w:sz w:val="24"/>
          <w:szCs w:val="24"/>
          <w:lang w:eastAsia="sk-SK"/>
        </w:rPr>
        <w:t>a</w:t>
      </w:r>
      <w:r w:rsidR="009B1F04" w:rsidRPr="001E47E5">
        <w:rPr>
          <w:rFonts w:ascii="Times New Roman" w:eastAsia="Times New Roman" w:hAnsi="Times New Roman" w:cs="Times New Roman"/>
          <w:i/>
          <w:sz w:val="24"/>
          <w:szCs w:val="24"/>
          <w:lang w:eastAsia="sk-SK"/>
        </w:rPr>
        <w:t>nalýzy vplyvov na podnikateľské prostredie</w:t>
      </w:r>
      <w:r w:rsidR="00985515" w:rsidRPr="001E47E5">
        <w:rPr>
          <w:rFonts w:ascii="Times New Roman" w:eastAsia="Times New Roman" w:hAnsi="Times New Roman" w:cs="Times New Roman"/>
          <w:i/>
          <w:sz w:val="24"/>
          <w:szCs w:val="24"/>
          <w:lang w:eastAsia="sk-SK"/>
        </w:rPr>
        <w:t>.</w:t>
      </w:r>
      <w:r w:rsidR="009B1F04" w:rsidRPr="001E47E5">
        <w:rPr>
          <w:rFonts w:ascii="Times New Roman" w:eastAsia="Times New Roman" w:hAnsi="Times New Roman" w:cs="Times New Roman"/>
          <w:i/>
          <w:sz w:val="24"/>
          <w:szCs w:val="24"/>
          <w:lang w:eastAsia="sk-SK"/>
        </w:rPr>
        <w:t xml:space="preserve"> </w:t>
      </w:r>
    </w:p>
    <w:p w14:paraId="6CEABCC5" w14:textId="77777777" w:rsidR="005D0E50" w:rsidRPr="001E47E5" w:rsidRDefault="005D0E50" w:rsidP="00315BE2">
      <w:pPr>
        <w:spacing w:after="0" w:line="240" w:lineRule="auto"/>
        <w:jc w:val="both"/>
        <w:rPr>
          <w:rFonts w:ascii="Times New Roman" w:eastAsia="Calibri" w:hAnsi="Times New Roman" w:cs="Times New Roman"/>
          <w:b/>
          <w:i/>
          <w:iCs/>
          <w:sz w:val="24"/>
          <w:szCs w:val="24"/>
        </w:rPr>
      </w:pPr>
    </w:p>
    <w:p w14:paraId="0458B945" w14:textId="77777777" w:rsidR="00315BE2" w:rsidRPr="001E47E5" w:rsidRDefault="00315BE2" w:rsidP="00315BE2">
      <w:pPr>
        <w:spacing w:after="0" w:line="240" w:lineRule="auto"/>
        <w:jc w:val="both"/>
        <w:rPr>
          <w:rFonts w:ascii="Times New Roman" w:eastAsia="Times New Roman" w:hAnsi="Times New Roman" w:cs="Times New Roman"/>
          <w:b/>
          <w:i/>
          <w:sz w:val="24"/>
          <w:szCs w:val="24"/>
          <w:lang w:eastAsia="sk-SK"/>
        </w:rPr>
      </w:pPr>
      <w:r w:rsidRPr="001E47E5">
        <w:rPr>
          <w:rFonts w:ascii="Times New Roman" w:eastAsia="Times New Roman" w:hAnsi="Times New Roman" w:cs="Times New Roman"/>
          <w:b/>
          <w:i/>
          <w:sz w:val="24"/>
          <w:szCs w:val="24"/>
          <w:lang w:eastAsia="sk-SK"/>
        </w:rPr>
        <w:t>Pokyny k vypĺňaniu jednotlivých stĺpcov Kalkulačky nákladov</w:t>
      </w:r>
      <w:r w:rsidR="00CF4D09" w:rsidRPr="001E47E5">
        <w:rPr>
          <w:rFonts w:ascii="Times New Roman" w:eastAsia="Times New Roman" w:hAnsi="Times New Roman" w:cs="Times New Roman"/>
          <w:b/>
          <w:i/>
          <w:sz w:val="24"/>
          <w:szCs w:val="24"/>
          <w:lang w:eastAsia="sk-SK"/>
        </w:rPr>
        <w:t xml:space="preserve"> (Krok č. 1)</w:t>
      </w:r>
      <w:r w:rsidR="00CA6348" w:rsidRPr="001E47E5">
        <w:rPr>
          <w:rFonts w:ascii="Times New Roman" w:eastAsia="Times New Roman" w:hAnsi="Times New Roman" w:cs="Times New Roman"/>
          <w:b/>
          <w:i/>
          <w:sz w:val="24"/>
          <w:szCs w:val="24"/>
          <w:lang w:eastAsia="sk-SK"/>
        </w:rPr>
        <w:t>:</w:t>
      </w:r>
    </w:p>
    <w:p w14:paraId="5AC84E87" w14:textId="77777777" w:rsidR="00315BE2" w:rsidRPr="001E47E5" w:rsidRDefault="00315BE2" w:rsidP="00315BE2">
      <w:pPr>
        <w:spacing w:after="0" w:line="240" w:lineRule="auto"/>
        <w:jc w:val="both"/>
        <w:rPr>
          <w:rFonts w:ascii="Times New Roman" w:eastAsia="Times New Roman" w:hAnsi="Times New Roman" w:cs="Times New Roman"/>
          <w:b/>
          <w:sz w:val="24"/>
          <w:szCs w:val="24"/>
          <w:lang w:eastAsia="sk-SK"/>
        </w:rPr>
      </w:pPr>
    </w:p>
    <w:p w14:paraId="51796F4D" w14:textId="77777777" w:rsidR="00315BE2" w:rsidRPr="001E47E5" w:rsidRDefault="00315BE2" w:rsidP="00CA6348">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Zrozumiteľný a stručný opis regulácie vyjadrujúci dôvod zvýšenia/zníženia nákladov na PP</w:t>
      </w:r>
      <w:r w:rsidR="00047C70" w:rsidRPr="001E47E5">
        <w:rPr>
          <w:rFonts w:ascii="Times New Roman" w:eastAsia="Times New Roman" w:hAnsi="Times New Roman" w:cs="Times New Roman"/>
          <w:b/>
          <w:sz w:val="24"/>
          <w:szCs w:val="24"/>
          <w:lang w:eastAsia="sk-SK"/>
        </w:rPr>
        <w:t xml:space="preserve"> a dôvod ponechania nákladov na PP, ktoré sú goldplatingom</w:t>
      </w:r>
      <w:r w:rsidRPr="001E47E5">
        <w:rPr>
          <w:rFonts w:ascii="Times New Roman" w:eastAsia="Times New Roman" w:hAnsi="Times New Roman" w:cs="Times New Roman"/>
          <w:b/>
          <w:sz w:val="24"/>
          <w:szCs w:val="24"/>
          <w:lang w:eastAsia="sk-SK"/>
        </w:rPr>
        <w:t xml:space="preserve">: </w:t>
      </w:r>
      <w:r w:rsidRPr="001E47E5">
        <w:rPr>
          <w:rFonts w:ascii="Times New Roman" w:eastAsia="Times New Roman" w:hAnsi="Times New Roman" w:cs="Times New Roman"/>
          <w:sz w:val="24"/>
          <w:szCs w:val="24"/>
          <w:lang w:eastAsia="sk-SK"/>
        </w:rPr>
        <w:t xml:space="preserve">v tomto stĺpci predkladateľ uvedie stručne a výstižne aj dôvod zvýšenia/zníženia nákladov na PP. Predkladateľ nekopíruje paragrafové znenie regulácie! </w:t>
      </w:r>
      <w:r w:rsidRPr="001E47E5">
        <w:rPr>
          <w:rFonts w:ascii="Times New Roman" w:eastAsia="Times New Roman" w:hAnsi="Times New Roman" w:cs="Times New Roman"/>
          <w:i/>
          <w:iCs/>
          <w:sz w:val="24"/>
          <w:szCs w:val="24"/>
          <w:lang w:eastAsia="sk-SK"/>
        </w:rPr>
        <w:t>Napríklad: zníženie frekvencie povinných kontrol strojov z ročnej na dvojročnú.</w:t>
      </w:r>
      <w:r w:rsidRPr="001E47E5">
        <w:rPr>
          <w:rFonts w:ascii="Times New Roman" w:eastAsia="Times New Roman" w:hAnsi="Times New Roman" w:cs="Times New Roman"/>
          <w:b/>
          <w:bCs/>
          <w:color w:val="000000"/>
          <w:sz w:val="24"/>
          <w:szCs w:val="24"/>
          <w:lang w:eastAsia="sk-SK"/>
        </w:rPr>
        <w:t xml:space="preserve"> </w:t>
      </w:r>
      <w:r w:rsidRPr="001E47E5">
        <w:rPr>
          <w:rFonts w:ascii="Times New Roman" w:eastAsia="Times New Roman" w:hAnsi="Times New Roman" w:cs="Times New Roman"/>
          <w:b/>
          <w:sz w:val="24"/>
          <w:szCs w:val="24"/>
          <w:lang w:eastAsia="sk-SK"/>
        </w:rPr>
        <w:t xml:space="preserve">V prípade dôvodu ponechania nákladov na PP, ktoré sú goldplatingom, </w:t>
      </w:r>
      <w:r w:rsidRPr="001E47E5">
        <w:rPr>
          <w:rFonts w:ascii="Times New Roman" w:eastAsia="Times New Roman" w:hAnsi="Times New Roman" w:cs="Times New Roman"/>
          <w:sz w:val="24"/>
          <w:szCs w:val="24"/>
          <w:lang w:eastAsia="sk-SK"/>
        </w:rPr>
        <w:t xml:space="preserve">sa uvedie dôvod neodstránenia/zachovania </w:t>
      </w:r>
      <w:r w:rsidRPr="001E47E5">
        <w:rPr>
          <w:rFonts w:ascii="Times New Roman" w:eastAsia="Times New Roman" w:hAnsi="Times New Roman" w:cs="Arial"/>
          <w:sz w:val="24"/>
          <w:szCs w:val="20"/>
        </w:rPr>
        <w:t>existujúcej právnej úpravy</w:t>
      </w:r>
      <w:r w:rsidRPr="001E47E5">
        <w:rPr>
          <w:rFonts w:ascii="Times New Roman" w:eastAsia="Times New Roman" w:hAnsi="Times New Roman" w:cs="Arial"/>
          <w:i/>
          <w:sz w:val="24"/>
          <w:szCs w:val="20"/>
        </w:rPr>
        <w:t>,</w:t>
      </w:r>
      <w:r w:rsidRPr="001E47E5">
        <w:rPr>
          <w:rFonts w:ascii="Times New Roman" w:eastAsia="Times New Roman" w:hAnsi="Times New Roman" w:cs="Arial"/>
          <w:sz w:val="24"/>
          <w:szCs w:val="20"/>
        </w:rPr>
        <w:t xml:space="preserve"> ktorá spolu </w:t>
      </w:r>
      <w:r w:rsidRPr="001E47E5">
        <w:rPr>
          <w:rFonts w:ascii="Times New Roman" w:eastAsia="Times New Roman" w:hAnsi="Times New Roman" w:cs="Times New Roman"/>
          <w:sz w:val="24"/>
          <w:szCs w:val="24"/>
          <w:lang w:eastAsia="sk-SK"/>
        </w:rPr>
        <w:t>s  predloženým návrhom právneho predpisu spôsobuje, že transpozícia nebude vykonaná v</w:t>
      </w:r>
      <w:r w:rsidR="007E7632" w:rsidRPr="001E47E5">
        <w:rPr>
          <w:rFonts w:ascii="Times New Roman" w:eastAsia="Times New Roman" w:hAnsi="Times New Roman" w:cs="Times New Roman"/>
          <w:sz w:val="24"/>
          <w:szCs w:val="24"/>
          <w:lang w:eastAsia="sk-SK"/>
        </w:rPr>
        <w:t> </w:t>
      </w:r>
      <w:r w:rsidRPr="001E47E5">
        <w:rPr>
          <w:rFonts w:ascii="Times New Roman" w:eastAsia="Times New Roman" w:hAnsi="Times New Roman" w:cs="Times New Roman"/>
          <w:sz w:val="24"/>
          <w:szCs w:val="24"/>
          <w:lang w:eastAsia="sk-SK"/>
        </w:rPr>
        <w:t>minimálnej</w:t>
      </w:r>
      <w:r w:rsidR="007E7632" w:rsidRPr="001E47E5">
        <w:rPr>
          <w:rFonts w:ascii="Times New Roman" w:eastAsia="Times New Roman" w:hAnsi="Times New Roman" w:cs="Times New Roman"/>
          <w:sz w:val="24"/>
          <w:szCs w:val="24"/>
          <w:lang w:eastAsia="sk-SK"/>
        </w:rPr>
        <w:t xml:space="preserve"> a nevyhnutnej</w:t>
      </w:r>
      <w:r w:rsidRPr="001E47E5">
        <w:rPr>
          <w:rFonts w:ascii="Times New Roman" w:eastAsia="Times New Roman" w:hAnsi="Times New Roman" w:cs="Times New Roman"/>
          <w:sz w:val="24"/>
          <w:szCs w:val="24"/>
          <w:lang w:eastAsia="sk-SK"/>
        </w:rPr>
        <w:t xml:space="preserve"> miere (zároveň</w:t>
      </w:r>
      <w:r w:rsidR="007E7632" w:rsidRPr="001E47E5">
        <w:rPr>
          <w:rFonts w:ascii="Times New Roman" w:eastAsia="Times New Roman" w:hAnsi="Times New Roman" w:cs="Times New Roman"/>
          <w:sz w:val="24"/>
          <w:szCs w:val="24"/>
          <w:lang w:eastAsia="sk-SK"/>
        </w:rPr>
        <w:t xml:space="preserve"> sa</w:t>
      </w:r>
      <w:r w:rsidRPr="001E47E5">
        <w:rPr>
          <w:rFonts w:ascii="Times New Roman" w:eastAsia="Times New Roman" w:hAnsi="Times New Roman" w:cs="Times New Roman"/>
          <w:sz w:val="24"/>
          <w:szCs w:val="24"/>
          <w:lang w:eastAsia="sk-SK"/>
        </w:rPr>
        <w:t xml:space="preserve"> zaznačí  možnosť „nemení sa“ pri označení druhu vplyvu).</w:t>
      </w:r>
      <w:r w:rsidRPr="001E47E5" w:rsidDel="00F74D3C">
        <w:rPr>
          <w:rFonts w:ascii="Times New Roman" w:eastAsia="Times New Roman" w:hAnsi="Times New Roman" w:cs="Times New Roman"/>
          <w:sz w:val="24"/>
          <w:szCs w:val="24"/>
          <w:lang w:eastAsia="sk-SK"/>
        </w:rPr>
        <w:t xml:space="preserve"> </w:t>
      </w:r>
    </w:p>
    <w:p w14:paraId="3AAFCA25" w14:textId="77777777" w:rsidR="00CA6348" w:rsidRPr="001E47E5" w:rsidRDefault="00CA6348" w:rsidP="00315BE2">
      <w:pPr>
        <w:spacing w:after="0" w:line="240" w:lineRule="auto"/>
        <w:jc w:val="both"/>
        <w:rPr>
          <w:rFonts w:ascii="Times New Roman" w:eastAsia="Times New Roman" w:hAnsi="Times New Roman" w:cs="Times New Roman"/>
          <w:b/>
          <w:sz w:val="24"/>
          <w:szCs w:val="24"/>
          <w:lang w:eastAsia="sk-SK"/>
        </w:rPr>
      </w:pPr>
    </w:p>
    <w:p w14:paraId="04EAB9DF" w14:textId="77777777" w:rsidR="00315BE2" w:rsidRPr="001E47E5" w:rsidRDefault="00315BE2" w:rsidP="00315BE2">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Číslo normy (zákona, vyhlášky a pod.):</w:t>
      </w:r>
      <w:r w:rsidRPr="001E47E5">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1E47E5">
        <w:rPr>
          <w:rFonts w:ascii="Times New Roman" w:eastAsia="Times New Roman" w:hAnsi="Times New Roman" w:cs="Times New Roman"/>
          <w:i/>
          <w:sz w:val="24"/>
          <w:szCs w:val="24"/>
          <w:lang w:eastAsia="sk-SK"/>
        </w:rPr>
        <w:t>Napríklad: zákon č. 311/2001 Z. z.</w:t>
      </w:r>
      <w:r w:rsidRPr="001E47E5">
        <w:rPr>
          <w:rFonts w:ascii="Times New Roman" w:eastAsia="Times New Roman" w:hAnsi="Times New Roman" w:cs="Times New Roman"/>
          <w:sz w:val="24"/>
          <w:szCs w:val="24"/>
          <w:lang w:eastAsia="sk-SK"/>
        </w:rPr>
        <w:t xml:space="preserve"> </w:t>
      </w:r>
    </w:p>
    <w:p w14:paraId="3BE95DFA" w14:textId="77777777" w:rsidR="00CA6348" w:rsidRPr="001E47E5" w:rsidRDefault="00CA6348" w:rsidP="00CA6348">
      <w:pPr>
        <w:spacing w:after="0" w:line="240" w:lineRule="auto"/>
        <w:jc w:val="both"/>
        <w:rPr>
          <w:rFonts w:ascii="Times New Roman" w:eastAsia="Times New Roman" w:hAnsi="Times New Roman" w:cs="Times New Roman"/>
          <w:b/>
          <w:sz w:val="24"/>
          <w:szCs w:val="24"/>
          <w:lang w:eastAsia="sk-SK"/>
        </w:rPr>
      </w:pPr>
    </w:p>
    <w:p w14:paraId="02C721FB" w14:textId="5CB9C9B1" w:rsidR="00315BE2" w:rsidRPr="001E47E5" w:rsidRDefault="00315BE2" w:rsidP="00CA6348">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Lokalizácia (</w:t>
      </w:r>
      <w:r w:rsidRPr="001E47E5">
        <w:rPr>
          <w:rFonts w:ascii="Times New Roman" w:eastAsia="Times New Roman" w:hAnsi="Times New Roman" w:cs="Times New Roman"/>
          <w:b/>
          <w:bCs/>
          <w:color w:val="000000"/>
          <w:sz w:val="24"/>
          <w:szCs w:val="24"/>
          <w:lang w:eastAsia="sk-SK"/>
        </w:rPr>
        <w:t>§, ods.</w:t>
      </w:r>
      <w:r w:rsidR="006D7AD8" w:rsidRPr="001E47E5">
        <w:t xml:space="preserve"> </w:t>
      </w:r>
      <w:r w:rsidR="006D7AD8" w:rsidRPr="001E47E5">
        <w:rPr>
          <w:rFonts w:ascii="Times New Roman" w:eastAsia="Times New Roman" w:hAnsi="Times New Roman" w:cs="Times New Roman"/>
          <w:b/>
          <w:bCs/>
          <w:color w:val="000000"/>
          <w:sz w:val="24"/>
          <w:szCs w:val="24"/>
          <w:lang w:eastAsia="sk-SK"/>
        </w:rPr>
        <w:t>čl.,...</w:t>
      </w:r>
      <w:r w:rsidRPr="001E47E5">
        <w:rPr>
          <w:rFonts w:ascii="Times New Roman" w:eastAsia="Times New Roman" w:hAnsi="Times New Roman" w:cs="Times New Roman"/>
          <w:b/>
          <w:bCs/>
          <w:color w:val="000000"/>
          <w:sz w:val="24"/>
          <w:szCs w:val="24"/>
          <w:lang w:eastAsia="sk-SK"/>
        </w:rPr>
        <w:t>):</w:t>
      </w:r>
      <w:r w:rsidRPr="001E47E5">
        <w:rPr>
          <w:rFonts w:ascii="Times New Roman" w:eastAsia="Times New Roman" w:hAnsi="Times New Roman" w:cs="Times New Roman"/>
          <w:bCs/>
          <w:color w:val="000000"/>
          <w:sz w:val="24"/>
          <w:szCs w:val="24"/>
          <w:lang w:eastAsia="sk-SK"/>
        </w:rPr>
        <w:t xml:space="preserve"> </w:t>
      </w:r>
      <w:r w:rsidRPr="001E47E5">
        <w:rPr>
          <w:rFonts w:ascii="Times New Roman" w:eastAsia="Times New Roman" w:hAnsi="Times New Roman" w:cs="Times New Roman"/>
          <w:sz w:val="24"/>
          <w:szCs w:val="24"/>
          <w:lang w:eastAsia="sk-SK"/>
        </w:rPr>
        <w:t>predkladateľ uvedie, ktorý</w:t>
      </w:r>
      <w:r w:rsidR="004F63E6" w:rsidRPr="001E47E5">
        <w:rPr>
          <w:rFonts w:ascii="Times New Roman" w:eastAsia="Times New Roman" w:hAnsi="Times New Roman" w:cs="Times New Roman"/>
          <w:sz w:val="24"/>
          <w:szCs w:val="24"/>
          <w:lang w:eastAsia="sk-SK"/>
        </w:rPr>
        <w:t xml:space="preserve"> paragraf, odsek, písmeno a bod, článok </w:t>
      </w:r>
      <w:r w:rsidRPr="001E47E5">
        <w:rPr>
          <w:rFonts w:ascii="Times New Roman" w:eastAsia="Times New Roman" w:hAnsi="Times New Roman" w:cs="Times New Roman"/>
          <w:sz w:val="24"/>
          <w:szCs w:val="24"/>
          <w:lang w:eastAsia="sk-SK"/>
        </w:rPr>
        <w:t xml:space="preserve">upravuje zmenu predmetnej regulácie. </w:t>
      </w:r>
      <w:r w:rsidRPr="001E47E5">
        <w:rPr>
          <w:rFonts w:ascii="Times New Roman" w:eastAsia="Times New Roman" w:hAnsi="Times New Roman" w:cs="Times New Roman"/>
          <w:i/>
          <w:iCs/>
          <w:sz w:val="24"/>
          <w:szCs w:val="24"/>
          <w:lang w:eastAsia="sk-SK"/>
        </w:rPr>
        <w:t>Napríklad: § 15 ods. 2 písm. b).</w:t>
      </w:r>
      <w:r w:rsidR="004F63E6" w:rsidRPr="001E47E5">
        <w:rPr>
          <w:rFonts w:ascii="Times New Roman" w:eastAsia="Times New Roman" w:hAnsi="Times New Roman" w:cs="Times New Roman"/>
          <w:i/>
          <w:iCs/>
          <w:sz w:val="24"/>
          <w:szCs w:val="24"/>
          <w:lang w:eastAsia="sk-SK"/>
        </w:rPr>
        <w:t>; článok 8, odsek 2.</w:t>
      </w:r>
    </w:p>
    <w:p w14:paraId="2C6F4BB6" w14:textId="77777777" w:rsidR="00315BE2" w:rsidRPr="001E47E5" w:rsidRDefault="00315BE2" w:rsidP="00315BE2">
      <w:pPr>
        <w:spacing w:after="0" w:line="240" w:lineRule="auto"/>
        <w:jc w:val="both"/>
        <w:rPr>
          <w:rFonts w:ascii="Times New Roman" w:eastAsia="Times New Roman" w:hAnsi="Times New Roman" w:cs="Times New Roman"/>
          <w:bCs/>
          <w:color w:val="000000"/>
          <w:sz w:val="24"/>
          <w:szCs w:val="24"/>
          <w:lang w:eastAsia="sk-SK"/>
        </w:rPr>
      </w:pPr>
    </w:p>
    <w:p w14:paraId="44B8616E" w14:textId="74E0A7B2" w:rsidR="00315BE2" w:rsidRPr="001E47E5" w:rsidRDefault="00315BE2" w:rsidP="00CA6348">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1E47E5">
        <w:rPr>
          <w:rFonts w:ascii="Times New Roman" w:eastAsia="Times New Roman" w:hAnsi="Times New Roman" w:cs="Times New Roman"/>
          <w:b/>
          <w:sz w:val="24"/>
          <w:szCs w:val="24"/>
        </w:rPr>
        <w:t>Pôvod regulácie</w:t>
      </w:r>
      <w:r w:rsidRPr="001E47E5">
        <w:rPr>
          <w:rFonts w:ascii="Times New Roman" w:eastAsia="Times New Roman" w:hAnsi="Times New Roman" w:cs="Times New Roman"/>
          <w:sz w:val="24"/>
          <w:szCs w:val="24"/>
        </w:rPr>
        <w:t xml:space="preserve">: predkladateľ vyberie jednu z možností pôvodu regulácie: </w:t>
      </w:r>
      <w:r w:rsidRPr="001E47E5">
        <w:rPr>
          <w:rFonts w:ascii="Times New Roman" w:eastAsia="Times New Roman" w:hAnsi="Times New Roman" w:cs="Times New Roman"/>
          <w:color w:val="000000"/>
          <w:sz w:val="24"/>
          <w:szCs w:val="24"/>
        </w:rPr>
        <w:t>SK; EÚ úplná harm.; goldplating -GP – a) – g)</w:t>
      </w:r>
      <w:r w:rsidRPr="001E47E5">
        <w:rPr>
          <w:rFonts w:ascii="Times New Roman" w:eastAsia="Times New Roman" w:hAnsi="Times New Roman" w:cs="Times New Roman"/>
          <w:sz w:val="24"/>
          <w:szCs w:val="24"/>
        </w:rPr>
        <w:t>. Regulácie s pôvodom „SK“ sú domáce iniciatívne regulácie, ktoré nijako nesúvisia s transpozíciou práva EÚ. Pôvod „EÚ úplná harmonizácia“ majú tie ustanovenia, ktoré sú transpozíciou práva EÚ, pri ktorých nie je možná voľba ani odklon od znenia práva EÚ. A ak je možná voľba alebo odklon od znenia práva EÚ, tak len v prípade, že ide o odklon/voľbu, ktorý udržuje</w:t>
      </w:r>
      <w:r w:rsidR="00D114ED" w:rsidRPr="001E47E5">
        <w:rPr>
          <w:rFonts w:ascii="Times New Roman" w:eastAsia="Times New Roman" w:hAnsi="Times New Roman" w:cs="Times New Roman"/>
          <w:sz w:val="24"/>
          <w:szCs w:val="24"/>
        </w:rPr>
        <w:t xml:space="preserve"> minimálne</w:t>
      </w:r>
      <w:r w:rsidRPr="001E47E5">
        <w:rPr>
          <w:rFonts w:ascii="Times New Roman" w:eastAsia="Times New Roman" w:hAnsi="Times New Roman" w:cs="Times New Roman"/>
          <w:sz w:val="24"/>
          <w:szCs w:val="24"/>
        </w:rPr>
        <w:t xml:space="preserve"> požiadavky práva EÚ (tieto nijako nenavyšuje). </w:t>
      </w:r>
      <w:r w:rsidRPr="001E47E5">
        <w:rPr>
          <w:rFonts w:ascii="Times New Roman" w:eastAsia="Times New Roman" w:hAnsi="Times New Roman" w:cs="Times New Roman"/>
          <w:i/>
          <w:iCs/>
          <w:sz w:val="24"/>
          <w:szCs w:val="24"/>
        </w:rPr>
        <w:t>Napríklad: presné znenie predzmluvnej informácie, ktorú musia obsahovať všeobecné obchodné podmienky.</w:t>
      </w:r>
      <w:r w:rsidRPr="001E47E5">
        <w:rPr>
          <w:rFonts w:ascii="Times New Roman" w:eastAsia="Times New Roman" w:hAnsi="Times New Roman" w:cs="Times New Roman"/>
          <w:sz w:val="24"/>
          <w:szCs w:val="24"/>
        </w:rPr>
        <w:t xml:space="preserve"> </w:t>
      </w:r>
      <w:r w:rsidRPr="001E47E5">
        <w:rPr>
          <w:rFonts w:ascii="Times New Roman" w:eastAsia="Times New Roman" w:hAnsi="Times New Roman" w:cs="Times New Roman"/>
          <w:iCs/>
          <w:sz w:val="24"/>
          <w:szCs w:val="24"/>
        </w:rPr>
        <w:t xml:space="preserve">V prípade identifikácie goldplatingu sa zaznačí jedna z možností goldplatingu GP a) až g) podľa </w:t>
      </w:r>
      <w:r w:rsidRPr="001E47E5">
        <w:rPr>
          <w:rFonts w:ascii="Times New Roman" w:eastAsia="Times New Roman" w:hAnsi="Times New Roman"/>
          <w:sz w:val="24"/>
        </w:rPr>
        <w:t>kategórie goldplatingu (upravenom v</w:t>
      </w:r>
      <w:r w:rsidR="00D114ED" w:rsidRPr="001E47E5">
        <w:rPr>
          <w:rFonts w:ascii="Times New Roman" w:eastAsia="Times New Roman" w:hAnsi="Times New Roman"/>
          <w:sz w:val="24"/>
        </w:rPr>
        <w:t> jednotnej metodike</w:t>
      </w:r>
      <w:r w:rsidRPr="001E47E5">
        <w:rPr>
          <w:rFonts w:ascii="Times New Roman" w:eastAsia="Times New Roman" w:hAnsi="Times New Roman"/>
          <w:sz w:val="24"/>
        </w:rPr>
        <w:t>), ku ktorému dochádza:</w:t>
      </w:r>
    </w:p>
    <w:p w14:paraId="707EA169" w14:textId="77777777" w:rsidR="00315BE2" w:rsidRPr="001E47E5"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1E47E5">
        <w:rPr>
          <w:rFonts w:ascii="Times New Roman" w:eastAsia="Times New Roman" w:hAnsi="Times New Roman" w:cs="Arial"/>
          <w:sz w:val="24"/>
          <w:szCs w:val="20"/>
        </w:rPr>
        <w:t>rozšírením rozsahu pôsobnosti smernice na subjekty nad rámec minimálnych požiadaviek smernice,</w:t>
      </w:r>
    </w:p>
    <w:p w14:paraId="45031AED" w14:textId="77777777" w:rsidR="00315BE2" w:rsidRPr="001E47E5"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1E47E5">
        <w:rPr>
          <w:rFonts w:ascii="Times New Roman" w:eastAsia="Times New Roman" w:hAnsi="Times New Roman" w:cs="Arial"/>
          <w:sz w:val="24"/>
          <w:szCs w:val="20"/>
        </w:rPr>
        <w:t xml:space="preserve">navýšením  požiadaviek nad rámec minimálnych požiadaviek smernice, </w:t>
      </w:r>
    </w:p>
    <w:p w14:paraId="232CD196" w14:textId="77777777" w:rsidR="00315BE2" w:rsidRPr="001E47E5"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1E47E5">
        <w:rPr>
          <w:rFonts w:ascii="Times New Roman" w:eastAsia="Times New Roman" w:hAnsi="Times New Roman" w:cs="Arial"/>
          <w:sz w:val="24"/>
          <w:szCs w:val="20"/>
        </w:rPr>
        <w:lastRenderedPageBreak/>
        <w:t xml:space="preserve">nevyužitím možnosti alebo výnimky, ktorá by udržala požiadavky smernice v minimálnej miere, </w:t>
      </w:r>
    </w:p>
    <w:p w14:paraId="09713905" w14:textId="77777777" w:rsidR="00315BE2" w:rsidRPr="001E47E5"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1E47E5">
        <w:rPr>
          <w:rFonts w:ascii="Times New Roman" w:eastAsia="Times New Roman" w:hAnsi="Times New Roman" w:cs="Arial"/>
          <w:sz w:val="24"/>
          <w:szCs w:val="20"/>
        </w:rPr>
        <w:t>uplatňovaním prísnejších sankcií a iných vymáhacích mechanizmov nad rámec minimálnych požiadaviek smernice,</w:t>
      </w:r>
    </w:p>
    <w:p w14:paraId="57A519E8" w14:textId="77777777" w:rsidR="00315BE2" w:rsidRPr="001E47E5"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1E47E5">
        <w:rPr>
          <w:rFonts w:ascii="Times New Roman" w:eastAsia="Times New Roman" w:hAnsi="Times New Roman" w:cs="Arial"/>
          <w:sz w:val="24"/>
          <w:szCs w:val="20"/>
        </w:rPr>
        <w:t>skoršou transpozíciou (pred termínom, ktorý stanovuje smernica),</w:t>
      </w:r>
    </w:p>
    <w:p w14:paraId="73DFAFBF" w14:textId="77777777" w:rsidR="00D3032C" w:rsidRPr="001E47E5" w:rsidRDefault="00D3032C" w:rsidP="00D3032C">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1E47E5">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54767635" w14:textId="77777777" w:rsidR="00315BE2" w:rsidRPr="001E47E5"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1E47E5">
        <w:rPr>
          <w:rFonts w:ascii="Times New Roman" w:eastAsia="Times New Roman" w:hAnsi="Times New Roman" w:cs="Arial"/>
          <w:sz w:val="24"/>
          <w:szCs w:val="20"/>
        </w:rPr>
        <w:t>iným spôsobom.</w:t>
      </w:r>
    </w:p>
    <w:p w14:paraId="5FA1B9F3" w14:textId="77777777" w:rsidR="00315BE2" w:rsidRPr="001E47E5" w:rsidRDefault="00315BE2" w:rsidP="00315BE2">
      <w:pPr>
        <w:spacing w:after="0" w:line="240" w:lineRule="auto"/>
        <w:jc w:val="both"/>
        <w:rPr>
          <w:rFonts w:ascii="Times New Roman" w:eastAsia="Times New Roman" w:hAnsi="Times New Roman" w:cs="Times New Roman"/>
          <w:b/>
          <w:i/>
          <w:iCs/>
          <w:sz w:val="24"/>
          <w:szCs w:val="24"/>
          <w:lang w:eastAsia="sk-SK"/>
        </w:rPr>
      </w:pPr>
    </w:p>
    <w:p w14:paraId="5A67924A" w14:textId="77777777" w:rsidR="00315BE2" w:rsidRPr="001E47E5" w:rsidRDefault="00315BE2" w:rsidP="00315BE2">
      <w:pPr>
        <w:spacing w:after="0" w:line="240" w:lineRule="auto"/>
        <w:jc w:val="both"/>
        <w:rPr>
          <w:rFonts w:ascii="Times New Roman" w:eastAsia="Times New Roman" w:hAnsi="Times New Roman" w:cs="Times New Roman"/>
          <w:sz w:val="24"/>
          <w:szCs w:val="24"/>
          <w:lang w:eastAsia="sk-SK"/>
        </w:rPr>
      </w:pPr>
    </w:p>
    <w:p w14:paraId="52641A1E" w14:textId="77777777" w:rsidR="00315BE2" w:rsidRPr="001E47E5" w:rsidRDefault="00315BE2" w:rsidP="00315BE2">
      <w:pPr>
        <w:spacing w:after="0" w:line="240" w:lineRule="auto"/>
        <w:jc w:val="both"/>
        <w:rPr>
          <w:rFonts w:ascii="Times New Roman" w:eastAsia="Times New Roman" w:hAnsi="Times New Roman" w:cs="Times New Roman"/>
          <w:i/>
          <w:sz w:val="24"/>
          <w:szCs w:val="24"/>
          <w:lang w:eastAsia="sk-SK"/>
        </w:rPr>
      </w:pPr>
      <w:r w:rsidRPr="001E47E5">
        <w:rPr>
          <w:rFonts w:ascii="Times New Roman" w:eastAsia="Times New Roman" w:hAnsi="Times New Roman" w:cs="Times New Roman"/>
          <w:b/>
          <w:sz w:val="24"/>
          <w:szCs w:val="24"/>
          <w:lang w:eastAsia="sk-SK"/>
        </w:rPr>
        <w:t xml:space="preserve">Účinnosť regulácie: </w:t>
      </w:r>
      <w:r w:rsidRPr="001E47E5">
        <w:rPr>
          <w:rFonts w:ascii="Times New Roman" w:eastAsia="Times New Roman" w:hAnsi="Times New Roman" w:cs="Times New Roman"/>
          <w:sz w:val="24"/>
          <w:szCs w:val="24"/>
          <w:lang w:eastAsia="sk-SK"/>
        </w:rPr>
        <w:t>predkladateľ uvedie dátum/dátumy účinnosti</w:t>
      </w:r>
      <w:r w:rsidR="00E30D85" w:rsidRPr="001E47E5">
        <w:rPr>
          <w:rFonts w:ascii="Times New Roman" w:eastAsia="Times New Roman" w:hAnsi="Times New Roman" w:cs="Times New Roman"/>
          <w:sz w:val="24"/>
          <w:szCs w:val="24"/>
          <w:lang w:eastAsia="sk-SK"/>
        </w:rPr>
        <w:t>,</w:t>
      </w:r>
      <w:r w:rsidRPr="001E47E5">
        <w:rPr>
          <w:rFonts w:ascii="Times New Roman" w:eastAsia="Times New Roman" w:hAnsi="Times New Roman" w:cs="Times New Roman"/>
          <w:sz w:val="24"/>
          <w:szCs w:val="24"/>
          <w:lang w:eastAsia="sk-SK"/>
        </w:rPr>
        <w:t xml:space="preserve"> resp. navrhovanej účinnosti regulácie (obzvlášť dôležité v prípade, ak právny predpis obsahuje ustanovenia s rôznymi dátumami účinnosti). </w:t>
      </w:r>
      <w:r w:rsidRPr="001E47E5">
        <w:rPr>
          <w:rFonts w:ascii="Times New Roman" w:eastAsia="Times New Roman" w:hAnsi="Times New Roman" w:cs="Times New Roman"/>
          <w:i/>
          <w:sz w:val="24"/>
          <w:szCs w:val="24"/>
          <w:lang w:eastAsia="sk-SK"/>
        </w:rPr>
        <w:t xml:space="preserve">Napríklad: </w:t>
      </w:r>
      <w:r w:rsidR="00E30D85" w:rsidRPr="001E47E5">
        <w:rPr>
          <w:rFonts w:ascii="Times New Roman" w:eastAsia="Times New Roman" w:hAnsi="Times New Roman" w:cs="Times New Roman"/>
          <w:i/>
          <w:sz w:val="24"/>
          <w:szCs w:val="24"/>
          <w:lang w:eastAsia="sk-SK"/>
        </w:rPr>
        <w:t>0</w:t>
      </w:r>
      <w:r w:rsidRPr="001E47E5">
        <w:rPr>
          <w:rFonts w:ascii="Times New Roman" w:eastAsia="Times New Roman" w:hAnsi="Times New Roman" w:cs="Times New Roman"/>
          <w:i/>
          <w:sz w:val="24"/>
          <w:szCs w:val="24"/>
          <w:lang w:eastAsia="sk-SK"/>
        </w:rPr>
        <w:t>1.</w:t>
      </w:r>
      <w:r w:rsidR="00E30D85" w:rsidRPr="001E47E5">
        <w:rPr>
          <w:rFonts w:ascii="Times New Roman" w:eastAsia="Times New Roman" w:hAnsi="Times New Roman" w:cs="Times New Roman"/>
          <w:i/>
          <w:sz w:val="24"/>
          <w:szCs w:val="24"/>
          <w:lang w:eastAsia="sk-SK"/>
        </w:rPr>
        <w:t xml:space="preserve"> 0</w:t>
      </w:r>
      <w:r w:rsidRPr="001E47E5">
        <w:rPr>
          <w:rFonts w:ascii="Times New Roman" w:eastAsia="Times New Roman" w:hAnsi="Times New Roman" w:cs="Times New Roman"/>
          <w:i/>
          <w:sz w:val="24"/>
          <w:szCs w:val="24"/>
          <w:lang w:eastAsia="sk-SK"/>
        </w:rPr>
        <w:t>7.</w:t>
      </w:r>
      <w:r w:rsidR="00E30D85" w:rsidRPr="001E47E5">
        <w:rPr>
          <w:rFonts w:ascii="Times New Roman" w:eastAsia="Times New Roman" w:hAnsi="Times New Roman" w:cs="Times New Roman"/>
          <w:i/>
          <w:sz w:val="24"/>
          <w:szCs w:val="24"/>
          <w:lang w:eastAsia="sk-SK"/>
        </w:rPr>
        <w:t xml:space="preserve"> </w:t>
      </w:r>
      <w:r w:rsidRPr="001E47E5">
        <w:rPr>
          <w:rFonts w:ascii="Times New Roman" w:eastAsia="Times New Roman" w:hAnsi="Times New Roman" w:cs="Times New Roman"/>
          <w:i/>
          <w:sz w:val="24"/>
          <w:szCs w:val="24"/>
          <w:lang w:eastAsia="sk-SK"/>
        </w:rPr>
        <w:t>2022.</w:t>
      </w:r>
    </w:p>
    <w:p w14:paraId="654AC6B0" w14:textId="77777777" w:rsidR="00315BE2" w:rsidRPr="001E47E5" w:rsidRDefault="00315BE2" w:rsidP="00315BE2">
      <w:pPr>
        <w:spacing w:after="0" w:line="240" w:lineRule="auto"/>
        <w:jc w:val="both"/>
        <w:rPr>
          <w:rFonts w:ascii="Times New Roman" w:eastAsia="Times New Roman" w:hAnsi="Times New Roman" w:cs="Times New Roman"/>
          <w:i/>
          <w:sz w:val="24"/>
          <w:szCs w:val="24"/>
          <w:lang w:eastAsia="sk-SK"/>
        </w:rPr>
      </w:pPr>
    </w:p>
    <w:p w14:paraId="00B54D52" w14:textId="77777777" w:rsidR="00315BE2" w:rsidRPr="001E47E5" w:rsidRDefault="00315BE2" w:rsidP="00315BE2">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 xml:space="preserve">Termín skoršej transpozície: </w:t>
      </w:r>
      <w:r w:rsidRPr="001E47E5">
        <w:rPr>
          <w:rFonts w:ascii="Times New Roman" w:eastAsia="Times New Roman" w:hAnsi="Times New Roman" w:cs="Times New Roman"/>
          <w:sz w:val="24"/>
          <w:szCs w:val="24"/>
          <w:lang w:eastAsia="sk-SK"/>
        </w:rPr>
        <w:t>predkladateľ uvedie počet mesiacov</w:t>
      </w:r>
      <w:r w:rsidR="00E30D85" w:rsidRPr="001E47E5">
        <w:rPr>
          <w:rFonts w:ascii="Times New Roman" w:eastAsia="Times New Roman" w:hAnsi="Times New Roman" w:cs="Times New Roman"/>
          <w:sz w:val="24"/>
          <w:szCs w:val="24"/>
          <w:lang w:eastAsia="sk-SK"/>
        </w:rPr>
        <w:t>,</w:t>
      </w:r>
      <w:r w:rsidRPr="001E47E5">
        <w:rPr>
          <w:rFonts w:ascii="Times New Roman" w:eastAsia="Times New Roman" w:hAnsi="Times New Roman" w:cs="Times New Roman"/>
          <w:sz w:val="24"/>
          <w:szCs w:val="24"/>
          <w:lang w:eastAsia="sk-SK"/>
        </w:rPr>
        <w:t xml:space="preserve"> o ktoré bude regulácia zavedená skôr ako požaduje EÚ. Napríklad ak EÚ požaduje zavedenie regulácie k </w:t>
      </w:r>
      <w:r w:rsidR="00E30D85" w:rsidRPr="001E47E5">
        <w:rPr>
          <w:rFonts w:ascii="Times New Roman" w:eastAsia="Times New Roman" w:hAnsi="Times New Roman" w:cs="Times New Roman"/>
          <w:sz w:val="24"/>
          <w:szCs w:val="24"/>
          <w:lang w:eastAsia="sk-SK"/>
        </w:rPr>
        <w:t>0</w:t>
      </w:r>
      <w:r w:rsidRPr="001E47E5">
        <w:rPr>
          <w:rFonts w:ascii="Times New Roman" w:eastAsia="Times New Roman" w:hAnsi="Times New Roman" w:cs="Times New Roman"/>
          <w:sz w:val="24"/>
          <w:szCs w:val="24"/>
          <w:lang w:eastAsia="sk-SK"/>
        </w:rPr>
        <w:t>1.</w:t>
      </w:r>
      <w:r w:rsidR="00E30D85" w:rsidRPr="001E47E5">
        <w:rPr>
          <w:rFonts w:ascii="Times New Roman" w:eastAsia="Times New Roman" w:hAnsi="Times New Roman" w:cs="Times New Roman"/>
          <w:sz w:val="24"/>
          <w:szCs w:val="24"/>
          <w:lang w:eastAsia="sk-SK"/>
        </w:rPr>
        <w:t> 0</w:t>
      </w:r>
      <w:r w:rsidRPr="001E47E5">
        <w:rPr>
          <w:rFonts w:ascii="Times New Roman" w:eastAsia="Times New Roman" w:hAnsi="Times New Roman" w:cs="Times New Roman"/>
          <w:sz w:val="24"/>
          <w:szCs w:val="24"/>
          <w:lang w:eastAsia="sk-SK"/>
        </w:rPr>
        <w:t>1.</w:t>
      </w:r>
      <w:r w:rsidR="00E30D85" w:rsidRPr="001E47E5">
        <w:rPr>
          <w:rFonts w:ascii="Times New Roman" w:eastAsia="Times New Roman" w:hAnsi="Times New Roman" w:cs="Times New Roman"/>
          <w:sz w:val="24"/>
          <w:szCs w:val="24"/>
          <w:lang w:eastAsia="sk-SK"/>
        </w:rPr>
        <w:t> </w:t>
      </w:r>
      <w:r w:rsidRPr="001E47E5">
        <w:rPr>
          <w:rFonts w:ascii="Times New Roman" w:eastAsia="Times New Roman" w:hAnsi="Times New Roman" w:cs="Times New Roman"/>
          <w:sz w:val="24"/>
          <w:szCs w:val="24"/>
          <w:lang w:eastAsia="sk-SK"/>
        </w:rPr>
        <w:t xml:space="preserve">2024 a predkladateľ navrhuje účinnosť od </w:t>
      </w:r>
      <w:r w:rsidR="00E30D85" w:rsidRPr="001E47E5">
        <w:rPr>
          <w:rFonts w:ascii="Times New Roman" w:eastAsia="Times New Roman" w:hAnsi="Times New Roman" w:cs="Times New Roman"/>
          <w:sz w:val="24"/>
          <w:szCs w:val="24"/>
          <w:lang w:eastAsia="sk-SK"/>
        </w:rPr>
        <w:t>0</w:t>
      </w:r>
      <w:r w:rsidRPr="001E47E5">
        <w:rPr>
          <w:rFonts w:ascii="Times New Roman" w:eastAsia="Times New Roman" w:hAnsi="Times New Roman" w:cs="Times New Roman"/>
          <w:sz w:val="24"/>
          <w:szCs w:val="24"/>
          <w:lang w:eastAsia="sk-SK"/>
        </w:rPr>
        <w:t>1.</w:t>
      </w:r>
      <w:r w:rsidR="00E30D85" w:rsidRPr="001E47E5">
        <w:rPr>
          <w:rFonts w:ascii="Times New Roman" w:eastAsia="Times New Roman" w:hAnsi="Times New Roman" w:cs="Times New Roman"/>
          <w:sz w:val="24"/>
          <w:szCs w:val="24"/>
          <w:lang w:eastAsia="sk-SK"/>
        </w:rPr>
        <w:t> 0</w:t>
      </w:r>
      <w:r w:rsidRPr="001E47E5">
        <w:rPr>
          <w:rFonts w:ascii="Times New Roman" w:eastAsia="Times New Roman" w:hAnsi="Times New Roman" w:cs="Times New Roman"/>
          <w:sz w:val="24"/>
          <w:szCs w:val="24"/>
          <w:lang w:eastAsia="sk-SK"/>
        </w:rPr>
        <w:t>7.</w:t>
      </w:r>
      <w:r w:rsidR="00E30D85" w:rsidRPr="001E47E5">
        <w:rPr>
          <w:rFonts w:ascii="Times New Roman" w:eastAsia="Times New Roman" w:hAnsi="Times New Roman" w:cs="Times New Roman"/>
          <w:sz w:val="24"/>
          <w:szCs w:val="24"/>
          <w:lang w:eastAsia="sk-SK"/>
        </w:rPr>
        <w:t> </w:t>
      </w:r>
      <w:r w:rsidRPr="001E47E5">
        <w:rPr>
          <w:rFonts w:ascii="Times New Roman" w:eastAsia="Times New Roman" w:hAnsi="Times New Roman" w:cs="Times New Roman"/>
          <w:sz w:val="24"/>
          <w:szCs w:val="24"/>
          <w:lang w:eastAsia="sk-SK"/>
        </w:rPr>
        <w:t xml:space="preserve">2023, uvedie číslo „6“, čo predstavuje 6 mesiacov. </w:t>
      </w:r>
    </w:p>
    <w:p w14:paraId="4663EE2C" w14:textId="77777777" w:rsidR="00315BE2" w:rsidRPr="001E47E5" w:rsidRDefault="00315BE2" w:rsidP="00315BE2">
      <w:pPr>
        <w:spacing w:after="0" w:line="240" w:lineRule="auto"/>
        <w:jc w:val="both"/>
        <w:rPr>
          <w:rFonts w:ascii="Times New Roman" w:eastAsia="Times New Roman" w:hAnsi="Times New Roman" w:cs="Times New Roman"/>
          <w:sz w:val="24"/>
          <w:szCs w:val="24"/>
          <w:lang w:eastAsia="sk-SK"/>
        </w:rPr>
      </w:pPr>
    </w:p>
    <w:p w14:paraId="02B4EE59" w14:textId="77777777" w:rsidR="00315BE2" w:rsidRPr="001E47E5" w:rsidRDefault="00315BE2" w:rsidP="00491853">
      <w:pPr>
        <w:jc w:val="both"/>
        <w:rPr>
          <w:rFonts w:ascii="Times New Roman" w:eastAsia="Times New Roman" w:hAnsi="Times New Roman" w:cs="Times New Roman"/>
          <w:i/>
          <w:iCs/>
          <w:sz w:val="24"/>
          <w:szCs w:val="24"/>
          <w:lang w:eastAsia="sk-SK"/>
        </w:rPr>
      </w:pPr>
      <w:r w:rsidRPr="001E47E5">
        <w:rPr>
          <w:rFonts w:ascii="Times New Roman" w:eastAsia="Times New Roman" w:hAnsi="Times New Roman" w:cs="Times New Roman"/>
          <w:b/>
          <w:sz w:val="24"/>
          <w:szCs w:val="24"/>
          <w:lang w:eastAsia="sk-SK"/>
        </w:rPr>
        <w:t>Kategória dotknutých subjektov:</w:t>
      </w:r>
      <w:r w:rsidRPr="001E47E5">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1E47E5">
        <w:rPr>
          <w:rFonts w:ascii="Times New Roman" w:eastAsia="Times New Roman" w:hAnsi="Times New Roman" w:cs="Times New Roman"/>
          <w:i/>
          <w:iCs/>
          <w:sz w:val="24"/>
          <w:szCs w:val="24"/>
          <w:lang w:eastAsia="sk-SK"/>
        </w:rPr>
        <w:t xml:space="preserve">Napríklad: ubytovacie zariadenia, autoškoly a pod. alebo všetky podniky. </w:t>
      </w:r>
      <w:r w:rsidRPr="001E47E5">
        <w:rPr>
          <w:rFonts w:ascii="Times New Roman" w:eastAsia="Calibri" w:hAnsi="Times New Roman" w:cs="Times New Roman"/>
          <w:sz w:val="24"/>
          <w:szCs w:val="24"/>
        </w:rPr>
        <w:t xml:space="preserve">V prípade, ak sa návrh týka celého podnikateľského prostredia, predkladateľ uvedie </w:t>
      </w:r>
      <w:r w:rsidR="00E30D85" w:rsidRPr="001E47E5">
        <w:rPr>
          <w:rFonts w:ascii="Times New Roman" w:eastAsia="Calibri" w:hAnsi="Times New Roman" w:cs="Times New Roman"/>
          <w:sz w:val="24"/>
          <w:szCs w:val="24"/>
        </w:rPr>
        <w:t>„</w:t>
      </w:r>
      <w:r w:rsidRPr="001E47E5">
        <w:rPr>
          <w:rFonts w:ascii="Times New Roman" w:eastAsia="Calibri" w:hAnsi="Times New Roman" w:cs="Times New Roman"/>
          <w:sz w:val="24"/>
          <w:szCs w:val="24"/>
        </w:rPr>
        <w:t>všetky kategórie</w:t>
      </w:r>
      <w:r w:rsidR="00E30D85" w:rsidRPr="001E47E5">
        <w:rPr>
          <w:rFonts w:ascii="Times New Roman" w:eastAsia="Calibri" w:hAnsi="Times New Roman" w:cs="Times New Roman"/>
          <w:sz w:val="24"/>
          <w:szCs w:val="24"/>
        </w:rPr>
        <w:t>“</w:t>
      </w:r>
      <w:r w:rsidRPr="001E47E5">
        <w:rPr>
          <w:rFonts w:ascii="Times New Roman" w:eastAsia="Calibri" w:hAnsi="Times New Roman" w:cs="Times New Roman"/>
          <w:sz w:val="24"/>
          <w:szCs w:val="24"/>
        </w:rPr>
        <w:t>.</w:t>
      </w:r>
      <w:r w:rsidRPr="001E47E5" w:rsidDel="007809B3">
        <w:rPr>
          <w:rFonts w:ascii="Times New Roman" w:eastAsia="Times New Roman" w:hAnsi="Times New Roman" w:cs="Times New Roman"/>
          <w:i/>
          <w:iCs/>
          <w:sz w:val="24"/>
          <w:szCs w:val="24"/>
          <w:lang w:eastAsia="sk-SK"/>
        </w:rPr>
        <w:t xml:space="preserve"> </w:t>
      </w:r>
    </w:p>
    <w:p w14:paraId="72287B89" w14:textId="327D821F" w:rsidR="00315BE2" w:rsidRPr="001E47E5" w:rsidRDefault="00315BE2" w:rsidP="00315BE2">
      <w:pPr>
        <w:spacing w:after="120" w:line="276" w:lineRule="auto"/>
        <w:jc w:val="both"/>
        <w:rPr>
          <w:rFonts w:ascii="Times New Roman" w:eastAsia="Calibri" w:hAnsi="Times New Roman" w:cs="Times New Roman"/>
          <w:sz w:val="24"/>
          <w:szCs w:val="24"/>
        </w:rPr>
      </w:pPr>
      <w:r w:rsidRPr="001E47E5">
        <w:rPr>
          <w:rFonts w:ascii="Times New Roman" w:eastAsia="Times New Roman" w:hAnsi="Times New Roman" w:cs="Times New Roman"/>
          <w:b/>
          <w:iCs/>
          <w:color w:val="000000"/>
          <w:sz w:val="24"/>
          <w:szCs w:val="24"/>
          <w:lang w:eastAsia="sk-SK"/>
        </w:rPr>
        <w:t>Počet subjektov v dotknutej kategórii:</w:t>
      </w:r>
      <w:r w:rsidRPr="001E47E5">
        <w:rPr>
          <w:rFonts w:ascii="Times New Roman" w:eastAsia="Times New Roman" w:hAnsi="Times New Roman" w:cs="Times New Roman"/>
          <w:iCs/>
          <w:color w:val="000000"/>
          <w:sz w:val="24"/>
          <w:szCs w:val="24"/>
          <w:lang w:eastAsia="sk-SK"/>
        </w:rPr>
        <w:t xml:space="preserve"> predkladateľ uvedie počet dotknutých subjektov v posudzova</w:t>
      </w:r>
      <w:r w:rsidRPr="001E47E5">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1E47E5">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r w:rsidR="00E30D85" w:rsidRPr="001E47E5">
        <w:rPr>
          <w:rFonts w:ascii="Times New Roman" w:eastAsia="Calibri" w:hAnsi="Times New Roman" w:cs="Times New Roman"/>
          <w:sz w:val="24"/>
          <w:szCs w:val="24"/>
        </w:rPr>
        <w:t xml:space="preserve"> </w:t>
      </w:r>
      <w:r w:rsidRPr="001E47E5">
        <w:rPr>
          <w:rFonts w:ascii="Times New Roman" w:eastAsia="Calibri" w:hAnsi="Times New Roman" w:cs="Times New Roman"/>
          <w:sz w:val="24"/>
          <w:szCs w:val="24"/>
        </w:rPr>
        <w:t>štatistík podľa SK NACE klasifikácie, iných štatistík alebo expertným odhadom.</w:t>
      </w:r>
      <w:r w:rsidRPr="001E47E5">
        <w:rPr>
          <w:rFonts w:ascii="Times New Roman" w:eastAsia="Times New Roman" w:hAnsi="Times New Roman" w:cs="Times New Roman"/>
          <w:color w:val="000000"/>
          <w:sz w:val="24"/>
          <w:szCs w:val="24"/>
          <w:lang w:eastAsia="sk-SK"/>
        </w:rPr>
        <w:t xml:space="preserve"> Ak sa týka všetkých kategórií, tak uvedie celkový počet dotknutých subjektov.</w:t>
      </w:r>
      <w:r w:rsidR="00047C70" w:rsidRPr="001E47E5">
        <w:rPr>
          <w:rFonts w:ascii="Times New Roman" w:eastAsia="Times New Roman" w:hAnsi="Times New Roman" w:cs="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1618213F" w14:textId="77777777" w:rsidR="00315BE2" w:rsidRPr="001E47E5" w:rsidRDefault="00315BE2" w:rsidP="00315BE2">
      <w:pPr>
        <w:spacing w:after="0" w:line="240" w:lineRule="auto"/>
        <w:jc w:val="both"/>
        <w:rPr>
          <w:rFonts w:ascii="Times New Roman" w:eastAsia="Times New Roman" w:hAnsi="Times New Roman" w:cs="Times New Roman"/>
          <w:sz w:val="24"/>
          <w:szCs w:val="24"/>
          <w:lang w:eastAsia="sk-SK"/>
        </w:rPr>
      </w:pPr>
    </w:p>
    <w:p w14:paraId="36C03CA3" w14:textId="77777777" w:rsidR="00315BE2" w:rsidRPr="001E47E5" w:rsidRDefault="00315BE2" w:rsidP="00315BE2">
      <w:pPr>
        <w:spacing w:after="0" w:line="240" w:lineRule="auto"/>
        <w:jc w:val="both"/>
        <w:rPr>
          <w:rFonts w:ascii="Times New Roman" w:eastAsia="Calibri" w:hAnsi="Times New Roman" w:cs="Times New Roman"/>
          <w:i/>
          <w:iCs/>
          <w:sz w:val="24"/>
          <w:szCs w:val="24"/>
          <w:lang w:eastAsia="sk-SK"/>
        </w:rPr>
      </w:pPr>
      <w:r w:rsidRPr="001E47E5">
        <w:rPr>
          <w:rFonts w:ascii="Times New Roman" w:eastAsia="Times New Roman" w:hAnsi="Times New Roman" w:cs="Times New Roman"/>
          <w:b/>
          <w:bCs/>
          <w:color w:val="000000"/>
          <w:sz w:val="24"/>
          <w:szCs w:val="24"/>
          <w:lang w:eastAsia="sk-SK"/>
        </w:rPr>
        <w:t xml:space="preserve">Vplyv na 1 podnikateľa v eurách: </w:t>
      </w:r>
      <w:r w:rsidRPr="001E47E5">
        <w:rPr>
          <w:rFonts w:ascii="Times New Roman" w:eastAsia="Calibri" w:hAnsi="Times New Roman" w:cs="Times New Roman"/>
          <w:sz w:val="24"/>
          <w:szCs w:val="24"/>
        </w:rPr>
        <w:t xml:space="preserve">vypočíta </w:t>
      </w:r>
      <w:r w:rsidRPr="001E47E5">
        <w:rPr>
          <w:rFonts w:ascii="Times New Roman" w:eastAsia="Calibri" w:hAnsi="Times New Roman" w:cs="Times New Roman"/>
          <w:i/>
          <w:sz w:val="24"/>
          <w:szCs w:val="24"/>
          <w:lang w:eastAsia="sk-SK"/>
        </w:rPr>
        <w:t>Kalkulačka nákladov</w:t>
      </w:r>
      <w:r w:rsidRPr="001E47E5">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1E47E5">
        <w:rPr>
          <w:rFonts w:ascii="Times New Roman" w:eastAsia="Calibri" w:hAnsi="Times New Roman" w:cs="Times New Roman"/>
          <w:i/>
          <w:iCs/>
          <w:sz w:val="24"/>
          <w:szCs w:val="24"/>
          <w:lang w:eastAsia="sk-SK"/>
        </w:rPr>
        <w:t>.</w:t>
      </w:r>
    </w:p>
    <w:p w14:paraId="07E30F63" w14:textId="77777777" w:rsidR="00315BE2" w:rsidRPr="001E47E5" w:rsidRDefault="00315BE2" w:rsidP="00315BE2">
      <w:pPr>
        <w:spacing w:after="0" w:line="240" w:lineRule="auto"/>
        <w:jc w:val="both"/>
        <w:rPr>
          <w:rFonts w:ascii="Times New Roman" w:eastAsia="Times New Roman" w:hAnsi="Times New Roman" w:cs="Times New Roman"/>
          <w:sz w:val="24"/>
          <w:szCs w:val="24"/>
          <w:lang w:eastAsia="sk-SK"/>
        </w:rPr>
      </w:pPr>
      <w:r w:rsidRPr="001E47E5">
        <w:rPr>
          <w:rFonts w:ascii="Times New Roman" w:eastAsia="Calibri" w:hAnsi="Times New Roman" w:cs="Times New Roman"/>
          <w:i/>
          <w:iCs/>
          <w:sz w:val="24"/>
          <w:szCs w:val="24"/>
          <w:lang w:eastAsia="sk-SK"/>
        </w:rPr>
        <w:t xml:space="preserve"> </w:t>
      </w:r>
    </w:p>
    <w:p w14:paraId="2CD1F819" w14:textId="77777777" w:rsidR="00315BE2" w:rsidRPr="001E47E5" w:rsidRDefault="00315BE2" w:rsidP="00315BE2">
      <w:pPr>
        <w:spacing w:after="120" w:line="276" w:lineRule="auto"/>
        <w:jc w:val="both"/>
        <w:rPr>
          <w:rFonts w:ascii="Times New Roman" w:eastAsia="Calibri" w:hAnsi="Times New Roman" w:cs="Times New Roman"/>
          <w:sz w:val="24"/>
          <w:szCs w:val="24"/>
        </w:rPr>
      </w:pPr>
      <w:r w:rsidRPr="001E47E5">
        <w:rPr>
          <w:rFonts w:ascii="Times New Roman" w:eastAsia="Times New Roman" w:hAnsi="Times New Roman" w:cs="Times New Roman"/>
          <w:b/>
          <w:color w:val="000000"/>
          <w:sz w:val="24"/>
          <w:szCs w:val="24"/>
        </w:rPr>
        <w:t>Vplyv na kategóriu subjektov v eurách:</w:t>
      </w:r>
      <w:r w:rsidRPr="001E47E5">
        <w:rPr>
          <w:rFonts w:ascii="Times New Roman" w:eastAsia="Times New Roman" w:hAnsi="Times New Roman" w:cs="Times New Roman"/>
          <w:color w:val="000000"/>
          <w:sz w:val="24"/>
          <w:szCs w:val="24"/>
        </w:rPr>
        <w:t xml:space="preserve"> vypočíta </w:t>
      </w:r>
      <w:r w:rsidRPr="001E47E5">
        <w:rPr>
          <w:rFonts w:ascii="Times New Roman" w:eastAsia="Times New Roman" w:hAnsi="Times New Roman" w:cs="Times New Roman"/>
          <w:i/>
          <w:color w:val="000000"/>
          <w:sz w:val="24"/>
          <w:szCs w:val="24"/>
          <w:lang w:eastAsia="sk-SK"/>
        </w:rPr>
        <w:t>Kalkulačka nákladov</w:t>
      </w:r>
      <w:r w:rsidRPr="001E47E5">
        <w:rPr>
          <w:rFonts w:ascii="Arial" w:eastAsia="Times New Roman" w:hAnsi="Arial" w:cs="Times New Roman"/>
          <w:color w:val="000000"/>
          <w:sz w:val="24"/>
          <w:szCs w:val="24"/>
        </w:rPr>
        <w:t xml:space="preserve"> </w:t>
      </w:r>
      <w:r w:rsidRPr="001E47E5">
        <w:rPr>
          <w:rFonts w:ascii="Times New Roman" w:eastAsia="Times New Roman" w:hAnsi="Times New Roman" w:cs="Times New Roman"/>
          <w:color w:val="000000"/>
          <w:sz w:val="24"/>
          <w:szCs w:val="24"/>
          <w:lang w:eastAsia="sk-SK"/>
        </w:rPr>
        <w:t>na základe údajov v predchádzajúcich stĺpcoch. Podrobnosti sú uvedené v ďalšej časti</w:t>
      </w:r>
      <w:r w:rsidR="007A0C9D" w:rsidRPr="001E47E5">
        <w:rPr>
          <w:rFonts w:ascii="Times New Roman" w:eastAsia="Times New Roman" w:hAnsi="Times New Roman" w:cs="Times New Roman"/>
          <w:color w:val="000000"/>
          <w:sz w:val="24"/>
          <w:szCs w:val="24"/>
          <w:lang w:eastAsia="sk-SK"/>
        </w:rPr>
        <w:t xml:space="preserve"> tohto</w:t>
      </w:r>
      <w:r w:rsidRPr="001E47E5">
        <w:rPr>
          <w:rFonts w:ascii="Times New Roman" w:eastAsia="Times New Roman" w:hAnsi="Times New Roman" w:cs="Times New Roman"/>
          <w:color w:val="000000"/>
          <w:sz w:val="24"/>
          <w:szCs w:val="24"/>
          <w:lang w:eastAsia="sk-SK"/>
        </w:rPr>
        <w:t xml:space="preserve"> Metodického postupu</w:t>
      </w:r>
      <w:r w:rsidRPr="001E47E5">
        <w:rPr>
          <w:rFonts w:ascii="Times New Roman" w:eastAsia="Times New Roman" w:hAnsi="Times New Roman" w:cs="Times New Roman"/>
          <w:i/>
          <w:iCs/>
          <w:color w:val="000000"/>
          <w:sz w:val="24"/>
          <w:szCs w:val="24"/>
          <w:lang w:eastAsia="sk-SK"/>
        </w:rPr>
        <w:t xml:space="preserve">. </w:t>
      </w:r>
    </w:p>
    <w:p w14:paraId="0E27943A" w14:textId="77777777" w:rsidR="00315BE2" w:rsidRPr="001E47E5" w:rsidRDefault="00315BE2" w:rsidP="00315BE2">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bCs/>
          <w:color w:val="000000"/>
          <w:sz w:val="24"/>
          <w:szCs w:val="24"/>
          <w:lang w:eastAsia="sk-SK"/>
        </w:rPr>
        <w:t xml:space="preserve">Druh vplyvu IN </w:t>
      </w:r>
      <w:r w:rsidRPr="001E47E5">
        <w:rPr>
          <w:rFonts w:ascii="Times New Roman" w:eastAsia="Times New Roman" w:hAnsi="Times New Roman" w:cs="Times New Roman"/>
          <w:color w:val="000000"/>
          <w:sz w:val="24"/>
          <w:szCs w:val="24"/>
          <w:lang w:eastAsia="sk-SK"/>
        </w:rPr>
        <w:t xml:space="preserve">(zvyšuje náklady) / </w:t>
      </w:r>
      <w:r w:rsidRPr="001E47E5">
        <w:rPr>
          <w:rFonts w:ascii="Times New Roman" w:eastAsia="Times New Roman" w:hAnsi="Times New Roman" w:cs="Times New Roman"/>
          <w:b/>
          <w:bCs/>
          <w:color w:val="000000"/>
          <w:sz w:val="24"/>
          <w:szCs w:val="24"/>
          <w:lang w:eastAsia="sk-SK"/>
        </w:rPr>
        <w:t xml:space="preserve">OUT </w:t>
      </w:r>
      <w:r w:rsidRPr="001E47E5">
        <w:rPr>
          <w:rFonts w:ascii="Times New Roman" w:eastAsia="Times New Roman" w:hAnsi="Times New Roman" w:cs="Times New Roman"/>
          <w:color w:val="000000"/>
          <w:sz w:val="24"/>
          <w:szCs w:val="24"/>
          <w:lang w:eastAsia="sk-SK"/>
        </w:rPr>
        <w:t xml:space="preserve">(znižuje náklady) / </w:t>
      </w:r>
      <w:r w:rsidRPr="001E47E5">
        <w:rPr>
          <w:rFonts w:ascii="Times New Roman" w:eastAsia="Times New Roman" w:hAnsi="Times New Roman" w:cs="Times New Roman"/>
          <w:b/>
          <w:color w:val="000000"/>
          <w:sz w:val="24"/>
          <w:szCs w:val="24"/>
          <w:lang w:eastAsia="sk-SK"/>
        </w:rPr>
        <w:t>nemení sa</w:t>
      </w:r>
      <w:r w:rsidRPr="001E47E5">
        <w:rPr>
          <w:rFonts w:ascii="Times New Roman" w:eastAsia="Times New Roman" w:hAnsi="Times New Roman" w:cs="Times New Roman"/>
          <w:color w:val="000000"/>
          <w:sz w:val="24"/>
          <w:szCs w:val="24"/>
          <w:lang w:eastAsia="sk-SK"/>
        </w:rPr>
        <w:t>:</w:t>
      </w:r>
      <w:r w:rsidRPr="001E47E5">
        <w:rPr>
          <w:rFonts w:ascii="Times New Roman" w:eastAsia="Times New Roman" w:hAnsi="Times New Roman" w:cs="Times New Roman"/>
          <w:b/>
          <w:bCs/>
          <w:color w:val="000000"/>
          <w:sz w:val="24"/>
          <w:szCs w:val="24"/>
          <w:lang w:eastAsia="sk-SK"/>
        </w:rPr>
        <w:t xml:space="preserve"> </w:t>
      </w:r>
      <w:r w:rsidRPr="001E47E5">
        <w:rPr>
          <w:rFonts w:ascii="Times New Roman" w:eastAsia="Times New Roman" w:hAnsi="Times New Roman" w:cs="Times New Roman"/>
          <w:sz w:val="24"/>
          <w:szCs w:val="24"/>
          <w:lang w:eastAsia="sk-SK"/>
        </w:rPr>
        <w:t xml:space="preserve">vyberie sa druh vplyvu. </w:t>
      </w:r>
      <w:r w:rsidRPr="001E47E5">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 náklady podnikateľom.</w:t>
      </w:r>
      <w:r w:rsidRPr="001E47E5">
        <w:rPr>
          <w:rFonts w:ascii="Times New Roman" w:eastAsia="Times New Roman" w:hAnsi="Times New Roman" w:cs="Times New Roman"/>
          <w:sz w:val="24"/>
          <w:szCs w:val="24"/>
          <w:lang w:eastAsia="sk-SK"/>
        </w:rPr>
        <w:t xml:space="preserve"> Možnosť „nemení sa“ sa vyberie v prípade, ak ide </w:t>
      </w:r>
      <w:r w:rsidR="00E30D85" w:rsidRPr="001E47E5">
        <w:rPr>
          <w:rFonts w:ascii="Times New Roman" w:eastAsia="Times New Roman" w:hAnsi="Times New Roman" w:cs="Times New Roman"/>
          <w:sz w:val="24"/>
          <w:szCs w:val="24"/>
          <w:lang w:eastAsia="sk-SK"/>
        </w:rPr>
        <w:t>o </w:t>
      </w:r>
      <w:r w:rsidRPr="001E47E5">
        <w:rPr>
          <w:rFonts w:ascii="Times New Roman" w:eastAsia="Times New Roman" w:hAnsi="Times New Roman" w:cs="Times New Roman"/>
          <w:sz w:val="24"/>
          <w:szCs w:val="24"/>
          <w:lang w:eastAsia="sk-SK"/>
        </w:rPr>
        <w:t xml:space="preserve">náklady goldplatingu, ktoré patria do súhrnných nákladov goldplatingu (v tabuľke 1), ale </w:t>
      </w:r>
      <w:r w:rsidRPr="001E47E5">
        <w:rPr>
          <w:rFonts w:ascii="Times New Roman" w:eastAsia="Times New Roman" w:hAnsi="Times New Roman" w:cs="Times New Roman"/>
          <w:sz w:val="24"/>
          <w:szCs w:val="24"/>
          <w:lang w:eastAsia="sk-SK"/>
        </w:rPr>
        <w:lastRenderedPageBreak/>
        <w:t xml:space="preserve">nepatria do súhrnných nákladov predkladaného návrhu (podrobnejšie vo vysvetlivkách ku Kalkulačke nákladov). Ide spravidla o goldplating - </w:t>
      </w:r>
      <w:r w:rsidRPr="001E47E5">
        <w:rPr>
          <w:rFonts w:ascii="Times New Roman" w:eastAsia="Times New Roman" w:hAnsi="Times New Roman" w:cs="Times New Roman"/>
          <w:iCs/>
          <w:sz w:val="24"/>
          <w:szCs w:val="24"/>
        </w:rPr>
        <w:t>GP f)</w:t>
      </w:r>
      <w:r w:rsidRPr="001E47E5">
        <w:rPr>
          <w:rFonts w:ascii="Times New Roman" w:eastAsia="Times New Roman" w:hAnsi="Times New Roman" w:cs="Times New Roman"/>
          <w:sz w:val="24"/>
          <w:szCs w:val="24"/>
          <w:lang w:eastAsia="sk-SK"/>
        </w:rPr>
        <w:t xml:space="preserve"> – zachovanie existujúcej právnej úpravy/existujúcich vnútroštátnych požiadaviek.</w:t>
      </w:r>
    </w:p>
    <w:p w14:paraId="1F6E30F1" w14:textId="77777777" w:rsidR="00315BE2" w:rsidRPr="001E47E5" w:rsidRDefault="00315BE2" w:rsidP="00315BE2">
      <w:pPr>
        <w:jc w:val="both"/>
        <w:rPr>
          <w:rFonts w:ascii="Times New Roman" w:eastAsia="Calibri" w:hAnsi="Times New Roman" w:cs="Times New Roman"/>
          <w:bCs/>
          <w:sz w:val="24"/>
          <w:szCs w:val="24"/>
        </w:rPr>
      </w:pPr>
    </w:p>
    <w:p w14:paraId="6158460C" w14:textId="77777777" w:rsidR="00E30D85" w:rsidRPr="001E47E5" w:rsidRDefault="00E30D85" w:rsidP="00315BE2">
      <w:pPr>
        <w:jc w:val="both"/>
        <w:rPr>
          <w:rFonts w:ascii="Times New Roman" w:eastAsia="Calibri" w:hAnsi="Times New Roman" w:cs="Times New Roman"/>
          <w:bCs/>
          <w:sz w:val="24"/>
          <w:szCs w:val="24"/>
        </w:rPr>
      </w:pPr>
    </w:p>
    <w:p w14:paraId="1284128E" w14:textId="77777777" w:rsidR="00315BE2" w:rsidRPr="001E47E5" w:rsidRDefault="00315BE2" w:rsidP="00315BE2">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Metodika kvantifikácie vplyvov jednotlivých regulácií:</w:t>
      </w:r>
    </w:p>
    <w:p w14:paraId="6FC87D0B" w14:textId="77777777" w:rsidR="00315BE2" w:rsidRPr="001E47E5" w:rsidRDefault="00315BE2" w:rsidP="00315BE2">
      <w:pPr>
        <w:numPr>
          <w:ilvl w:val="0"/>
          <w:numId w:val="4"/>
        </w:numPr>
        <w:contextualSpacing/>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Rozdelenie materiálu na jednotlivé regulácie, ktoré menia náklady jednotlivých kategórií podnikateľských subjektov</w:t>
      </w:r>
    </w:p>
    <w:p w14:paraId="7971F652" w14:textId="77777777" w:rsidR="00315BE2" w:rsidRPr="001E47E5" w:rsidRDefault="00315BE2" w:rsidP="00315BE2">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4039436" w14:textId="77777777" w:rsidR="00315BE2" w:rsidRPr="001E47E5" w:rsidRDefault="00315BE2" w:rsidP="00315BE2">
      <w:pPr>
        <w:jc w:val="both"/>
        <w:rPr>
          <w:rFonts w:ascii="Times New Roman" w:eastAsia="Calibri" w:hAnsi="Times New Roman" w:cs="Times New Roman"/>
          <w:bCs/>
          <w:i/>
          <w:iCs/>
          <w:sz w:val="24"/>
          <w:szCs w:val="24"/>
        </w:rPr>
      </w:pPr>
      <w:r w:rsidRPr="001E47E5">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3859AF2A" w14:textId="77777777" w:rsidR="00315BE2" w:rsidRPr="001E47E5" w:rsidRDefault="00315BE2" w:rsidP="00315BE2">
      <w:pPr>
        <w:jc w:val="both"/>
        <w:rPr>
          <w:rFonts w:ascii="Times New Roman" w:eastAsia="Calibri" w:hAnsi="Times New Roman" w:cs="Times New Roman"/>
          <w:bCs/>
          <w:iCs/>
          <w:sz w:val="24"/>
          <w:szCs w:val="24"/>
        </w:rPr>
      </w:pPr>
      <w:r w:rsidRPr="001E47E5">
        <w:rPr>
          <w:rFonts w:ascii="Times New Roman" w:eastAsia="Calibri" w:hAnsi="Times New Roman" w:cs="Times New Roman"/>
          <w:bCs/>
          <w:iCs/>
          <w:sz w:val="24"/>
          <w:szCs w:val="24"/>
        </w:rPr>
        <w:t>Následne je potrebné určiť, na ktoré kategórie dotknutých podnikateľských subjektov sa jednotlivé regulácie vzťahujú.</w:t>
      </w:r>
    </w:p>
    <w:p w14:paraId="63A1A60A" w14:textId="77777777" w:rsidR="00315BE2" w:rsidRPr="001E47E5" w:rsidRDefault="00315BE2" w:rsidP="00315BE2">
      <w:pPr>
        <w:jc w:val="both"/>
        <w:rPr>
          <w:rFonts w:ascii="Times New Roman" w:eastAsia="Calibri" w:hAnsi="Times New Roman" w:cs="Times New Roman"/>
          <w:bCs/>
          <w:i/>
          <w:iCs/>
          <w:sz w:val="24"/>
          <w:szCs w:val="24"/>
        </w:rPr>
      </w:pPr>
      <w:r w:rsidRPr="001E47E5">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4B6BA7EC" w14:textId="77777777" w:rsidR="00DD1E4C" w:rsidRPr="001E47E5" w:rsidRDefault="00DD1E4C" w:rsidP="00315BE2">
      <w:pPr>
        <w:jc w:val="both"/>
        <w:rPr>
          <w:rFonts w:ascii="Times New Roman" w:eastAsia="Calibri" w:hAnsi="Times New Roman" w:cs="Times New Roman"/>
          <w:bCs/>
          <w:iCs/>
          <w:sz w:val="24"/>
          <w:szCs w:val="24"/>
        </w:rPr>
      </w:pPr>
      <w:r w:rsidRPr="001E47E5">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14:paraId="7C15DDD9" w14:textId="77777777" w:rsidR="00315BE2" w:rsidRPr="001E47E5" w:rsidRDefault="00315BE2" w:rsidP="00315BE2">
      <w:pPr>
        <w:numPr>
          <w:ilvl w:val="0"/>
          <w:numId w:val="4"/>
        </w:numPr>
        <w:contextualSpacing/>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Identifikovanie typov nákladov, ktoré mení regulácia</w:t>
      </w:r>
    </w:p>
    <w:p w14:paraId="6DECDB38" w14:textId="6CEDA30B" w:rsidR="00315BE2" w:rsidRPr="001E47E5" w:rsidRDefault="00315BE2" w:rsidP="00315BE2">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Niektoré regulácie menia len jeden typ nákladov, iné viacero. Dôležité je preto zmenu regulácie rozložiť na menšie nákladové položky podľa typov nákladov (Priame finančné náklady – osobitne dane, odvody, clá, poplatky, ktorých cieľom je znižovať negatívne externality</w:t>
      </w:r>
      <w:r w:rsidRPr="001E47E5" w:rsidDel="00A1736E">
        <w:rPr>
          <w:rFonts w:ascii="Times New Roman" w:eastAsia="Calibri" w:hAnsi="Times New Roman" w:cs="Times New Roman"/>
          <w:bCs/>
          <w:sz w:val="24"/>
          <w:szCs w:val="24"/>
        </w:rPr>
        <w:t xml:space="preserve"> </w:t>
      </w:r>
      <w:r w:rsidRPr="001E47E5">
        <w:rPr>
          <w:rFonts w:ascii="Times New Roman" w:eastAsia="Calibri" w:hAnsi="Times New Roman" w:cs="Times New Roman"/>
          <w:bCs/>
          <w:sz w:val="24"/>
          <w:szCs w:val="24"/>
        </w:rPr>
        <w:t>(A) a osobitne Iné poplatky</w:t>
      </w:r>
      <w:r w:rsidR="00F378F4" w:rsidRPr="001E47E5">
        <w:rPr>
          <w:rFonts w:ascii="Times New Roman" w:eastAsia="Calibri" w:hAnsi="Times New Roman" w:cs="Times New Roman"/>
          <w:bCs/>
          <w:sz w:val="24"/>
          <w:szCs w:val="24"/>
        </w:rPr>
        <w:t xml:space="preserve"> </w:t>
      </w:r>
      <w:r w:rsidRPr="001E47E5">
        <w:rPr>
          <w:rFonts w:ascii="Times New Roman" w:eastAsia="Calibri" w:hAnsi="Times New Roman" w:cs="Times New Roman"/>
          <w:bCs/>
          <w:sz w:val="24"/>
          <w:szCs w:val="24"/>
        </w:rPr>
        <w:t xml:space="preserve">(B), </w:t>
      </w:r>
      <w:r w:rsidR="00024EE4" w:rsidRPr="001E47E5">
        <w:rPr>
          <w:rFonts w:ascii="Times New Roman" w:eastAsia="Calibri" w:hAnsi="Times New Roman" w:cs="Times New Roman"/>
          <w:bCs/>
          <w:sz w:val="24"/>
          <w:szCs w:val="24"/>
        </w:rPr>
        <w:t>Sankcie a pokuty</w:t>
      </w:r>
      <w:r w:rsidRPr="001E47E5">
        <w:rPr>
          <w:rFonts w:ascii="Times New Roman" w:eastAsia="Calibri" w:hAnsi="Times New Roman" w:cs="Times New Roman"/>
          <w:bCs/>
          <w:sz w:val="24"/>
          <w:szCs w:val="24"/>
        </w:rPr>
        <w:t xml:space="preserve"> (C), </w:t>
      </w:r>
      <w:r w:rsidR="00024EE4" w:rsidRPr="001E47E5">
        <w:rPr>
          <w:rFonts w:ascii="Times New Roman" w:eastAsia="Calibri" w:hAnsi="Times New Roman" w:cs="Times New Roman"/>
          <w:bCs/>
          <w:sz w:val="24"/>
          <w:szCs w:val="24"/>
        </w:rPr>
        <w:t>Nepriame finančné náklady</w:t>
      </w:r>
      <w:r w:rsidR="00F378F4" w:rsidRPr="001E47E5">
        <w:rPr>
          <w:rFonts w:ascii="Times New Roman" w:eastAsia="Calibri" w:hAnsi="Times New Roman" w:cs="Times New Roman"/>
          <w:bCs/>
          <w:sz w:val="24"/>
          <w:szCs w:val="24"/>
        </w:rPr>
        <w:t xml:space="preserve"> (D), </w:t>
      </w:r>
      <w:r w:rsidRPr="001E47E5">
        <w:rPr>
          <w:rFonts w:ascii="Times New Roman" w:eastAsia="Calibri" w:hAnsi="Times New Roman" w:cs="Times New Roman"/>
          <w:bCs/>
          <w:sz w:val="24"/>
          <w:szCs w:val="24"/>
        </w:rPr>
        <w:t>Administratívne náklady (</w:t>
      </w:r>
      <w:r w:rsidR="00F378F4" w:rsidRPr="001E47E5">
        <w:rPr>
          <w:rFonts w:ascii="Times New Roman" w:eastAsia="Calibri" w:hAnsi="Times New Roman" w:cs="Times New Roman"/>
          <w:bCs/>
          <w:sz w:val="24"/>
          <w:szCs w:val="24"/>
        </w:rPr>
        <w:t>E</w:t>
      </w:r>
      <w:r w:rsidRPr="001E47E5">
        <w:rPr>
          <w:rFonts w:ascii="Times New Roman" w:eastAsia="Calibri" w:hAnsi="Times New Roman" w:cs="Times New Roman"/>
          <w:bCs/>
          <w:sz w:val="24"/>
          <w:szCs w:val="24"/>
        </w:rPr>
        <w:t>).</w:t>
      </w:r>
    </w:p>
    <w:p w14:paraId="32A2EA42" w14:textId="77777777" w:rsidR="00315BE2" w:rsidRPr="001E47E5" w:rsidRDefault="00315BE2" w:rsidP="00315BE2">
      <w:pPr>
        <w:jc w:val="both"/>
        <w:rPr>
          <w:rFonts w:ascii="Times New Roman" w:eastAsia="Calibri" w:hAnsi="Times New Roman" w:cs="Times New Roman"/>
          <w:bCs/>
          <w:i/>
          <w:iCs/>
          <w:sz w:val="24"/>
          <w:szCs w:val="24"/>
        </w:rPr>
      </w:pPr>
      <w:r w:rsidRPr="001E47E5">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F01A3A5" w14:textId="77777777" w:rsidR="0039334E" w:rsidRPr="001E47E5" w:rsidRDefault="0039334E" w:rsidP="0039334E">
      <w:pPr>
        <w:spacing w:after="0" w:line="240" w:lineRule="auto"/>
        <w:jc w:val="both"/>
        <w:rPr>
          <w:rFonts w:ascii="Times New Roman" w:eastAsia="Times New Roman" w:hAnsi="Times New Roman" w:cs="Times New Roman"/>
          <w:iCs/>
          <w:sz w:val="24"/>
          <w:szCs w:val="24"/>
          <w:lang w:eastAsia="sk-SK"/>
        </w:rPr>
      </w:pPr>
      <w:r w:rsidRPr="001E47E5">
        <w:rPr>
          <w:rFonts w:ascii="Times New Roman" w:eastAsia="Times New Roman" w:hAnsi="Times New Roman" w:cs="Times New Roman"/>
          <w:b/>
          <w:iCs/>
          <w:sz w:val="24"/>
          <w:szCs w:val="24"/>
          <w:lang w:eastAsia="sk-SK"/>
        </w:rPr>
        <w:t>Priame finančné náklady</w:t>
      </w:r>
      <w:r w:rsidRPr="001E47E5">
        <w:rPr>
          <w:rFonts w:ascii="Times New Roman" w:eastAsia="Times New Roman" w:hAnsi="Times New Roman" w:cs="Times New Roman"/>
          <w:iCs/>
          <w:sz w:val="24"/>
          <w:szCs w:val="24"/>
          <w:lang w:eastAsia="sk-SK"/>
        </w:rPr>
        <w:t xml:space="preserve"> sa rozdeľujú na A a B z dôvodu, že na zmeny v regulácii výšky daní, odvodov, ciel a poplatkov, ktorých cieľom je znižovať negatívne externality sa neuplatňuje mechanizmus znižovania byrokracie a nákladov. Na iné poplatky sa pravidlo uplatňuje, preto sú uvedené osobitne. </w:t>
      </w:r>
    </w:p>
    <w:p w14:paraId="6CEFB739" w14:textId="77777777" w:rsidR="0039334E" w:rsidRPr="001E47E5" w:rsidRDefault="0039334E" w:rsidP="0039334E">
      <w:pPr>
        <w:spacing w:after="0" w:line="240" w:lineRule="auto"/>
        <w:jc w:val="both"/>
        <w:rPr>
          <w:rFonts w:ascii="Times New Roman" w:eastAsia="Times New Roman" w:hAnsi="Times New Roman" w:cs="Times New Roman"/>
          <w:sz w:val="24"/>
          <w:szCs w:val="24"/>
          <w:lang w:eastAsia="sk-SK"/>
        </w:rPr>
      </w:pPr>
    </w:p>
    <w:p w14:paraId="4354EE15" w14:textId="77777777" w:rsidR="0039334E" w:rsidRPr="001E47E5" w:rsidRDefault="0039334E" w:rsidP="0039334E">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A</w:t>
      </w:r>
      <w:r w:rsidRPr="001E47E5">
        <w:rPr>
          <w:rFonts w:ascii="Times New Roman" w:eastAsia="Times New Roman" w:hAnsi="Times New Roman" w:cs="Times New Roman"/>
          <w:sz w:val="24"/>
          <w:szCs w:val="24"/>
          <w:lang w:eastAsia="sk-SK"/>
        </w:rPr>
        <w:t xml:space="preserve">: </w:t>
      </w:r>
      <w:r w:rsidRPr="001E47E5">
        <w:rPr>
          <w:rFonts w:ascii="Times New Roman" w:eastAsia="Times New Roman" w:hAnsi="Times New Roman" w:cs="Times New Roman"/>
          <w:b/>
          <w:sz w:val="24"/>
          <w:szCs w:val="24"/>
          <w:lang w:eastAsia="sk-SK"/>
        </w:rPr>
        <w:t>Dane, odvody, clá a poplatky, ktorých cieľom je znižovať negatívne externality</w:t>
      </w:r>
      <w:r w:rsidRPr="001E47E5">
        <w:rPr>
          <w:rFonts w:ascii="Times New Roman" w:eastAsia="Calibri" w:hAnsi="Times New Roman" w:cs="Times New Roman"/>
          <w:color w:val="000000"/>
          <w:sz w:val="24"/>
          <w:szCs w:val="24"/>
        </w:rPr>
        <w:t xml:space="preserve"> (patria medzi priame finančné náklady)</w:t>
      </w:r>
      <w:r w:rsidRPr="001E47E5">
        <w:rPr>
          <w:rFonts w:ascii="Times New Roman" w:eastAsia="Times New Roman" w:hAnsi="Times New Roman" w:cs="Times New Roman"/>
          <w:sz w:val="24"/>
          <w:szCs w:val="24"/>
          <w:lang w:eastAsia="sk-SK"/>
        </w:rPr>
        <w:t>: vypĺňa sa, ak ustanovenia právneho predpisu zakladajú, rušia či menia ich výšku. Pod negatívnymi externalitami sa myslí prenos nákladov produkcie či spotreby na iné subjekty, napríklad poškodenia, zníženia hodnoty, znehodnotenia či znečistenia. Medzi takéto poplatky patria napríklad tie, ktorých cieľom je znižovať emisie skleníkových plynov, emisie iných znečisťujúcich látok alebo chrániť obmedzené prírodné zdroje.</w:t>
      </w:r>
    </w:p>
    <w:p w14:paraId="2C3E7685" w14:textId="77777777" w:rsidR="0039334E" w:rsidRPr="001E47E5" w:rsidRDefault="0039334E" w:rsidP="0039334E">
      <w:pPr>
        <w:spacing w:after="0" w:line="240" w:lineRule="auto"/>
        <w:jc w:val="both"/>
        <w:rPr>
          <w:rFonts w:ascii="Times New Roman" w:eastAsia="Times New Roman" w:hAnsi="Times New Roman" w:cs="Times New Roman"/>
          <w:sz w:val="24"/>
          <w:szCs w:val="24"/>
          <w:lang w:eastAsia="sk-SK"/>
        </w:rPr>
      </w:pPr>
    </w:p>
    <w:p w14:paraId="73558C74" w14:textId="794B9802" w:rsidR="0039334E" w:rsidRPr="001E47E5" w:rsidRDefault="0039334E" w:rsidP="0039334E">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sz w:val="24"/>
          <w:szCs w:val="24"/>
          <w:lang w:eastAsia="sk-SK"/>
        </w:rPr>
        <w:t>Použite najmä údaje z analýzy vplyvov na rozpočet verejnej správy (</w:t>
      </w:r>
      <w:r w:rsidR="00410E62" w:rsidRPr="001E47E5">
        <w:rPr>
          <w:rFonts w:ascii="Times New Roman" w:eastAsia="Times New Roman" w:hAnsi="Times New Roman" w:cs="Times New Roman"/>
          <w:sz w:val="24"/>
          <w:szCs w:val="24"/>
          <w:lang w:eastAsia="sk-SK"/>
        </w:rPr>
        <w:t xml:space="preserve">príloha č. 2, </w:t>
      </w:r>
      <w:r w:rsidR="0036748D" w:rsidRPr="001E47E5">
        <w:rPr>
          <w:rFonts w:ascii="Times New Roman" w:eastAsia="Times New Roman" w:hAnsi="Times New Roman" w:cs="Times New Roman"/>
          <w:sz w:val="24"/>
          <w:szCs w:val="24"/>
          <w:lang w:eastAsia="sk-SK"/>
        </w:rPr>
        <w:t>jednotnej metodiky</w:t>
      </w:r>
      <w:r w:rsidRPr="001E47E5">
        <w:rPr>
          <w:rFonts w:ascii="Times New Roman" w:eastAsia="Times New Roman" w:hAnsi="Times New Roman" w:cs="Times New Roman"/>
          <w:sz w:val="24"/>
          <w:szCs w:val="24"/>
          <w:lang w:eastAsia="sk-SK"/>
        </w:rPr>
        <w:t>). Zmeny v administratívnej náročnosti plnenia povinností spojené s daňami, odvodmi, clami a poplatkami sa kvantifikujú v rámci „</w:t>
      </w:r>
      <w:r w:rsidR="00C535F5" w:rsidRPr="001E47E5">
        <w:rPr>
          <w:rFonts w:ascii="Times New Roman" w:eastAsia="Times New Roman" w:hAnsi="Times New Roman" w:cs="Times New Roman"/>
          <w:sz w:val="24"/>
          <w:szCs w:val="24"/>
          <w:lang w:eastAsia="sk-SK"/>
        </w:rPr>
        <w:t>E</w:t>
      </w:r>
      <w:r w:rsidRPr="001E47E5">
        <w:rPr>
          <w:rFonts w:ascii="Times New Roman" w:eastAsia="Times New Roman" w:hAnsi="Times New Roman" w:cs="Times New Roman"/>
          <w:sz w:val="24"/>
          <w:szCs w:val="24"/>
          <w:lang w:eastAsia="sk-SK"/>
        </w:rPr>
        <w:t xml:space="preserve">. Administratívne náklady“. Ide o </w:t>
      </w:r>
      <w:r w:rsidRPr="001E47E5">
        <w:rPr>
          <w:rFonts w:ascii="Times New Roman" w:eastAsia="Times New Roman" w:hAnsi="Times New Roman" w:cs="Times New Roman"/>
          <w:b/>
          <w:sz w:val="24"/>
          <w:szCs w:val="24"/>
          <w:lang w:eastAsia="sk-SK"/>
        </w:rPr>
        <w:t>ročný vplyv</w:t>
      </w:r>
      <w:r w:rsidRPr="001E47E5">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33FA2A90" w14:textId="77777777" w:rsidR="0039334E" w:rsidRPr="001E47E5" w:rsidRDefault="0039334E" w:rsidP="0039334E">
      <w:pPr>
        <w:spacing w:after="0" w:line="240" w:lineRule="auto"/>
        <w:jc w:val="both"/>
        <w:rPr>
          <w:rFonts w:ascii="Times New Roman" w:eastAsia="Times New Roman" w:hAnsi="Times New Roman" w:cs="Times New Roman"/>
          <w:i/>
          <w:sz w:val="24"/>
          <w:szCs w:val="24"/>
          <w:lang w:eastAsia="sk-SK"/>
        </w:rPr>
      </w:pPr>
    </w:p>
    <w:p w14:paraId="1F3FA9DC" w14:textId="56F39F4A" w:rsidR="0039334E" w:rsidRPr="001E47E5" w:rsidRDefault="0039334E" w:rsidP="0039334E">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B:</w:t>
      </w:r>
      <w:r w:rsidRPr="001E47E5">
        <w:rPr>
          <w:rFonts w:ascii="Times New Roman" w:eastAsia="Times New Roman" w:hAnsi="Times New Roman" w:cs="Times New Roman"/>
          <w:sz w:val="24"/>
          <w:szCs w:val="24"/>
          <w:lang w:eastAsia="sk-SK"/>
        </w:rPr>
        <w:t xml:space="preserve"> </w:t>
      </w:r>
      <w:r w:rsidRPr="001E47E5">
        <w:rPr>
          <w:rFonts w:ascii="Times New Roman" w:eastAsia="Times New Roman" w:hAnsi="Times New Roman" w:cs="Times New Roman"/>
          <w:b/>
          <w:sz w:val="24"/>
          <w:szCs w:val="24"/>
          <w:lang w:eastAsia="sk-SK"/>
        </w:rPr>
        <w:t xml:space="preserve">Iné poplatky </w:t>
      </w:r>
      <w:r w:rsidRPr="001E47E5">
        <w:rPr>
          <w:rFonts w:ascii="Times New Roman" w:eastAsia="Calibri" w:hAnsi="Times New Roman" w:cs="Times New Roman"/>
          <w:color w:val="000000"/>
          <w:sz w:val="24"/>
          <w:szCs w:val="24"/>
        </w:rPr>
        <w:t>(patria medzi priame finančné náklady)</w:t>
      </w:r>
      <w:r w:rsidRPr="001E47E5">
        <w:rPr>
          <w:rFonts w:ascii="Times New Roman" w:eastAsia="Times New Roman" w:hAnsi="Times New Roman" w:cs="Times New Roman"/>
          <w:sz w:val="24"/>
          <w:szCs w:val="24"/>
          <w:lang w:eastAsia="sk-SK"/>
        </w:rPr>
        <w:t>: vypĺňa sa, ak ustanovenia právneho predpisu zakladajú/rušia či menia výšku iných poplatkov. Nápomocné môžu byť údaje z analýzy vplyvov na rozpočet verejnej správy.</w:t>
      </w:r>
      <w:r w:rsidR="00D3032C" w:rsidRPr="001E47E5">
        <w:rPr>
          <w:rFonts w:ascii="Times New Roman" w:eastAsia="Times New Roman" w:hAnsi="Times New Roman" w:cs="Times New Roman"/>
          <w:sz w:val="24"/>
          <w:szCs w:val="24"/>
          <w:lang w:eastAsia="sk-SK"/>
        </w:rPr>
        <w:t xml:space="preserve"> </w:t>
      </w:r>
      <w:r w:rsidRPr="001E47E5">
        <w:rPr>
          <w:rFonts w:ascii="Times New Roman" w:eastAsia="Times New Roman" w:hAnsi="Times New Roman" w:cs="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686424B3" w14:textId="77777777" w:rsidR="00410E62" w:rsidRPr="001E47E5" w:rsidRDefault="00410E62" w:rsidP="0039334E">
      <w:pPr>
        <w:spacing w:after="0" w:line="240" w:lineRule="auto"/>
        <w:jc w:val="both"/>
        <w:rPr>
          <w:rFonts w:ascii="Times New Roman" w:eastAsia="Times New Roman" w:hAnsi="Times New Roman" w:cs="Times New Roman"/>
          <w:sz w:val="24"/>
          <w:szCs w:val="24"/>
          <w:lang w:eastAsia="sk-SK"/>
        </w:rPr>
      </w:pPr>
    </w:p>
    <w:p w14:paraId="64E0E7AD" w14:textId="77777777" w:rsidR="0039334E" w:rsidRPr="001E47E5" w:rsidRDefault="0039334E" w:rsidP="0039334E">
      <w:pPr>
        <w:spacing w:after="0" w:line="240" w:lineRule="auto"/>
        <w:jc w:val="both"/>
        <w:rPr>
          <w:rFonts w:ascii="Times New Roman" w:eastAsia="Times New Roman" w:hAnsi="Times New Roman" w:cs="Times New Roman"/>
          <w:sz w:val="24"/>
          <w:szCs w:val="24"/>
          <w:lang w:eastAsia="sk-SK"/>
        </w:rPr>
      </w:pPr>
    </w:p>
    <w:p w14:paraId="2324D355" w14:textId="77777777" w:rsidR="0039334E" w:rsidRPr="001E47E5" w:rsidRDefault="0039334E" w:rsidP="0039334E">
      <w:pPr>
        <w:spacing w:after="0" w:line="240" w:lineRule="auto"/>
        <w:jc w:val="both"/>
        <w:rPr>
          <w:rFonts w:ascii="Times New Roman" w:eastAsia="Times New Roman" w:hAnsi="Times New Roman" w:cs="Times New Roman"/>
          <w:i/>
          <w:iCs/>
          <w:sz w:val="24"/>
          <w:szCs w:val="24"/>
          <w:lang w:eastAsia="sk-SK"/>
        </w:rPr>
      </w:pPr>
      <w:r w:rsidRPr="001E47E5">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1E47E5">
        <w:rPr>
          <w:rFonts w:ascii="Times New Roman" w:eastAsia="Times New Roman" w:hAnsi="Times New Roman" w:cs="Times New Roman"/>
          <w:b/>
          <w:i/>
          <w:iCs/>
          <w:sz w:val="24"/>
          <w:szCs w:val="24"/>
          <w:lang w:eastAsia="sk-SK"/>
        </w:rPr>
        <w:t>nepatria pokuty</w:t>
      </w:r>
      <w:r w:rsidRPr="001E47E5">
        <w:rPr>
          <w:rFonts w:ascii="Times New Roman" w:eastAsia="Times New Roman" w:hAnsi="Times New Roman" w:cs="Times New Roman"/>
          <w:i/>
          <w:iCs/>
          <w:sz w:val="24"/>
          <w:szCs w:val="24"/>
          <w:lang w:eastAsia="sk-SK"/>
        </w:rPr>
        <w:t xml:space="preserve">. </w:t>
      </w:r>
    </w:p>
    <w:p w14:paraId="56CC248A" w14:textId="77777777" w:rsidR="0039334E" w:rsidRPr="001E47E5" w:rsidRDefault="0039334E" w:rsidP="0039334E">
      <w:pPr>
        <w:spacing w:after="0" w:line="240" w:lineRule="auto"/>
        <w:jc w:val="both"/>
        <w:rPr>
          <w:rFonts w:ascii="Times New Roman" w:eastAsia="Times New Roman" w:hAnsi="Times New Roman" w:cs="Times New Roman"/>
          <w:i/>
          <w:sz w:val="24"/>
          <w:szCs w:val="24"/>
          <w:lang w:eastAsia="sk-SK"/>
        </w:rPr>
      </w:pPr>
    </w:p>
    <w:p w14:paraId="70A2B8F7" w14:textId="642DE21B" w:rsidR="00DD1E4C" w:rsidRPr="001E47E5" w:rsidRDefault="00DD1E4C" w:rsidP="00DD1E4C">
      <w:pPr>
        <w:spacing w:after="0" w:line="240" w:lineRule="auto"/>
        <w:jc w:val="both"/>
        <w:rPr>
          <w:rFonts w:ascii="Times New Roman" w:eastAsia="Times New Roman" w:hAnsi="Times New Roman" w:cs="Times New Roman"/>
          <w:iCs/>
          <w:sz w:val="24"/>
          <w:szCs w:val="24"/>
          <w:lang w:eastAsia="sk-SK"/>
        </w:rPr>
      </w:pPr>
      <w:r w:rsidRPr="001E47E5">
        <w:rPr>
          <w:rFonts w:ascii="Times New Roman" w:eastAsia="Times New Roman" w:hAnsi="Times New Roman" w:cs="Times New Roman"/>
          <w:b/>
          <w:iCs/>
          <w:sz w:val="24"/>
          <w:szCs w:val="24"/>
          <w:lang w:eastAsia="sk-SK"/>
        </w:rPr>
        <w:t>Nepriame finančné náklady</w:t>
      </w:r>
      <w:r w:rsidRPr="001E47E5">
        <w:rPr>
          <w:rFonts w:ascii="Times New Roman" w:eastAsia="Times New Roman" w:hAnsi="Times New Roman" w:cs="Times New Roman"/>
          <w:iCs/>
          <w:sz w:val="24"/>
          <w:szCs w:val="24"/>
          <w:lang w:eastAsia="sk-SK"/>
        </w:rPr>
        <w:t xml:space="preserve"> sa rozdeľujú na C (</w:t>
      </w:r>
      <w:r w:rsidR="00024EE4" w:rsidRPr="001E47E5">
        <w:rPr>
          <w:rFonts w:ascii="Times New Roman" w:eastAsia="Times New Roman" w:hAnsi="Times New Roman" w:cs="Times New Roman"/>
          <w:iCs/>
          <w:sz w:val="24"/>
          <w:szCs w:val="24"/>
          <w:lang w:eastAsia="sk-SK"/>
        </w:rPr>
        <w:t>Sankcie a pokuty</w:t>
      </w:r>
      <w:r w:rsidRPr="001E47E5">
        <w:rPr>
          <w:rFonts w:ascii="Times New Roman" w:eastAsia="Times New Roman" w:hAnsi="Times New Roman" w:cs="Times New Roman"/>
          <w:iCs/>
          <w:sz w:val="24"/>
          <w:szCs w:val="24"/>
          <w:lang w:eastAsia="sk-SK"/>
        </w:rPr>
        <w:t>) a D (</w:t>
      </w:r>
      <w:r w:rsidR="00024EE4" w:rsidRPr="001E47E5">
        <w:rPr>
          <w:rFonts w:ascii="Times New Roman" w:eastAsia="Times New Roman" w:hAnsi="Times New Roman" w:cs="Times New Roman"/>
          <w:iCs/>
          <w:sz w:val="24"/>
          <w:szCs w:val="24"/>
          <w:lang w:eastAsia="sk-SK"/>
        </w:rPr>
        <w:t>Nepriame finančné náklady</w:t>
      </w:r>
      <w:r w:rsidRPr="001E47E5">
        <w:rPr>
          <w:rFonts w:ascii="Times New Roman" w:eastAsia="Times New Roman" w:hAnsi="Times New Roman" w:cs="Times New Roman"/>
          <w:iCs/>
          <w:sz w:val="24"/>
          <w:szCs w:val="24"/>
          <w:lang w:eastAsia="sk-SK"/>
        </w:rPr>
        <w:t xml:space="preserve">). Nakoľko sankcie a pokuty zaraďujeme rovnako pod nepriame finančné náklady, ale neuplatňuje sa mechanizmus znižovania byrokracie a nákladov, sú v tejto časti zaradené do samostatnej kategórie. </w:t>
      </w:r>
    </w:p>
    <w:p w14:paraId="2D9EDF15" w14:textId="77777777" w:rsidR="00DD1E4C" w:rsidRPr="001E47E5" w:rsidRDefault="00DD1E4C" w:rsidP="0039334E">
      <w:pPr>
        <w:spacing w:after="0" w:line="240" w:lineRule="auto"/>
        <w:jc w:val="both"/>
        <w:rPr>
          <w:rFonts w:ascii="Times New Roman" w:eastAsia="Times New Roman" w:hAnsi="Times New Roman" w:cs="Times New Roman"/>
          <w:b/>
          <w:sz w:val="24"/>
          <w:szCs w:val="24"/>
          <w:lang w:eastAsia="sk-SK"/>
        </w:rPr>
      </w:pPr>
    </w:p>
    <w:p w14:paraId="42E0EC24" w14:textId="77777777" w:rsidR="00DD1E4C" w:rsidRPr="001E47E5" w:rsidRDefault="00DD1E4C" w:rsidP="0039334E">
      <w:pPr>
        <w:spacing w:after="0" w:line="240" w:lineRule="auto"/>
        <w:jc w:val="both"/>
        <w:rPr>
          <w:rFonts w:ascii="Times New Roman" w:eastAsia="Times New Roman" w:hAnsi="Times New Roman" w:cs="Times New Roman"/>
          <w:b/>
          <w:sz w:val="24"/>
          <w:szCs w:val="24"/>
          <w:lang w:eastAsia="sk-SK"/>
        </w:rPr>
      </w:pPr>
    </w:p>
    <w:p w14:paraId="7169D29B" w14:textId="791AB06A" w:rsidR="00C446E2" w:rsidRPr="001E47E5" w:rsidRDefault="0039334E" w:rsidP="00C446E2">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C:</w:t>
      </w:r>
      <w:r w:rsidRPr="001E47E5">
        <w:rPr>
          <w:rFonts w:ascii="Times New Roman" w:eastAsia="Times New Roman" w:hAnsi="Times New Roman" w:cs="Times New Roman"/>
          <w:sz w:val="24"/>
          <w:szCs w:val="24"/>
          <w:lang w:eastAsia="sk-SK"/>
        </w:rPr>
        <w:t xml:space="preserve"> </w:t>
      </w:r>
      <w:r w:rsidR="00C446E2" w:rsidRPr="001E47E5">
        <w:rPr>
          <w:rFonts w:ascii="Times New Roman" w:eastAsia="Times New Roman" w:hAnsi="Times New Roman" w:cs="Times New Roman"/>
          <w:b/>
          <w:sz w:val="24"/>
          <w:szCs w:val="24"/>
          <w:lang w:eastAsia="sk-SK"/>
        </w:rPr>
        <w:t>Sankcie a pokuty</w:t>
      </w:r>
      <w:r w:rsidR="00C446E2" w:rsidRPr="001E47E5">
        <w:rPr>
          <w:rFonts w:ascii="Times New Roman" w:eastAsia="Times New Roman" w:hAnsi="Times New Roman" w:cs="Times New Roman"/>
          <w:sz w:val="24"/>
          <w:szCs w:val="24"/>
          <w:lang w:eastAsia="sk-SK"/>
        </w:rPr>
        <w:t>: vypĺňa sa, ak ustanovenia právneho predpisu zakladajú</w:t>
      </w:r>
      <w:r w:rsidR="00F244DC" w:rsidRPr="001E47E5">
        <w:rPr>
          <w:rFonts w:ascii="Times New Roman" w:eastAsia="Times New Roman" w:hAnsi="Times New Roman" w:cs="Times New Roman"/>
          <w:sz w:val="24"/>
          <w:szCs w:val="24"/>
          <w:lang w:eastAsia="sk-SK"/>
        </w:rPr>
        <w:t>,</w:t>
      </w:r>
      <w:r w:rsidR="00C446E2" w:rsidRPr="001E47E5">
        <w:rPr>
          <w:rFonts w:ascii="Times New Roman" w:eastAsia="Times New Roman" w:hAnsi="Times New Roman" w:cs="Times New Roman"/>
          <w:sz w:val="24"/>
          <w:szCs w:val="24"/>
          <w:lang w:eastAsia="sk-SK"/>
        </w:rPr>
        <w:t xml:space="preserve"> rušia či menia výšku sankcií a pokút. Kvantifikované vplyvy (v eurách na PP) sa rozdelia na tie, ktoré podnikateľom zvyšujú náklady a na tie, ktoré znižujú náklady. V prípade objektívnej nedostupnosti požadovaného údaja použite expertný odhad. Ide o ročný vplyv na PP v eurách. Bližší metodický postup ku kvantifikáciám sankcií a pokút je uvedený v Kalkulačke nákladov v hárku s názvom „</w:t>
      </w:r>
      <w:r w:rsidR="00C446E2" w:rsidRPr="001E47E5">
        <w:rPr>
          <w:rFonts w:ascii="Times New Roman" w:eastAsia="Times New Roman" w:hAnsi="Times New Roman" w:cs="Times New Roman"/>
          <w:i/>
          <w:sz w:val="24"/>
          <w:szCs w:val="24"/>
          <w:lang w:eastAsia="sk-SK"/>
        </w:rPr>
        <w:t>Vysvetlivky ku kroku 1</w:t>
      </w:r>
      <w:r w:rsidR="00C446E2" w:rsidRPr="001E47E5">
        <w:rPr>
          <w:rFonts w:ascii="Times New Roman" w:eastAsia="Times New Roman" w:hAnsi="Times New Roman" w:cs="Times New Roman"/>
          <w:sz w:val="24"/>
          <w:szCs w:val="24"/>
          <w:lang w:eastAsia="sk-SK"/>
        </w:rPr>
        <w:t xml:space="preserve">“. </w:t>
      </w:r>
    </w:p>
    <w:p w14:paraId="7BECCAEE" w14:textId="77777777" w:rsidR="00C446E2" w:rsidRPr="001E47E5" w:rsidRDefault="00C446E2" w:rsidP="00C446E2">
      <w:pPr>
        <w:spacing w:after="0" w:line="240" w:lineRule="auto"/>
        <w:jc w:val="both"/>
        <w:rPr>
          <w:rFonts w:ascii="Times New Roman" w:eastAsia="Times New Roman" w:hAnsi="Times New Roman" w:cs="Times New Roman"/>
          <w:sz w:val="24"/>
          <w:szCs w:val="24"/>
          <w:lang w:eastAsia="sk-SK"/>
        </w:rPr>
      </w:pPr>
    </w:p>
    <w:p w14:paraId="6D4D1FD7" w14:textId="18F5C736" w:rsidR="00C446E2" w:rsidRPr="001E47E5" w:rsidRDefault="00F378F4" w:rsidP="00C446E2">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D</w:t>
      </w:r>
      <w:r w:rsidR="00C446E2" w:rsidRPr="001E47E5">
        <w:rPr>
          <w:rFonts w:ascii="Times New Roman" w:eastAsia="Times New Roman" w:hAnsi="Times New Roman" w:cs="Times New Roman"/>
          <w:b/>
          <w:sz w:val="24"/>
          <w:szCs w:val="24"/>
          <w:lang w:eastAsia="sk-SK"/>
        </w:rPr>
        <w:t>:</w:t>
      </w:r>
      <w:r w:rsidR="00C446E2" w:rsidRPr="001E47E5">
        <w:rPr>
          <w:rFonts w:ascii="Times New Roman" w:eastAsia="Times New Roman" w:hAnsi="Times New Roman" w:cs="Times New Roman"/>
          <w:sz w:val="24"/>
          <w:szCs w:val="24"/>
          <w:lang w:eastAsia="sk-SK"/>
        </w:rPr>
        <w:t xml:space="preserve"> </w:t>
      </w:r>
      <w:r w:rsidR="00C446E2" w:rsidRPr="001E47E5">
        <w:rPr>
          <w:rFonts w:ascii="Times New Roman" w:eastAsia="Times New Roman" w:hAnsi="Times New Roman" w:cs="Times New Roman"/>
          <w:b/>
          <w:sz w:val="24"/>
          <w:szCs w:val="24"/>
          <w:lang w:eastAsia="sk-SK"/>
        </w:rPr>
        <w:t>Nepriame finančné náklady</w:t>
      </w:r>
      <w:r w:rsidR="00C446E2" w:rsidRPr="001E47E5">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2CB6953" w14:textId="77777777" w:rsidR="00C446E2" w:rsidRPr="001E47E5" w:rsidRDefault="00C446E2" w:rsidP="00C446E2">
      <w:pPr>
        <w:spacing w:after="0" w:line="240" w:lineRule="auto"/>
        <w:jc w:val="both"/>
        <w:rPr>
          <w:rFonts w:ascii="Times New Roman" w:eastAsia="Times New Roman" w:hAnsi="Times New Roman" w:cs="Times New Roman"/>
          <w:sz w:val="24"/>
          <w:szCs w:val="24"/>
          <w:lang w:eastAsia="sk-SK"/>
        </w:rPr>
      </w:pPr>
    </w:p>
    <w:p w14:paraId="1094767D" w14:textId="77777777" w:rsidR="00C446E2" w:rsidRPr="001E47E5" w:rsidRDefault="00C446E2" w:rsidP="00C446E2">
      <w:pPr>
        <w:spacing w:after="12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3A0D71F4" w14:textId="77777777" w:rsidR="00C446E2" w:rsidRPr="001E47E5" w:rsidRDefault="00C446E2" w:rsidP="0039334E">
      <w:pPr>
        <w:spacing w:after="0" w:line="240" w:lineRule="auto"/>
        <w:jc w:val="both"/>
        <w:rPr>
          <w:rFonts w:ascii="Times New Roman" w:eastAsia="Calibri" w:hAnsi="Times New Roman" w:cs="Times New Roman"/>
          <w:b/>
          <w:sz w:val="24"/>
          <w:szCs w:val="24"/>
        </w:rPr>
      </w:pPr>
    </w:p>
    <w:p w14:paraId="64017BFA" w14:textId="77777777" w:rsidR="00F378F4" w:rsidRPr="001E47E5" w:rsidRDefault="00F378F4" w:rsidP="0039334E">
      <w:pPr>
        <w:spacing w:after="0" w:line="240" w:lineRule="auto"/>
        <w:jc w:val="both"/>
        <w:rPr>
          <w:rFonts w:ascii="Times New Roman" w:eastAsia="Calibri" w:hAnsi="Times New Roman" w:cs="Times New Roman"/>
          <w:b/>
          <w:sz w:val="24"/>
          <w:szCs w:val="24"/>
        </w:rPr>
      </w:pPr>
    </w:p>
    <w:p w14:paraId="27FE17F0" w14:textId="5437AF48" w:rsidR="0039334E" w:rsidRPr="001E47E5" w:rsidRDefault="00F378F4" w:rsidP="0039334E">
      <w:pPr>
        <w:spacing w:after="0" w:line="240" w:lineRule="auto"/>
        <w:jc w:val="both"/>
        <w:rPr>
          <w:rFonts w:ascii="Times New Roman" w:eastAsia="Times New Roman" w:hAnsi="Times New Roman" w:cs="Times New Roman"/>
          <w:sz w:val="24"/>
          <w:szCs w:val="24"/>
          <w:lang w:eastAsia="sk-SK"/>
        </w:rPr>
      </w:pPr>
      <w:r w:rsidRPr="001E47E5">
        <w:rPr>
          <w:rFonts w:ascii="Times New Roman" w:eastAsia="Calibri" w:hAnsi="Times New Roman" w:cs="Times New Roman"/>
          <w:b/>
          <w:sz w:val="24"/>
          <w:szCs w:val="24"/>
        </w:rPr>
        <w:t>E</w:t>
      </w:r>
      <w:r w:rsidR="0039334E" w:rsidRPr="001E47E5">
        <w:rPr>
          <w:rFonts w:ascii="Times New Roman" w:eastAsia="Calibri" w:hAnsi="Times New Roman" w:cs="Times New Roman"/>
          <w:b/>
          <w:i/>
          <w:sz w:val="24"/>
          <w:szCs w:val="24"/>
        </w:rPr>
        <w:t>.</w:t>
      </w:r>
      <w:r w:rsidR="0039334E" w:rsidRPr="001E47E5">
        <w:rPr>
          <w:rFonts w:ascii="Times New Roman" w:eastAsia="Calibri" w:hAnsi="Times New Roman" w:cs="Times New Roman"/>
          <w:i/>
          <w:sz w:val="24"/>
          <w:szCs w:val="24"/>
        </w:rPr>
        <w:t xml:space="preserve"> </w:t>
      </w:r>
      <w:r w:rsidR="0039334E" w:rsidRPr="001E47E5">
        <w:rPr>
          <w:rFonts w:ascii="Times New Roman" w:eastAsia="Times New Roman" w:hAnsi="Times New Roman" w:cs="Times New Roman"/>
          <w:b/>
          <w:sz w:val="24"/>
          <w:szCs w:val="24"/>
          <w:lang w:eastAsia="sk-SK"/>
        </w:rPr>
        <w:t>Administratívne náklady</w:t>
      </w:r>
      <w:r w:rsidR="0039334E" w:rsidRPr="001E47E5">
        <w:rPr>
          <w:rFonts w:ascii="Times New Roman" w:eastAsia="Times New Roman" w:hAnsi="Times New Roman" w:cs="Times New Roman"/>
          <w:sz w:val="24"/>
          <w:szCs w:val="24"/>
          <w:lang w:eastAsia="sk-SK"/>
        </w:rPr>
        <w:t xml:space="preserve">: vypĺňa sa, ak ustanovenia právneho predpisu zakladajú,  rušia či menia výšku administratívnych nákladov. Kvantifikované vplyvy (v eurách na PP) sa rozdelia na tie, ktoré podnikateľom zvyšujú náklady a na tie, ktoré znižujú náklady. Pri </w:t>
      </w:r>
      <w:r w:rsidR="0039334E" w:rsidRPr="001E47E5">
        <w:rPr>
          <w:rFonts w:ascii="Times New Roman" w:eastAsia="Times New Roman" w:hAnsi="Times New Roman" w:cs="Times New Roman"/>
          <w:sz w:val="24"/>
          <w:szCs w:val="24"/>
          <w:lang w:eastAsia="sk-SK"/>
        </w:rPr>
        <w:lastRenderedPageBreak/>
        <w:t xml:space="preserve">kvantifikácii administratívnych nákladov je možné použiť štandardizovanú časovú náročnosť pre typické administratívne povinnosti alebo je možné použiť expertný odhad. </w:t>
      </w:r>
    </w:p>
    <w:p w14:paraId="59E91E2A" w14:textId="77777777" w:rsidR="0039334E" w:rsidRPr="001E47E5" w:rsidRDefault="0039334E" w:rsidP="0039334E">
      <w:pPr>
        <w:spacing w:after="0" w:line="240" w:lineRule="auto"/>
        <w:jc w:val="both"/>
        <w:rPr>
          <w:rFonts w:ascii="Times New Roman" w:eastAsia="Times New Roman" w:hAnsi="Times New Roman" w:cs="Times New Roman"/>
          <w:sz w:val="24"/>
          <w:szCs w:val="24"/>
          <w:lang w:eastAsia="sk-SK"/>
        </w:rPr>
      </w:pPr>
    </w:p>
    <w:p w14:paraId="5F371223" w14:textId="77777777" w:rsidR="00315BE2" w:rsidRPr="001E47E5" w:rsidRDefault="0039334E" w:rsidP="00FD3DFB">
      <w:pPr>
        <w:spacing w:after="120" w:line="240" w:lineRule="auto"/>
        <w:jc w:val="both"/>
        <w:rPr>
          <w:rFonts w:ascii="Times New Roman" w:eastAsia="Times New Roman" w:hAnsi="Times New Roman" w:cs="Times New Roman"/>
          <w:i/>
          <w:sz w:val="24"/>
          <w:szCs w:val="24"/>
          <w:lang w:eastAsia="sk-SK"/>
        </w:rPr>
      </w:pPr>
      <w:r w:rsidRPr="001E47E5">
        <w:rPr>
          <w:rFonts w:ascii="Times New Roman" w:eastAsia="Times New Roman" w:hAnsi="Times New Roman" w:cs="Times New Roman"/>
          <w:i/>
          <w:sz w:val="24"/>
          <w:szCs w:val="24"/>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FD3DFB" w:rsidRPr="001E47E5">
        <w:rPr>
          <w:rFonts w:ascii="Times New Roman" w:eastAsia="Times New Roman" w:hAnsi="Times New Roman" w:cs="Times New Roman"/>
          <w:i/>
          <w:sz w:val="24"/>
          <w:szCs w:val="24"/>
          <w:lang w:eastAsia="sk-SK"/>
        </w:rPr>
        <w:t xml:space="preserve">guláciou a jej implementáciou. </w:t>
      </w:r>
    </w:p>
    <w:p w14:paraId="5EBFC398" w14:textId="77777777" w:rsidR="00A94A0F" w:rsidRPr="001E47E5" w:rsidRDefault="00A94A0F" w:rsidP="00FD3DFB">
      <w:pPr>
        <w:spacing w:after="120" w:line="240" w:lineRule="auto"/>
        <w:jc w:val="both"/>
        <w:rPr>
          <w:rFonts w:ascii="Times New Roman" w:eastAsia="Times New Roman" w:hAnsi="Times New Roman" w:cs="Times New Roman"/>
          <w:i/>
          <w:sz w:val="24"/>
          <w:szCs w:val="24"/>
          <w:lang w:eastAsia="sk-SK"/>
        </w:rPr>
      </w:pPr>
    </w:p>
    <w:p w14:paraId="7DBF9A39" w14:textId="77777777" w:rsidR="00315BE2" w:rsidRPr="001E47E5" w:rsidRDefault="00315BE2" w:rsidP="00315BE2">
      <w:pPr>
        <w:numPr>
          <w:ilvl w:val="0"/>
          <w:numId w:val="4"/>
        </w:numPr>
        <w:contextualSpacing/>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Výpočet jednotlivých typov nákladov regulácie</w:t>
      </w:r>
    </w:p>
    <w:p w14:paraId="3A8C6E26" w14:textId="77777777" w:rsidR="00315BE2" w:rsidRPr="001E47E5" w:rsidRDefault="00315BE2" w:rsidP="00315BE2">
      <w:pPr>
        <w:spacing w:after="120" w:line="240" w:lineRule="auto"/>
        <w:rPr>
          <w:rFonts w:ascii="Times New Roman" w:eastAsia="Calibri" w:hAnsi="Times New Roman" w:cs="Times New Roman"/>
          <w:b/>
          <w:i/>
          <w:sz w:val="24"/>
          <w:szCs w:val="24"/>
        </w:rPr>
      </w:pPr>
    </w:p>
    <w:p w14:paraId="386A81F2" w14:textId="77777777" w:rsidR="00315BE2" w:rsidRPr="001E47E5" w:rsidRDefault="00315BE2" w:rsidP="00315BE2">
      <w:pPr>
        <w:spacing w:after="120" w:line="240" w:lineRule="auto"/>
        <w:rPr>
          <w:rFonts w:ascii="Times New Roman" w:eastAsia="Calibri" w:hAnsi="Times New Roman" w:cs="Times New Roman"/>
          <w:b/>
          <w:i/>
          <w:sz w:val="24"/>
          <w:szCs w:val="24"/>
        </w:rPr>
      </w:pPr>
      <w:r w:rsidRPr="001E47E5">
        <w:rPr>
          <w:rFonts w:ascii="Times New Roman" w:eastAsia="Calibri" w:hAnsi="Times New Roman" w:cs="Times New Roman"/>
          <w:b/>
          <w:i/>
          <w:sz w:val="24"/>
          <w:szCs w:val="24"/>
        </w:rPr>
        <w:t>Náklady na 1 podnikateľa</w:t>
      </w:r>
    </w:p>
    <w:p w14:paraId="6907E818" w14:textId="026ECAE8" w:rsidR="00315BE2" w:rsidRPr="001E47E5" w:rsidRDefault="00315BE2" w:rsidP="00315BE2">
      <w:pPr>
        <w:spacing w:after="120" w:line="240" w:lineRule="auto"/>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 xml:space="preserve">V prípade </w:t>
      </w:r>
      <w:r w:rsidRPr="001E47E5">
        <w:rPr>
          <w:rFonts w:ascii="Times New Roman" w:eastAsia="Calibri" w:hAnsi="Times New Roman" w:cs="Times New Roman"/>
          <w:i/>
          <w:sz w:val="24"/>
          <w:szCs w:val="24"/>
        </w:rPr>
        <w:t>priamych finančných nákladov (</w:t>
      </w:r>
      <w:r w:rsidR="0002425A" w:rsidRPr="001E47E5">
        <w:rPr>
          <w:rFonts w:ascii="Times New Roman" w:eastAsia="Calibri" w:hAnsi="Times New Roman" w:cs="Times New Roman"/>
          <w:i/>
          <w:sz w:val="24"/>
          <w:szCs w:val="24"/>
        </w:rPr>
        <w:t>dane, odvody, clá a poplatky, ktorých cieľom je znižovať negatívne externality</w:t>
      </w:r>
      <w:r w:rsidR="00C535F5" w:rsidRPr="001E47E5">
        <w:rPr>
          <w:rFonts w:ascii="Times New Roman" w:eastAsia="Calibri" w:hAnsi="Times New Roman" w:cs="Times New Roman"/>
          <w:i/>
          <w:sz w:val="24"/>
          <w:szCs w:val="24"/>
        </w:rPr>
        <w:t> </w:t>
      </w:r>
      <w:r w:rsidRPr="001E47E5">
        <w:rPr>
          <w:rFonts w:ascii="Times New Roman" w:eastAsia="Calibri" w:hAnsi="Times New Roman" w:cs="Times New Roman"/>
          <w:i/>
          <w:sz w:val="24"/>
          <w:szCs w:val="24"/>
        </w:rPr>
        <w:t>)</w:t>
      </w:r>
      <w:r w:rsidRPr="001E47E5">
        <w:rPr>
          <w:rFonts w:ascii="Times New Roman" w:eastAsia="Calibri" w:hAnsi="Times New Roman" w:cs="Times New Roman"/>
          <w:sz w:val="24"/>
          <w:szCs w:val="24"/>
        </w:rPr>
        <w:t xml:space="preserve"> ide o </w:t>
      </w:r>
      <w:r w:rsidRPr="001E47E5">
        <w:rPr>
          <w:rFonts w:ascii="Times New Roman" w:eastAsia="Calibri" w:hAnsi="Times New Roman" w:cs="Times New Roman"/>
          <w:b/>
          <w:sz w:val="24"/>
          <w:szCs w:val="24"/>
        </w:rPr>
        <w:t>ročný vplyv</w:t>
      </w:r>
      <w:r w:rsidRPr="001E47E5">
        <w:rPr>
          <w:rFonts w:ascii="Times New Roman" w:eastAsia="Calibri" w:hAnsi="Times New Roman" w:cs="Times New Roman"/>
          <w:sz w:val="24"/>
          <w:szCs w:val="24"/>
        </w:rPr>
        <w:t>, z tohto dôvodu sa výška nákladov nenásobí frekvenciou. Na stanovenie výšky týchto nákladov je potrebné použiť údaje z </w:t>
      </w:r>
      <w:r w:rsidR="0018715C" w:rsidRPr="001E47E5">
        <w:rPr>
          <w:rFonts w:ascii="Times New Roman" w:eastAsia="Calibri" w:hAnsi="Times New Roman" w:cs="Times New Roman"/>
          <w:sz w:val="24"/>
          <w:szCs w:val="24"/>
        </w:rPr>
        <w:t>a</w:t>
      </w:r>
      <w:r w:rsidRPr="001E47E5">
        <w:rPr>
          <w:rFonts w:ascii="Times New Roman" w:eastAsia="Calibri" w:hAnsi="Times New Roman" w:cs="Times New Roman"/>
          <w:sz w:val="24"/>
          <w:szCs w:val="24"/>
        </w:rPr>
        <w:t>nalýzy vplyvov na rozpočet verejnej správy</w:t>
      </w:r>
      <w:r w:rsidR="00484D16" w:rsidRPr="001E47E5">
        <w:rPr>
          <w:rFonts w:ascii="Times New Roman" w:eastAsia="Calibri" w:hAnsi="Times New Roman" w:cs="Times New Roman"/>
          <w:sz w:val="24"/>
          <w:szCs w:val="24"/>
        </w:rPr>
        <w:t xml:space="preserve"> (príloh</w:t>
      </w:r>
      <w:r w:rsidR="0036748D" w:rsidRPr="001E47E5">
        <w:rPr>
          <w:rFonts w:ascii="Times New Roman" w:eastAsia="Calibri" w:hAnsi="Times New Roman" w:cs="Times New Roman"/>
          <w:sz w:val="24"/>
          <w:szCs w:val="24"/>
        </w:rPr>
        <w:t>y</w:t>
      </w:r>
      <w:r w:rsidR="00484D16" w:rsidRPr="001E47E5">
        <w:rPr>
          <w:rFonts w:ascii="Times New Roman" w:eastAsia="Calibri" w:hAnsi="Times New Roman" w:cs="Times New Roman"/>
          <w:sz w:val="24"/>
          <w:szCs w:val="24"/>
        </w:rPr>
        <w:t xml:space="preserve"> č. 2 jednotnej metodiky)</w:t>
      </w:r>
      <w:r w:rsidRPr="001E47E5">
        <w:rPr>
          <w:rFonts w:ascii="Times New Roman" w:eastAsia="Calibri" w:hAnsi="Times New Roman" w:cs="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6F5FCFFC" w14:textId="77777777" w:rsidR="00315BE2" w:rsidRPr="001E47E5" w:rsidRDefault="00315BE2" w:rsidP="00315BE2">
      <w:pPr>
        <w:spacing w:after="0" w:line="240" w:lineRule="auto"/>
        <w:rPr>
          <w:rFonts w:ascii="Times New Roman" w:eastAsia="Calibri" w:hAnsi="Times New Roman" w:cs="Times New Roman"/>
          <w:i/>
        </w:rPr>
      </w:pPr>
      <w:r w:rsidRPr="001E47E5">
        <w:rPr>
          <w:rFonts w:ascii="Times New Roman" w:eastAsia="Calibri" w:hAnsi="Times New Roman" w:cs="Times New Roman"/>
          <w:i/>
        </w:rPr>
        <w:t>Priame finančné náklady</w:t>
      </w:r>
      <w:r w:rsidR="00DF1462" w:rsidRPr="001E47E5">
        <w:rPr>
          <w:rFonts w:ascii="Times New Roman" w:eastAsia="Calibri" w:hAnsi="Times New Roman" w:cs="Times New Roman"/>
          <w:i/>
        </w:rPr>
        <w:t xml:space="preserve"> (dane, odvody, clá a poplatky, ktorých cieľom je znižovať negatívne externality)</w:t>
      </w:r>
      <w:r w:rsidRPr="001E47E5">
        <w:rPr>
          <w:rFonts w:ascii="Times New Roman" w:eastAsia="Calibri" w:hAnsi="Times New Roman" w:cs="Times New Roman"/>
          <w:i/>
        </w:rPr>
        <w:t xml:space="preserve"> na 1 podnikateľa sú vyčíslené podľa vzorca:</w:t>
      </w:r>
    </w:p>
    <w:p w14:paraId="49BAECA2" w14:textId="77777777" w:rsidR="00315BE2" w:rsidRPr="001E47E5" w:rsidRDefault="005D39D8" w:rsidP="00315BE2">
      <w:pPr>
        <w:spacing w:after="120" w:line="240" w:lineRule="auto"/>
        <w:rPr>
          <w:rFonts w:ascii="Arial" w:eastAsia="Times New Roman" w:hAnsi="Arial" w:cs="Times New Roman"/>
          <w:color w:val="000000"/>
        </w:rPr>
      </w:pPr>
      <w:r w:rsidRPr="001E47E5">
        <w:rPr>
          <w:noProof/>
          <w:lang w:eastAsia="sk-SK"/>
        </w:rPr>
        <mc:AlternateContent>
          <mc:Choice Requires="wpg">
            <w:drawing>
              <wp:anchor distT="0" distB="0" distL="114300" distR="114300" simplePos="0" relativeHeight="251656192" behindDoc="0" locked="0" layoutInCell="1" allowOverlap="1" wp14:anchorId="146E2872" wp14:editId="6112495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4D9622E5" w14:textId="3F548BA6" w:rsidR="00DE024B" w:rsidRDefault="00DE024B"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1CF4A56A" w14:textId="77777777" w:rsidR="00DE024B" w:rsidRDefault="00DE024B" w:rsidP="00315BE2">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D23E1B" w14:textId="77777777" w:rsidR="00DE024B" w:rsidRDefault="00DE024B" w:rsidP="00315BE2">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146E2872" id="Skupina 34" o:spid="_x0000_s1026" style="position:absolute;margin-left:3.4pt;margin-top:10.9pt;width:418.15pt;height:39.75pt;z-index:25165619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4D9622E5" w14:textId="3F548BA6" w:rsidR="00DE024B" w:rsidRDefault="00DE024B"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1CF4A56A" w14:textId="77777777" w:rsidR="00DE024B" w:rsidRDefault="00DE024B" w:rsidP="00315BE2">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AD23E1B" w14:textId="77777777" w:rsidR="00DE024B" w:rsidRDefault="00DE024B" w:rsidP="00315BE2">
                        <w:pPr>
                          <w:pStyle w:val="Normlnywebov"/>
                        </w:pPr>
                        <w:r>
                          <w:rPr>
                            <w:rFonts w:asciiTheme="minorHAnsi" w:hAnsi="Calibri" w:cstheme="minorBidi"/>
                            <w:color w:val="000000" w:themeColor="text1"/>
                            <w:sz w:val="22"/>
                            <w:szCs w:val="22"/>
                          </w:rPr>
                          <w:t>/</w:t>
                        </w:r>
                      </w:p>
                    </w:txbxContent>
                  </v:textbox>
                </v:shape>
              </v:group>
            </w:pict>
          </mc:Fallback>
        </mc:AlternateContent>
      </w:r>
    </w:p>
    <w:p w14:paraId="2314E6E2" w14:textId="77777777" w:rsidR="00315BE2" w:rsidRPr="001E47E5" w:rsidRDefault="00315BE2" w:rsidP="00315BE2">
      <w:pPr>
        <w:spacing w:after="120" w:line="240" w:lineRule="auto"/>
        <w:rPr>
          <w:rFonts w:ascii="Times New Roman" w:eastAsia="Times New Roman" w:hAnsi="Times New Roman" w:cs="Times New Roman"/>
          <w:color w:val="000000"/>
        </w:rPr>
      </w:pPr>
    </w:p>
    <w:p w14:paraId="73EA3262" w14:textId="77777777" w:rsidR="00315BE2" w:rsidRPr="001E47E5" w:rsidRDefault="00315BE2" w:rsidP="00315BE2">
      <w:pPr>
        <w:spacing w:after="120" w:line="240" w:lineRule="auto"/>
        <w:rPr>
          <w:rFonts w:ascii="Times New Roman" w:eastAsia="Calibri" w:hAnsi="Times New Roman" w:cs="Times New Roman"/>
          <w:i/>
        </w:rPr>
      </w:pPr>
    </w:p>
    <w:p w14:paraId="7A9BC1F9" w14:textId="77777777" w:rsidR="00CA6348" w:rsidRPr="001E47E5" w:rsidRDefault="00CA6348" w:rsidP="00315BE2">
      <w:pPr>
        <w:spacing w:after="0" w:line="240" w:lineRule="auto"/>
        <w:rPr>
          <w:rFonts w:ascii="Times New Roman" w:eastAsia="Calibri" w:hAnsi="Times New Roman" w:cs="Times New Roman"/>
          <w:i/>
        </w:rPr>
      </w:pPr>
    </w:p>
    <w:p w14:paraId="446D6EB5" w14:textId="77777777" w:rsidR="00DF1462" w:rsidRPr="001E47E5" w:rsidRDefault="00DF1462" w:rsidP="00315BE2">
      <w:pPr>
        <w:spacing w:after="0" w:line="240" w:lineRule="auto"/>
        <w:rPr>
          <w:rFonts w:ascii="Times New Roman" w:eastAsia="Calibri" w:hAnsi="Times New Roman" w:cs="Times New Roman"/>
          <w:i/>
        </w:rPr>
      </w:pPr>
      <w:r w:rsidRPr="001E47E5">
        <w:rPr>
          <w:rFonts w:ascii="Times New Roman" w:eastAsia="Calibri" w:hAnsi="Times New Roman" w:cs="Times New Roman"/>
          <w:i/>
        </w:rPr>
        <w:t>Priame finančné náklady (iné poplatky) na 1 podnikateľa sú vyčíslené podľa vzorca:</w:t>
      </w:r>
    </w:p>
    <w:p w14:paraId="353CFC55" w14:textId="77777777" w:rsidR="00DF1462" w:rsidRPr="001E47E5" w:rsidRDefault="00DF1462" w:rsidP="00315BE2">
      <w:pPr>
        <w:spacing w:after="0" w:line="240" w:lineRule="auto"/>
        <w:rPr>
          <w:rFonts w:ascii="Times New Roman" w:eastAsia="Calibri" w:hAnsi="Times New Roman" w:cs="Times New Roman"/>
          <w:i/>
        </w:rPr>
      </w:pPr>
      <w:r w:rsidRPr="001E47E5">
        <w:rPr>
          <w:noProof/>
          <w:lang w:eastAsia="sk-SK"/>
        </w:rPr>
        <mc:AlternateContent>
          <mc:Choice Requires="wps">
            <w:drawing>
              <wp:anchor distT="0" distB="0" distL="114300" distR="114300" simplePos="0" relativeHeight="251657216" behindDoc="0" locked="0" layoutInCell="1" allowOverlap="1" wp14:anchorId="1593B991" wp14:editId="5F429CEE">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4B8897" w14:textId="77777777" w:rsidR="00DE024B" w:rsidRDefault="00DE024B"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DE024B" w:rsidRDefault="00DE024B"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DE024B" w:rsidRDefault="00DE024B"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1593B991" id="Rectangle 3" o:spid="_x0000_s1030" style="position:absolute;margin-left:0;margin-top:12.65pt;width:303pt;height:38.3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4B8897" w14:textId="77777777" w:rsidR="00DE024B" w:rsidRDefault="00DE024B"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DE024B" w:rsidRDefault="00DE024B"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DE024B" w:rsidRDefault="00DE024B"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7FA915E7" w14:textId="77777777" w:rsidR="00DF1462" w:rsidRPr="001E47E5" w:rsidRDefault="00DF1462" w:rsidP="00315BE2">
      <w:pPr>
        <w:spacing w:after="0" w:line="240" w:lineRule="auto"/>
        <w:rPr>
          <w:rFonts w:ascii="Times New Roman" w:eastAsia="Calibri" w:hAnsi="Times New Roman" w:cs="Times New Roman"/>
          <w:i/>
        </w:rPr>
      </w:pPr>
      <w:r w:rsidRPr="001E47E5">
        <w:rPr>
          <w:noProof/>
          <w:lang w:eastAsia="sk-SK"/>
        </w:rPr>
        <mc:AlternateContent>
          <mc:Choice Requires="wps">
            <w:drawing>
              <wp:anchor distT="0" distB="0" distL="114300" distR="114300" simplePos="0" relativeHeight="251658240" behindDoc="0" locked="0" layoutInCell="1" allowOverlap="1" wp14:anchorId="198B4B94" wp14:editId="0FDF1C93">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9E23EB" w14:textId="77777777" w:rsidR="00DE024B" w:rsidRDefault="00DE024B"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98B4B94" id="BlokTextu 187" o:spid="_x0000_s1031" type="#_x0000_t202" style="position:absolute;margin-left:303pt;margin-top:10pt;width:19.6pt;height:17.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2C9E23EB" w14:textId="77777777" w:rsidR="00DE024B" w:rsidRDefault="00DE024B" w:rsidP="00DF1462">
                      <w:pPr>
                        <w:pStyle w:val="Normlnywebov"/>
                      </w:pPr>
                      <w:r>
                        <w:rPr>
                          <w:rFonts w:ascii="Arial" w:hAnsi="Arial" w:cs="Arial"/>
                          <w:b/>
                          <w:bCs/>
                          <w:color w:val="000000" w:themeColor="text1"/>
                          <w:sz w:val="18"/>
                          <w:szCs w:val="18"/>
                        </w:rPr>
                        <w:t>x</w:t>
                      </w:r>
                    </w:p>
                  </w:txbxContent>
                </v:textbox>
              </v:shape>
            </w:pict>
          </mc:Fallback>
        </mc:AlternateContent>
      </w:r>
      <w:r w:rsidRPr="001E47E5">
        <w:rPr>
          <w:noProof/>
          <w:lang w:eastAsia="sk-SK"/>
        </w:rPr>
        <mc:AlternateContent>
          <mc:Choice Requires="wps">
            <w:drawing>
              <wp:anchor distT="0" distB="0" distL="114300" distR="114300" simplePos="0" relativeHeight="251659264" behindDoc="0" locked="0" layoutInCell="1" allowOverlap="1" wp14:anchorId="7D57E287" wp14:editId="2F9A5EEA">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7E65C716" w14:textId="77777777" w:rsidR="00DE024B" w:rsidRDefault="00DE024B"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D57E287" id="_x0000_s1032" style="position:absolute;margin-left:322.55pt;margin-top:.5pt;width:99.3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7E65C716" w14:textId="77777777" w:rsidR="00DE024B" w:rsidRDefault="00DE024B"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14BA34A2" w14:textId="77777777" w:rsidR="00DF1462" w:rsidRPr="001E47E5" w:rsidRDefault="00DF1462" w:rsidP="00315BE2">
      <w:pPr>
        <w:spacing w:after="0" w:line="240" w:lineRule="auto"/>
        <w:rPr>
          <w:rFonts w:ascii="Times New Roman" w:eastAsia="Calibri" w:hAnsi="Times New Roman" w:cs="Times New Roman"/>
          <w:i/>
        </w:rPr>
      </w:pPr>
    </w:p>
    <w:p w14:paraId="4681EC1D" w14:textId="77777777" w:rsidR="00DF1462" w:rsidRPr="001E47E5" w:rsidRDefault="00DF1462" w:rsidP="00315BE2">
      <w:pPr>
        <w:spacing w:after="0" w:line="240" w:lineRule="auto"/>
        <w:rPr>
          <w:rFonts w:ascii="Times New Roman" w:eastAsia="Calibri" w:hAnsi="Times New Roman" w:cs="Times New Roman"/>
          <w:i/>
        </w:rPr>
      </w:pPr>
      <w:r w:rsidRPr="001E47E5">
        <w:rPr>
          <w:rFonts w:ascii="Times New Roman" w:eastAsia="Calibri" w:hAnsi="Times New Roman" w:cs="Times New Roman"/>
          <w:i/>
        </w:rPr>
        <w:t xml:space="preserve"> </w:t>
      </w:r>
    </w:p>
    <w:p w14:paraId="014BF665" w14:textId="77777777" w:rsidR="00DF1462" w:rsidRPr="001E47E5" w:rsidRDefault="00DF1462" w:rsidP="00315BE2">
      <w:pPr>
        <w:spacing w:after="0" w:line="240" w:lineRule="auto"/>
        <w:rPr>
          <w:rFonts w:ascii="Times New Roman" w:eastAsia="Calibri" w:hAnsi="Times New Roman" w:cs="Times New Roman"/>
          <w:i/>
        </w:rPr>
      </w:pPr>
    </w:p>
    <w:p w14:paraId="5A383CB5" w14:textId="77777777" w:rsidR="00DF1462" w:rsidRPr="001E47E5" w:rsidRDefault="00DF1462" w:rsidP="00DF1462">
      <w:pPr>
        <w:spacing w:after="0" w:line="240" w:lineRule="auto"/>
        <w:rPr>
          <w:rFonts w:ascii="Times New Roman" w:eastAsia="Calibri" w:hAnsi="Times New Roman" w:cs="Times New Roman"/>
        </w:rPr>
      </w:pPr>
      <w:r w:rsidRPr="001E47E5">
        <w:rPr>
          <w:rFonts w:ascii="Times New Roman" w:eastAsia="Calibri" w:hAnsi="Times New Roman" w:cs="Times New Roman"/>
          <w:i/>
        </w:rPr>
        <w:t xml:space="preserve">Nepriame finančné náklady (sankcie a pokuty) na 1 podnikateľa </w:t>
      </w:r>
      <w:r w:rsidRPr="001E47E5">
        <w:rPr>
          <w:rFonts w:ascii="Times New Roman" w:eastAsia="Calibri" w:hAnsi="Times New Roman" w:cs="Times New Roman"/>
        </w:rPr>
        <w:t>sú vyčíslené na základe vzorca:</w:t>
      </w:r>
    </w:p>
    <w:p w14:paraId="3A7DD88D" w14:textId="77777777" w:rsidR="00DF1462" w:rsidRPr="001E47E5" w:rsidRDefault="00DF1462" w:rsidP="00315BE2">
      <w:pPr>
        <w:spacing w:after="0" w:line="240" w:lineRule="auto"/>
        <w:rPr>
          <w:rFonts w:ascii="Times New Roman" w:eastAsia="Calibri" w:hAnsi="Times New Roman" w:cs="Times New Roman"/>
          <w:i/>
        </w:rPr>
      </w:pPr>
    </w:p>
    <w:p w14:paraId="08E974A4" w14:textId="77777777" w:rsidR="00DF1462" w:rsidRPr="001E47E5" w:rsidRDefault="00DF1462" w:rsidP="00315BE2">
      <w:pPr>
        <w:spacing w:after="0" w:line="240" w:lineRule="auto"/>
        <w:rPr>
          <w:rFonts w:ascii="Times New Roman" w:eastAsia="Calibri" w:hAnsi="Times New Roman" w:cs="Times New Roman"/>
          <w:i/>
        </w:rPr>
      </w:pPr>
      <w:r w:rsidRPr="001E47E5">
        <w:rPr>
          <w:noProof/>
          <w:lang w:eastAsia="sk-SK"/>
        </w:rPr>
        <mc:AlternateContent>
          <mc:Choice Requires="wps">
            <w:drawing>
              <wp:anchor distT="0" distB="0" distL="114300" distR="114300" simplePos="0" relativeHeight="251662336" behindDoc="0" locked="0" layoutInCell="1" allowOverlap="1" wp14:anchorId="5037F2E0" wp14:editId="0D6D5A3D">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343F0061" w14:textId="77777777" w:rsidR="00DE024B" w:rsidRDefault="00DE024B" w:rsidP="00DF1462">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037F2E0" id="_x0000_s1033" style="position:absolute;margin-left:322.1pt;margin-top:3.95pt;width:98.35pt;height: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343F0061" w14:textId="77777777" w:rsidR="00DE024B" w:rsidRDefault="00DE024B" w:rsidP="00DF1462">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1E47E5">
        <w:rPr>
          <w:noProof/>
          <w:lang w:eastAsia="sk-SK"/>
        </w:rPr>
        <mc:AlternateContent>
          <mc:Choice Requires="wps">
            <w:drawing>
              <wp:anchor distT="0" distB="0" distL="114300" distR="114300" simplePos="0" relativeHeight="251661312" behindDoc="0" locked="0" layoutInCell="1" allowOverlap="1" wp14:anchorId="372B87FD" wp14:editId="1C0CC6BC">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2EA7D0" w14:textId="77777777" w:rsidR="00DE024B" w:rsidRDefault="00DE024B" w:rsidP="00DF1462">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72B87FD" id="BlokTextu 148" o:spid="_x0000_s1034" type="#_x0000_t202" style="position:absolute;margin-left:303.45pt;margin-top:11.85pt;width:17.05pt;height:1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D2EA7D0" w14:textId="77777777" w:rsidR="00DE024B" w:rsidRDefault="00DE024B" w:rsidP="00DF1462">
                      <w:pPr>
                        <w:pStyle w:val="Normlnywebov"/>
                      </w:pPr>
                      <w:r>
                        <w:rPr>
                          <w:rFonts w:ascii="Arial" w:hAnsi="Arial" w:cs="Arial"/>
                          <w:b/>
                          <w:bCs/>
                          <w:color w:val="000000" w:themeColor="text1"/>
                          <w:sz w:val="18"/>
                          <w:szCs w:val="18"/>
                        </w:rPr>
                        <w:t>/</w:t>
                      </w:r>
                    </w:p>
                  </w:txbxContent>
                </v:textbox>
              </v:shape>
            </w:pict>
          </mc:Fallback>
        </mc:AlternateContent>
      </w:r>
      <w:r w:rsidRPr="001E47E5">
        <w:rPr>
          <w:noProof/>
          <w:lang w:eastAsia="sk-SK"/>
        </w:rPr>
        <mc:AlternateContent>
          <mc:Choice Requires="wps">
            <w:drawing>
              <wp:anchor distT="0" distB="0" distL="114300" distR="114300" simplePos="0" relativeHeight="251660288" behindDoc="0" locked="0" layoutInCell="1" allowOverlap="1" wp14:anchorId="3130DB43" wp14:editId="3A585F53">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057FB10" w14:textId="77777777" w:rsidR="00DE024B" w:rsidRDefault="00DE024B"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DE024B" w:rsidRDefault="00DE024B"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DE024B" w:rsidRDefault="00DE024B"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3130DB43" id="_x0000_s1035" style="position:absolute;margin-left:0;margin-top:2.85pt;width:300.75pt;height:38.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057FB10" w14:textId="77777777" w:rsidR="00DE024B" w:rsidRDefault="00DE024B"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DE024B" w:rsidRDefault="00DE024B"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DE024B" w:rsidRDefault="00DE024B"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7F2C5BC4" w14:textId="77777777" w:rsidR="00DF1462" w:rsidRPr="001E47E5" w:rsidRDefault="00DF1462" w:rsidP="00315BE2">
      <w:pPr>
        <w:spacing w:after="0" w:line="240" w:lineRule="auto"/>
        <w:rPr>
          <w:rFonts w:ascii="Times New Roman" w:eastAsia="Calibri" w:hAnsi="Times New Roman" w:cs="Times New Roman"/>
          <w:i/>
        </w:rPr>
      </w:pPr>
    </w:p>
    <w:p w14:paraId="63C96423" w14:textId="77777777" w:rsidR="00DF1462" w:rsidRPr="001E47E5" w:rsidRDefault="00DF1462" w:rsidP="00315BE2">
      <w:pPr>
        <w:spacing w:after="0" w:line="240" w:lineRule="auto"/>
        <w:rPr>
          <w:rFonts w:ascii="Times New Roman" w:eastAsia="Calibri" w:hAnsi="Times New Roman" w:cs="Times New Roman"/>
          <w:i/>
        </w:rPr>
      </w:pPr>
    </w:p>
    <w:p w14:paraId="40138F52" w14:textId="77777777" w:rsidR="00DF1462" w:rsidRPr="001E47E5" w:rsidRDefault="00DF1462" w:rsidP="00315BE2">
      <w:pPr>
        <w:spacing w:after="0" w:line="240" w:lineRule="auto"/>
        <w:rPr>
          <w:rFonts w:ascii="Times New Roman" w:eastAsia="Calibri" w:hAnsi="Times New Roman" w:cs="Times New Roman"/>
          <w:i/>
        </w:rPr>
      </w:pPr>
    </w:p>
    <w:p w14:paraId="496E1940" w14:textId="77777777" w:rsidR="00DF1462" w:rsidRPr="001E47E5" w:rsidRDefault="00DF1462" w:rsidP="00315BE2">
      <w:pPr>
        <w:spacing w:after="0" w:line="240" w:lineRule="auto"/>
        <w:rPr>
          <w:rFonts w:ascii="Times New Roman" w:eastAsia="Calibri" w:hAnsi="Times New Roman" w:cs="Times New Roman"/>
          <w:i/>
        </w:rPr>
      </w:pPr>
    </w:p>
    <w:p w14:paraId="1FCB8BA3" w14:textId="77777777" w:rsidR="00315BE2" w:rsidRPr="001E47E5" w:rsidRDefault="00315BE2" w:rsidP="00315BE2">
      <w:pPr>
        <w:spacing w:after="0" w:line="240" w:lineRule="auto"/>
        <w:rPr>
          <w:rFonts w:ascii="Times New Roman" w:eastAsia="Calibri" w:hAnsi="Times New Roman" w:cs="Times New Roman"/>
        </w:rPr>
      </w:pPr>
      <w:r w:rsidRPr="001E47E5">
        <w:rPr>
          <w:rFonts w:ascii="Times New Roman" w:eastAsia="Calibri" w:hAnsi="Times New Roman" w:cs="Times New Roman"/>
          <w:i/>
        </w:rPr>
        <w:t xml:space="preserve">Nepriame finančné náklady na 1 podnikateľa </w:t>
      </w:r>
      <w:r w:rsidRPr="001E47E5">
        <w:rPr>
          <w:rFonts w:ascii="Times New Roman" w:eastAsia="Calibri" w:hAnsi="Times New Roman" w:cs="Times New Roman"/>
        </w:rPr>
        <w:t>sú vyčíslené na základe vzorca:</w:t>
      </w:r>
    </w:p>
    <w:p w14:paraId="5EB8A875" w14:textId="4DE2E8A0" w:rsidR="00315BE2" w:rsidRPr="001E47E5" w:rsidRDefault="00DF1462" w:rsidP="00315BE2">
      <w:pPr>
        <w:spacing w:after="120" w:line="240" w:lineRule="auto"/>
        <w:rPr>
          <w:rFonts w:ascii="Times New Roman" w:eastAsia="Calibri" w:hAnsi="Times New Roman" w:cs="Times New Roman"/>
        </w:rPr>
      </w:pPr>
      <w:r w:rsidRPr="001E47E5">
        <w:rPr>
          <w:noProof/>
          <w:lang w:eastAsia="sk-SK"/>
        </w:rPr>
        <mc:AlternateContent>
          <mc:Choice Requires="wps">
            <w:drawing>
              <wp:anchor distT="0" distB="0" distL="114300" distR="114300" simplePos="0" relativeHeight="251665408" behindDoc="0" locked="0" layoutInCell="1" allowOverlap="1" wp14:anchorId="6B4DBFA7" wp14:editId="20BE54F8">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5BD769E0" w14:textId="77777777" w:rsidR="00DE024B" w:rsidRDefault="00DE024B"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6B4DBFA7" id="_x0000_s1036" style="position:absolute;margin-left:321.4pt;margin-top:12.8pt;width:99.35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5BD769E0" w14:textId="77777777" w:rsidR="00DE024B" w:rsidRDefault="00DE024B"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1E47E5">
        <w:rPr>
          <w:noProof/>
          <w:lang w:eastAsia="sk-SK"/>
        </w:rPr>
        <mc:AlternateContent>
          <mc:Choice Requires="wps">
            <w:drawing>
              <wp:anchor distT="0" distB="0" distL="114300" distR="114300" simplePos="0" relativeHeight="251663360" behindDoc="0" locked="0" layoutInCell="1" allowOverlap="1" wp14:anchorId="40CE65C4" wp14:editId="4922E878">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5BF00ED7" w14:textId="77777777" w:rsidR="00DE024B" w:rsidRDefault="00DE024B"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DE024B" w:rsidRDefault="00DE024B"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DE024B" w:rsidRDefault="00DE024B"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DE024B" w:rsidRDefault="00DE024B" w:rsidP="00DF1462">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0CE65C4" id="_x0000_s1037" style="position:absolute;margin-left:0;margin-top:12.45pt;width:299.25pt;height:37.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5BF00ED7" w14:textId="77777777" w:rsidR="00DE024B" w:rsidRDefault="00DE024B"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DE024B" w:rsidRDefault="00DE024B"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DE024B" w:rsidRDefault="00DE024B"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DE024B" w:rsidRDefault="00DE024B" w:rsidP="00DF1462">
                      <w:pPr>
                        <w:pStyle w:val="Normlnywebov"/>
                        <w:jc w:val="center"/>
                        <w:textAlignment w:val="baseline"/>
                      </w:pPr>
                    </w:p>
                  </w:txbxContent>
                </v:textbox>
                <w10:wrap type="square" anchorx="margin"/>
              </v:rect>
            </w:pict>
          </mc:Fallback>
        </mc:AlternateContent>
      </w:r>
    </w:p>
    <w:p w14:paraId="6D236BD7" w14:textId="77777777" w:rsidR="00315BE2" w:rsidRPr="001E47E5" w:rsidRDefault="00DF1462" w:rsidP="00315BE2">
      <w:pPr>
        <w:spacing w:after="120" w:line="240" w:lineRule="auto"/>
        <w:rPr>
          <w:rFonts w:ascii="Times New Roman" w:eastAsia="Calibri" w:hAnsi="Times New Roman" w:cs="Times New Roman"/>
        </w:rPr>
      </w:pPr>
      <w:r w:rsidRPr="001E47E5">
        <w:rPr>
          <w:noProof/>
          <w:lang w:eastAsia="sk-SK"/>
        </w:rPr>
        <mc:AlternateContent>
          <mc:Choice Requires="wps">
            <w:drawing>
              <wp:anchor distT="0" distB="0" distL="114300" distR="114300" simplePos="0" relativeHeight="251664384" behindDoc="0" locked="0" layoutInCell="1" allowOverlap="1" wp14:anchorId="3082D18F" wp14:editId="25AE23EE">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490BC" w14:textId="77777777" w:rsidR="00DE024B" w:rsidRDefault="00DE024B"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082D18F" id="BlokTextu 112" o:spid="_x0000_s1038" type="#_x0000_t202" style="position:absolute;margin-left:303.4pt;margin-top:.55pt;width:19.6pt;height:17.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008490BC" w14:textId="77777777" w:rsidR="00DE024B" w:rsidRDefault="00DE024B" w:rsidP="00DF1462">
                      <w:pPr>
                        <w:pStyle w:val="Normlnywebov"/>
                      </w:pPr>
                      <w:r>
                        <w:rPr>
                          <w:rFonts w:ascii="Arial" w:hAnsi="Arial" w:cs="Arial"/>
                          <w:b/>
                          <w:bCs/>
                          <w:color w:val="000000" w:themeColor="text1"/>
                          <w:sz w:val="18"/>
                          <w:szCs w:val="18"/>
                        </w:rPr>
                        <w:t>x</w:t>
                      </w:r>
                    </w:p>
                  </w:txbxContent>
                </v:textbox>
              </v:shape>
            </w:pict>
          </mc:Fallback>
        </mc:AlternateContent>
      </w:r>
    </w:p>
    <w:p w14:paraId="02ED010F" w14:textId="77777777" w:rsidR="00315BE2" w:rsidRPr="001E47E5" w:rsidRDefault="00315BE2" w:rsidP="00315BE2">
      <w:pPr>
        <w:spacing w:after="120" w:line="240" w:lineRule="auto"/>
        <w:rPr>
          <w:rFonts w:ascii="Arial" w:eastAsia="Times New Roman" w:hAnsi="Arial" w:cs="Times New Roman"/>
          <w:color w:val="000000"/>
        </w:rPr>
      </w:pPr>
    </w:p>
    <w:p w14:paraId="594E49EE" w14:textId="77777777" w:rsidR="00315BE2" w:rsidRPr="001E47E5" w:rsidRDefault="00315BE2" w:rsidP="00315BE2">
      <w:pPr>
        <w:spacing w:after="120" w:line="240" w:lineRule="auto"/>
        <w:rPr>
          <w:rFonts w:ascii="Times New Roman" w:eastAsia="Calibri" w:hAnsi="Times New Roman" w:cs="Times New Roman"/>
        </w:rPr>
      </w:pPr>
      <w:r w:rsidRPr="001E47E5">
        <w:rPr>
          <w:rFonts w:ascii="Times New Roman" w:eastAsia="Calibri" w:hAnsi="Times New Roman" w:cs="Times New Roman"/>
          <w:i/>
        </w:rPr>
        <w:t xml:space="preserve">Administratívne náklady na 1 podnikateľa </w:t>
      </w:r>
      <w:r w:rsidRPr="001E47E5">
        <w:rPr>
          <w:rFonts w:ascii="Times New Roman" w:eastAsia="Calibri" w:hAnsi="Times New Roman" w:cs="Times New Roman"/>
        </w:rPr>
        <w:t>sú vyčíslené na základe vzorca:</w:t>
      </w:r>
      <w:r w:rsidR="005D39D8" w:rsidRPr="001E47E5">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49024" behindDoc="0" locked="0" layoutInCell="1" allowOverlap="1" wp14:anchorId="24A53828" wp14:editId="71681013">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28DB911" w14:textId="6AE8E96F"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21238B75" w14:textId="77777777" w:rsidR="00DE024B" w:rsidRDefault="00DE024B" w:rsidP="00315BE2">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6BAA6781" w14:textId="77777777"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1E6220F" w14:textId="77777777" w:rsidR="00DE024B" w:rsidRDefault="00DE024B" w:rsidP="00315BE2">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6392BE69" w14:textId="40D90229"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4A53828" id="Skupina 19" o:spid="_x0000_s1039" style="position:absolute;margin-left:-.35pt;margin-top:18.95pt;width:250.5pt;height:35.1pt;z-index:25164902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28DB911" w14:textId="6AE8E96F"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238B75" w14:textId="77777777" w:rsidR="00DE024B" w:rsidRDefault="00DE024B" w:rsidP="00315BE2">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6BAA6781" w14:textId="77777777"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E6220F" w14:textId="77777777" w:rsidR="00DE024B" w:rsidRDefault="00DE024B" w:rsidP="00315BE2">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6392BE69" w14:textId="40D90229"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2B77131F" w14:textId="77777777" w:rsidR="00315BE2" w:rsidRPr="001E47E5" w:rsidRDefault="00315BE2" w:rsidP="00315BE2">
      <w:pPr>
        <w:spacing w:after="120" w:line="240" w:lineRule="auto"/>
        <w:rPr>
          <w:rFonts w:ascii="Times New Roman" w:eastAsia="Times New Roman" w:hAnsi="Times New Roman" w:cs="Times New Roman"/>
          <w:noProof/>
          <w:color w:val="000000"/>
          <w:lang w:eastAsia="sk-SK"/>
        </w:rPr>
      </w:pPr>
    </w:p>
    <w:p w14:paraId="122546B5" w14:textId="77777777" w:rsidR="00315BE2" w:rsidRPr="001E47E5" w:rsidRDefault="00315BE2" w:rsidP="00315BE2">
      <w:pPr>
        <w:spacing w:after="120" w:line="240" w:lineRule="auto"/>
        <w:rPr>
          <w:rFonts w:ascii="Times New Roman" w:eastAsia="Times New Roman" w:hAnsi="Times New Roman" w:cs="Times New Roman"/>
          <w:color w:val="000000"/>
        </w:rPr>
      </w:pPr>
    </w:p>
    <w:p w14:paraId="3B165B4E" w14:textId="77777777" w:rsidR="00315BE2" w:rsidRPr="001E47E5" w:rsidRDefault="00315BE2" w:rsidP="00315BE2">
      <w:pPr>
        <w:spacing w:after="120" w:line="240" w:lineRule="auto"/>
        <w:rPr>
          <w:rFonts w:ascii="Times New Roman" w:eastAsia="Times New Roman" w:hAnsi="Times New Roman" w:cs="Times New Roman"/>
          <w:i/>
          <w:color w:val="000000"/>
        </w:rPr>
      </w:pPr>
    </w:p>
    <w:p w14:paraId="63B99919" w14:textId="1529D157" w:rsidR="00315BE2" w:rsidRPr="001E47E5" w:rsidRDefault="00315BE2" w:rsidP="00315BE2">
      <w:pPr>
        <w:spacing w:after="120" w:line="240" w:lineRule="auto"/>
        <w:rPr>
          <w:rFonts w:ascii="Times New Roman" w:eastAsia="Times New Roman" w:hAnsi="Times New Roman" w:cs="Times New Roman"/>
          <w:i/>
        </w:rPr>
      </w:pPr>
      <w:r w:rsidRPr="001E47E5">
        <w:rPr>
          <w:rFonts w:ascii="Times New Roman" w:eastAsia="Times New Roman" w:hAnsi="Times New Roman" w:cs="Times New Roman"/>
          <w:i/>
        </w:rPr>
        <w:t xml:space="preserve">* Pokyny k vyplneniu frekvencie plnenia povinnosti sú uvedené na str. </w:t>
      </w:r>
      <w:r w:rsidR="003A686F" w:rsidRPr="001E47E5">
        <w:rPr>
          <w:rFonts w:ascii="Times New Roman" w:eastAsia="Times New Roman" w:hAnsi="Times New Roman" w:cs="Times New Roman"/>
          <w:i/>
        </w:rPr>
        <w:t>11</w:t>
      </w:r>
    </w:p>
    <w:p w14:paraId="62334526" w14:textId="784731AB" w:rsidR="00315BE2" w:rsidRPr="001E47E5" w:rsidRDefault="00315BE2" w:rsidP="00315BE2">
      <w:pPr>
        <w:spacing w:after="120" w:line="240" w:lineRule="auto"/>
        <w:rPr>
          <w:rFonts w:ascii="Times New Roman" w:eastAsia="Times New Roman" w:hAnsi="Times New Roman" w:cs="Times New Roman"/>
          <w:i/>
        </w:rPr>
      </w:pPr>
      <w:r w:rsidRPr="001E47E5">
        <w:rPr>
          <w:rFonts w:ascii="Times New Roman" w:eastAsia="Times New Roman" w:hAnsi="Times New Roman" w:cs="Times New Roman"/>
          <w:i/>
        </w:rPr>
        <w:lastRenderedPageBreak/>
        <w:t xml:space="preserve">** Pokyny k vyplneniu časovej náročnosti sú uvedené na str. </w:t>
      </w:r>
      <w:r w:rsidR="003A686F" w:rsidRPr="001E47E5">
        <w:rPr>
          <w:rFonts w:ascii="Times New Roman" w:eastAsia="Times New Roman" w:hAnsi="Times New Roman" w:cs="Times New Roman"/>
          <w:i/>
        </w:rPr>
        <w:t>11 a 12</w:t>
      </w:r>
    </w:p>
    <w:p w14:paraId="63F0A050" w14:textId="77777777" w:rsidR="00315BE2" w:rsidRPr="001E47E5" w:rsidRDefault="00315BE2" w:rsidP="00315BE2">
      <w:pPr>
        <w:spacing w:after="120" w:line="240" w:lineRule="auto"/>
        <w:jc w:val="both"/>
        <w:rPr>
          <w:rFonts w:ascii="Times New Roman" w:eastAsia="Times New Roman" w:hAnsi="Times New Roman" w:cs="Times New Roman"/>
          <w:i/>
          <w:color w:val="000000"/>
        </w:rPr>
      </w:pPr>
      <w:r w:rsidRPr="001E47E5">
        <w:rPr>
          <w:rFonts w:ascii="Times New Roman" w:eastAsia="Times New Roman" w:hAnsi="Times New Roman" w:cs="Times New Roman"/>
          <w:i/>
        </w:rPr>
        <w:t xml:space="preserve">*** Tarifa – pre zjednodušenie výpočtov vychádza z priemernej ceny práce, ktorá je uvedená v Kalkulačke nákladov (priemerná mzda + odvody zamestnávateľa). </w:t>
      </w:r>
    </w:p>
    <w:p w14:paraId="21431147" w14:textId="77777777" w:rsidR="00315BE2" w:rsidRPr="001E47E5" w:rsidRDefault="00315BE2" w:rsidP="00315BE2">
      <w:pPr>
        <w:spacing w:after="120" w:line="240" w:lineRule="auto"/>
        <w:rPr>
          <w:rFonts w:ascii="Times New Roman" w:eastAsia="Calibri" w:hAnsi="Times New Roman" w:cs="Times New Roman"/>
          <w:i/>
        </w:rPr>
      </w:pPr>
    </w:p>
    <w:p w14:paraId="24FAA012" w14:textId="6B17257B" w:rsidR="00315BE2" w:rsidRPr="001E47E5" w:rsidRDefault="00315BE2" w:rsidP="00315BE2">
      <w:pPr>
        <w:spacing w:after="120" w:line="240" w:lineRule="auto"/>
        <w:rPr>
          <w:rFonts w:ascii="Times New Roman" w:eastAsia="Calibri" w:hAnsi="Times New Roman" w:cs="Times New Roman"/>
        </w:rPr>
      </w:pPr>
      <w:r w:rsidRPr="001E47E5">
        <w:rPr>
          <w:rFonts w:ascii="Times New Roman" w:eastAsia="Calibri" w:hAnsi="Times New Roman" w:cs="Times New Roman"/>
          <w:i/>
        </w:rPr>
        <w:t xml:space="preserve">Celkové náklady na 1 podnikateľa </w:t>
      </w:r>
      <w:r w:rsidRPr="001E47E5">
        <w:rPr>
          <w:rFonts w:ascii="Times New Roman" w:eastAsia="Calibri" w:hAnsi="Times New Roman" w:cs="Times New Roman"/>
        </w:rPr>
        <w:t>sú vyčíslené na základe vzorca:</w:t>
      </w:r>
    </w:p>
    <w:p w14:paraId="3DDB8CC2" w14:textId="77777777" w:rsidR="00315BE2" w:rsidRPr="001E47E5" w:rsidRDefault="00315BE2" w:rsidP="00315BE2">
      <w:pPr>
        <w:spacing w:after="120" w:line="240" w:lineRule="auto"/>
        <w:rPr>
          <w:rFonts w:ascii="Arial" w:eastAsia="Times New Roman" w:hAnsi="Arial" w:cs="Times New Roman"/>
          <w:color w:val="000000"/>
        </w:rPr>
      </w:pPr>
    </w:p>
    <w:p w14:paraId="2AB3CD7D" w14:textId="77777777" w:rsidR="00315BE2" w:rsidRPr="001E47E5" w:rsidRDefault="00394AD2" w:rsidP="00315BE2">
      <w:pPr>
        <w:spacing w:after="120" w:line="240" w:lineRule="auto"/>
        <w:rPr>
          <w:rFonts w:ascii="Arial" w:eastAsia="Times New Roman" w:hAnsi="Arial" w:cs="Times New Roman"/>
          <w:color w:val="000000"/>
        </w:rPr>
      </w:pPr>
      <w:r w:rsidRPr="001E47E5">
        <w:rPr>
          <w:noProof/>
          <w:lang w:eastAsia="sk-SK"/>
        </w:rPr>
        <mc:AlternateContent>
          <mc:Choice Requires="wps">
            <w:drawing>
              <wp:anchor distT="0" distB="0" distL="114300" distR="114300" simplePos="0" relativeHeight="251675648" behindDoc="0" locked="0" layoutInCell="1" allowOverlap="1" wp14:anchorId="37D53DEF" wp14:editId="0AB5D71D">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35216D" w14:textId="77777777" w:rsidR="00DE024B" w:rsidRDefault="00DE024B"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7D53DEF"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7C35216D" w14:textId="77777777" w:rsidR="00DE024B" w:rsidRDefault="00DE024B"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1E47E5">
        <w:rPr>
          <w:noProof/>
          <w:lang w:eastAsia="sk-SK"/>
        </w:rPr>
        <mc:AlternateContent>
          <mc:Choice Requires="wps">
            <w:drawing>
              <wp:anchor distT="0" distB="0" distL="114300" distR="114300" simplePos="0" relativeHeight="251673600" behindDoc="0" locked="0" layoutInCell="1" allowOverlap="1" wp14:anchorId="7D0A2C7A" wp14:editId="0A59465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0C6E38" w14:textId="77777777" w:rsidR="00DE024B" w:rsidRDefault="00DE024B"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D0A2C7A" id="_x0000_s1046" type="#_x0000_t202" style="position:absolute;margin-left:286.9pt;margin-top:41.6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2E0C6E38" w14:textId="77777777" w:rsidR="00DE024B" w:rsidRDefault="00DE024B"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1E47E5">
        <w:rPr>
          <w:noProof/>
          <w:lang w:eastAsia="sk-SK"/>
        </w:rPr>
        <mc:AlternateContent>
          <mc:Choice Requires="wps">
            <w:drawing>
              <wp:anchor distT="0" distB="0" distL="114300" distR="114300" simplePos="0" relativeHeight="251671552" behindDoc="0" locked="0" layoutInCell="1" allowOverlap="1" wp14:anchorId="1DEB9753" wp14:editId="72191554">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F58EE9" w14:textId="77777777" w:rsidR="00DE024B" w:rsidRDefault="00DE024B"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DEB9753" id="_x0000_s1047" type="#_x0000_t202" style="position:absolute;margin-left:196.15pt;margin-top:39.75pt;width:19.6pt;height:20.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7BF58EE9" w14:textId="77777777" w:rsidR="00DE024B" w:rsidRDefault="00DE024B" w:rsidP="00394AD2">
                      <w:pPr>
                        <w:pStyle w:val="Normlnywebov"/>
                      </w:pPr>
                      <w:r>
                        <w:rPr>
                          <w:rFonts w:asciiTheme="minorHAnsi" w:hAnsi="Calibri" w:cstheme="minorBidi"/>
                          <w:b/>
                          <w:bCs/>
                          <w:color w:val="000000" w:themeColor="text1"/>
                          <w:sz w:val="22"/>
                          <w:szCs w:val="22"/>
                        </w:rPr>
                        <w:t>+</w:t>
                      </w:r>
                    </w:p>
                  </w:txbxContent>
                </v:textbox>
              </v:shape>
            </w:pict>
          </mc:Fallback>
        </mc:AlternateContent>
      </w:r>
      <w:r w:rsidRPr="001E47E5">
        <w:rPr>
          <w:noProof/>
          <w:lang w:eastAsia="sk-SK"/>
        </w:rPr>
        <mc:AlternateContent>
          <mc:Choice Requires="wpg">
            <w:drawing>
              <wp:anchor distT="0" distB="0" distL="114300" distR="114300" simplePos="0" relativeHeight="251667456" behindDoc="0" locked="0" layoutInCell="1" allowOverlap="1" wp14:anchorId="475430F9" wp14:editId="03E7AB3C">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29E52022" w14:textId="77777777" w:rsidR="00DE024B" w:rsidRDefault="00DE024B"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DE024B" w:rsidRDefault="00DE024B"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4EDE59B2" w14:textId="77777777" w:rsidR="00DE024B" w:rsidRDefault="00DE024B"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DE024B" w:rsidRDefault="00DE024B"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DE024B" w:rsidRDefault="00DE024B"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45C32FEC" w14:textId="77777777" w:rsidR="00DE024B" w:rsidRDefault="00DE024B"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DE024B" w:rsidRDefault="00DE024B"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DE024B" w:rsidRDefault="00DE024B"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1D5278CE" w14:textId="77777777" w:rsidR="00DE024B" w:rsidRDefault="00DE024B"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DE024B" w:rsidRDefault="00DE024B"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DE024B" w:rsidRDefault="00DE024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B73844" w14:textId="77777777" w:rsidR="00DE024B" w:rsidRDefault="00DE024B" w:rsidP="00394AD2">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28D276" w14:textId="77777777" w:rsidR="00DE024B" w:rsidRDefault="00DE024B" w:rsidP="00394AD2">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75430F9" id="Skupina 88" o:spid="_x0000_s1048" style="position:absolute;margin-left:0;margin-top:14.25pt;width:470.25pt;height:71.1pt;z-index:2516674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29E52022" w14:textId="77777777" w:rsidR="00DE024B" w:rsidRDefault="00DE024B"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DE024B" w:rsidRDefault="00DE024B"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4EDE59B2" w14:textId="77777777" w:rsidR="00DE024B" w:rsidRDefault="00DE024B"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DE024B" w:rsidRDefault="00DE024B"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DE024B" w:rsidRDefault="00DE024B"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45C32FEC" w14:textId="77777777" w:rsidR="00DE024B" w:rsidRDefault="00DE024B"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DE024B" w:rsidRDefault="00DE024B"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DE024B" w:rsidRDefault="00DE024B"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D5278CE" w14:textId="77777777" w:rsidR="00DE024B" w:rsidRDefault="00DE024B"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DE024B" w:rsidRDefault="00DE024B"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DE024B" w:rsidRDefault="00DE024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7FB73844" w14:textId="77777777" w:rsidR="00DE024B" w:rsidRDefault="00DE024B" w:rsidP="00394AD2">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28D276" w14:textId="77777777" w:rsidR="00DE024B" w:rsidRDefault="00DE024B" w:rsidP="00394AD2">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1E47E5">
        <w:rPr>
          <w:noProof/>
          <w:lang w:eastAsia="sk-SK"/>
        </w:rPr>
        <mc:AlternateContent>
          <mc:Choice Requires="wps">
            <w:drawing>
              <wp:anchor distT="0" distB="0" distL="114300" distR="114300" simplePos="0" relativeHeight="251669504" behindDoc="0" locked="0" layoutInCell="1" allowOverlap="1" wp14:anchorId="69A0CA0D" wp14:editId="587449D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0C5811FD" w14:textId="77777777" w:rsidR="00DE024B" w:rsidRDefault="00DE024B"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DE024B" w:rsidRDefault="00DE024B"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DE024B" w:rsidRDefault="00DE024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69A0CA0D" id="_x0000_s1055" style="position:absolute;margin-left:304.15pt;margin-top:14.9pt;width:74.0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0C5811FD" w14:textId="77777777" w:rsidR="00DE024B" w:rsidRDefault="00DE024B"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DE024B" w:rsidRDefault="00DE024B"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DE024B" w:rsidRDefault="00DE024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4EDEF42C" w14:textId="77777777" w:rsidR="00315BE2" w:rsidRPr="001E47E5" w:rsidRDefault="00315BE2" w:rsidP="00315BE2">
      <w:pPr>
        <w:spacing w:after="120" w:line="240" w:lineRule="auto"/>
        <w:rPr>
          <w:rFonts w:ascii="Times New Roman" w:eastAsia="Calibri" w:hAnsi="Times New Roman" w:cs="Times New Roman"/>
          <w:b/>
          <w:i/>
        </w:rPr>
      </w:pPr>
    </w:p>
    <w:p w14:paraId="5A4A2BED" w14:textId="77777777" w:rsidR="00315BE2" w:rsidRPr="001E47E5" w:rsidRDefault="00315BE2" w:rsidP="00315BE2">
      <w:pPr>
        <w:spacing w:after="120" w:line="240" w:lineRule="auto"/>
        <w:rPr>
          <w:rFonts w:ascii="Times New Roman" w:eastAsia="Calibri" w:hAnsi="Times New Roman" w:cs="Times New Roman"/>
          <w:b/>
          <w:i/>
        </w:rPr>
      </w:pPr>
    </w:p>
    <w:p w14:paraId="6A840B2C" w14:textId="77777777" w:rsidR="00315BE2" w:rsidRPr="001E47E5" w:rsidRDefault="00315BE2" w:rsidP="00315BE2">
      <w:pPr>
        <w:spacing w:after="120" w:line="240" w:lineRule="auto"/>
        <w:rPr>
          <w:rFonts w:ascii="Times New Roman" w:eastAsia="Calibri" w:hAnsi="Times New Roman" w:cs="Times New Roman"/>
          <w:b/>
          <w:i/>
        </w:rPr>
      </w:pPr>
      <w:r w:rsidRPr="001E47E5">
        <w:rPr>
          <w:rFonts w:ascii="Times New Roman" w:eastAsia="Calibri" w:hAnsi="Times New Roman" w:cs="Times New Roman"/>
          <w:b/>
          <w:i/>
        </w:rPr>
        <w:t>Náklady na celé podnikateľské prostredie</w:t>
      </w:r>
    </w:p>
    <w:p w14:paraId="66AD7C49" w14:textId="77777777" w:rsidR="00315BE2" w:rsidRPr="001E47E5" w:rsidRDefault="00315BE2" w:rsidP="00315BE2">
      <w:pPr>
        <w:spacing w:after="120" w:line="240" w:lineRule="auto"/>
        <w:rPr>
          <w:rFonts w:ascii="Times New Roman" w:eastAsia="Calibri" w:hAnsi="Times New Roman" w:cs="Times New Roman"/>
        </w:rPr>
      </w:pPr>
      <w:r w:rsidRPr="001E47E5">
        <w:rPr>
          <w:rFonts w:ascii="Times New Roman" w:eastAsia="Calibri" w:hAnsi="Times New Roman" w:cs="Times New Roman"/>
          <w:i/>
        </w:rPr>
        <w:t xml:space="preserve">Priame a nepriame finančné náklady na celé PP </w:t>
      </w:r>
      <w:r w:rsidRPr="001E47E5">
        <w:rPr>
          <w:rFonts w:ascii="Times New Roman" w:eastAsia="Calibri" w:hAnsi="Times New Roman" w:cs="Times New Roman"/>
        </w:rPr>
        <w:t>sú vyčíslené na základe vzorca:</w:t>
      </w:r>
    </w:p>
    <w:p w14:paraId="2885EC8A" w14:textId="77777777" w:rsidR="00315BE2" w:rsidRPr="001E47E5" w:rsidRDefault="00D946EF" w:rsidP="00315BE2">
      <w:pPr>
        <w:spacing w:after="120" w:line="240" w:lineRule="auto"/>
        <w:rPr>
          <w:rFonts w:ascii="Arial" w:eastAsia="Times New Roman" w:hAnsi="Arial" w:cs="Times New Roman"/>
          <w:noProof/>
          <w:color w:val="000000"/>
          <w:lang w:eastAsia="sk-SK"/>
        </w:rPr>
      </w:pPr>
      <w:r w:rsidRPr="001E47E5">
        <w:rPr>
          <w:noProof/>
          <w:lang w:eastAsia="sk-SK"/>
        </w:rPr>
        <mc:AlternateContent>
          <mc:Choice Requires="wps">
            <w:drawing>
              <wp:anchor distT="0" distB="0" distL="114300" distR="114300" simplePos="0" relativeHeight="251677696" behindDoc="0" locked="0" layoutInCell="1" allowOverlap="1" wp14:anchorId="00416CEA" wp14:editId="68FBFC23">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631D56F1" w14:textId="77777777" w:rsidR="00DE024B" w:rsidRDefault="00DE024B"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DE024B" w:rsidRDefault="00DE024B"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DE024B" w:rsidRDefault="00DE024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0416CEA" id="_x0000_s1056" style="position:absolute;margin-left:0;margin-top:3.3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631D56F1" w14:textId="77777777" w:rsidR="00DE024B" w:rsidRDefault="00DE024B"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DE024B" w:rsidRDefault="00DE024B"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DE024B" w:rsidRDefault="00DE024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34D032D0"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323A36BF"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7E53076A" w14:textId="77777777" w:rsidR="00D946EF" w:rsidRPr="001E47E5" w:rsidRDefault="00D946EF" w:rsidP="00315BE2">
      <w:pPr>
        <w:spacing w:after="120" w:line="240" w:lineRule="auto"/>
        <w:rPr>
          <w:rFonts w:ascii="Arial" w:eastAsia="Times New Roman" w:hAnsi="Arial" w:cs="Times New Roman"/>
          <w:noProof/>
          <w:color w:val="000000"/>
          <w:lang w:eastAsia="sk-SK"/>
        </w:rPr>
      </w:pPr>
      <w:r w:rsidRPr="001E47E5">
        <w:rPr>
          <w:noProof/>
          <w:lang w:eastAsia="sk-SK"/>
        </w:rPr>
        <mc:AlternateContent>
          <mc:Choice Requires="wps">
            <w:drawing>
              <wp:anchor distT="0" distB="0" distL="114300" distR="114300" simplePos="0" relativeHeight="251683840" behindDoc="0" locked="0" layoutInCell="1" allowOverlap="1" wp14:anchorId="2604AE39" wp14:editId="1C9C8AF7">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906A6E" w14:textId="77777777" w:rsidR="00DE024B" w:rsidRDefault="00DE024B"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604AE39" id="BlokTextu 199" o:spid="_x0000_s1057" type="#_x0000_t202" style="position:absolute;margin-left:300.4pt;margin-top:11.35pt;width:19.6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03906A6E" w14:textId="77777777" w:rsidR="00DE024B" w:rsidRDefault="00DE024B" w:rsidP="00D946EF">
                      <w:pPr>
                        <w:pStyle w:val="Normlnywebov"/>
                      </w:pPr>
                      <w:r>
                        <w:rPr>
                          <w:rFonts w:ascii="Arial" w:hAnsi="Arial" w:cs="Arial"/>
                          <w:b/>
                          <w:bCs/>
                          <w:color w:val="000000" w:themeColor="text1"/>
                          <w:sz w:val="18"/>
                          <w:szCs w:val="18"/>
                        </w:rPr>
                        <w:t>x</w:t>
                      </w:r>
                    </w:p>
                  </w:txbxContent>
                </v:textbox>
              </v:shape>
            </w:pict>
          </mc:Fallback>
        </mc:AlternateContent>
      </w:r>
      <w:r w:rsidRPr="001E47E5">
        <w:rPr>
          <w:noProof/>
          <w:lang w:eastAsia="sk-SK"/>
        </w:rPr>
        <mc:AlternateContent>
          <mc:Choice Requires="wps">
            <w:drawing>
              <wp:anchor distT="0" distB="0" distL="114300" distR="114300" simplePos="0" relativeHeight="251681792" behindDoc="0" locked="0" layoutInCell="1" allowOverlap="1" wp14:anchorId="3C8BD96E" wp14:editId="5C213789">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47E4438D" w14:textId="77777777" w:rsidR="00DE024B" w:rsidRDefault="00DE024B"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C8BD96E" id="_x0000_s1058" style="position:absolute;margin-left:324pt;margin-top:.85pt;width:97.55pt;height:3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47E4438D" w14:textId="77777777" w:rsidR="00DE024B" w:rsidRDefault="00DE024B"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1E47E5">
        <w:rPr>
          <w:noProof/>
          <w:lang w:eastAsia="sk-SK"/>
        </w:rPr>
        <mc:AlternateContent>
          <mc:Choice Requires="wps">
            <w:drawing>
              <wp:anchor distT="0" distB="0" distL="114300" distR="114300" simplePos="0" relativeHeight="251679744" behindDoc="0" locked="0" layoutInCell="1" allowOverlap="1" wp14:anchorId="015C762A" wp14:editId="532DD23E">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8AEE695" w14:textId="77777777" w:rsidR="00DE024B" w:rsidRDefault="00DE024B"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DE024B" w:rsidRDefault="00DE024B"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DE024B" w:rsidRDefault="00DE024B"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15C762A" id="_x0000_s1059" style="position:absolute;margin-left:0;margin-top:.85pt;width:299.25pt;height:38.3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8AEE695" w14:textId="77777777" w:rsidR="00DE024B" w:rsidRDefault="00DE024B"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DE024B" w:rsidRDefault="00DE024B"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DE024B" w:rsidRDefault="00DE024B"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52505907"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6F74548E"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5CDCC4D2" w14:textId="77777777" w:rsidR="00D946EF" w:rsidRPr="001E47E5" w:rsidRDefault="00D946EF" w:rsidP="00315BE2">
      <w:pPr>
        <w:spacing w:after="120" w:line="240" w:lineRule="auto"/>
        <w:rPr>
          <w:rFonts w:ascii="Arial" w:eastAsia="Times New Roman" w:hAnsi="Arial" w:cs="Times New Roman"/>
          <w:noProof/>
          <w:color w:val="000000"/>
          <w:lang w:eastAsia="sk-SK"/>
        </w:rPr>
      </w:pPr>
      <w:r w:rsidRPr="001E47E5">
        <w:rPr>
          <w:noProof/>
          <w:lang w:eastAsia="sk-SK"/>
        </w:rPr>
        <mc:AlternateContent>
          <mc:Choice Requires="wps">
            <w:drawing>
              <wp:anchor distT="0" distB="0" distL="114300" distR="114300" simplePos="0" relativeHeight="251685888" behindDoc="0" locked="0" layoutInCell="1" allowOverlap="1" wp14:anchorId="1FE77C14" wp14:editId="0E8FCB42">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31287440" w14:textId="77777777" w:rsidR="00DE024B" w:rsidRDefault="00DE024B"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DE024B" w:rsidRDefault="00DE024B"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DE024B" w:rsidRDefault="00DE024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FE77C14" id="_x0000_s1060" style="position:absolute;margin-left:0;margin-top:.4pt;width:298.5pt;height:38.3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31287440" w14:textId="77777777" w:rsidR="00DE024B" w:rsidRDefault="00DE024B"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DE024B" w:rsidRDefault="00DE024B"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DE024B" w:rsidRDefault="00DE024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C77823C"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2FCBF863"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3F04B778" w14:textId="77777777" w:rsidR="00D946EF" w:rsidRPr="001E47E5" w:rsidRDefault="00D946EF" w:rsidP="00315BE2">
      <w:pPr>
        <w:spacing w:after="120" w:line="240" w:lineRule="auto"/>
        <w:rPr>
          <w:rFonts w:ascii="Arial" w:eastAsia="Times New Roman" w:hAnsi="Arial" w:cs="Times New Roman"/>
          <w:noProof/>
          <w:color w:val="000000"/>
          <w:lang w:eastAsia="sk-SK"/>
        </w:rPr>
      </w:pPr>
      <w:r w:rsidRPr="001E47E5">
        <w:rPr>
          <w:noProof/>
          <w:lang w:eastAsia="sk-SK"/>
        </w:rPr>
        <mc:AlternateContent>
          <mc:Choice Requires="wps">
            <w:drawing>
              <wp:anchor distT="0" distB="0" distL="114300" distR="114300" simplePos="0" relativeHeight="251692032" behindDoc="0" locked="0" layoutInCell="1" allowOverlap="1" wp14:anchorId="3D755B19" wp14:editId="5A34A9CB">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ACD979" w14:textId="77777777" w:rsidR="00DE024B" w:rsidRDefault="00DE024B"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D755B19" id="_x0000_s1061" type="#_x0000_t202" style="position:absolute;margin-left:301.55pt;margin-top:9.4pt;width:19.55pt;height:17.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51ACD979" w14:textId="77777777" w:rsidR="00DE024B" w:rsidRDefault="00DE024B" w:rsidP="00D946EF">
                      <w:pPr>
                        <w:pStyle w:val="Normlnywebov"/>
                      </w:pPr>
                      <w:r>
                        <w:rPr>
                          <w:rFonts w:ascii="Arial" w:hAnsi="Arial" w:cs="Arial"/>
                          <w:b/>
                          <w:bCs/>
                          <w:color w:val="000000" w:themeColor="text1"/>
                          <w:sz w:val="18"/>
                          <w:szCs w:val="18"/>
                        </w:rPr>
                        <w:t>x</w:t>
                      </w:r>
                    </w:p>
                  </w:txbxContent>
                </v:textbox>
              </v:shape>
            </w:pict>
          </mc:Fallback>
        </mc:AlternateContent>
      </w:r>
      <w:r w:rsidRPr="001E47E5">
        <w:rPr>
          <w:noProof/>
          <w:lang w:eastAsia="sk-SK"/>
        </w:rPr>
        <mc:AlternateContent>
          <mc:Choice Requires="wps">
            <w:drawing>
              <wp:anchor distT="0" distB="0" distL="114300" distR="114300" simplePos="0" relativeHeight="251689984" behindDoc="0" locked="0" layoutInCell="1" allowOverlap="1" wp14:anchorId="3162B72D" wp14:editId="3319F870">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31FEBAC4" w14:textId="77777777" w:rsidR="00DE024B" w:rsidRDefault="00DE024B"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162B72D" id="_x0000_s1062" style="position:absolute;margin-left:324.4pt;margin-top:.75pt;width:96.8pt;height:37.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31FEBAC4" w14:textId="77777777" w:rsidR="00DE024B" w:rsidRDefault="00DE024B"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1E47E5">
        <w:rPr>
          <w:noProof/>
          <w:lang w:eastAsia="sk-SK"/>
        </w:rPr>
        <mc:AlternateContent>
          <mc:Choice Requires="wps">
            <w:drawing>
              <wp:anchor distT="0" distB="0" distL="114300" distR="114300" simplePos="0" relativeHeight="251687936" behindDoc="0" locked="0" layoutInCell="1" allowOverlap="1" wp14:anchorId="065CB848" wp14:editId="2E166299">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52F6C4A2" w14:textId="77777777" w:rsidR="00DE024B" w:rsidRDefault="00DE024B"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DE024B" w:rsidRDefault="00DE024B"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DE024B" w:rsidRDefault="00DE024B"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65CB848" id="_x0000_s1063" style="position:absolute;margin-left:0;margin-top:2.25pt;width:298.5pt;height:37.4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52F6C4A2" w14:textId="77777777" w:rsidR="00DE024B" w:rsidRDefault="00DE024B"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DE024B" w:rsidRDefault="00DE024B"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DE024B" w:rsidRDefault="00DE024B"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2FF57B4"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08D45775" w14:textId="77777777" w:rsidR="00D946EF" w:rsidRPr="001E47E5" w:rsidRDefault="00D946EF" w:rsidP="00315BE2">
      <w:pPr>
        <w:spacing w:after="120" w:line="240" w:lineRule="auto"/>
        <w:rPr>
          <w:rFonts w:ascii="Arial" w:eastAsia="Times New Roman" w:hAnsi="Arial" w:cs="Times New Roman"/>
          <w:noProof/>
          <w:color w:val="000000"/>
          <w:lang w:eastAsia="sk-SK"/>
        </w:rPr>
      </w:pPr>
    </w:p>
    <w:p w14:paraId="552BC66B" w14:textId="77777777" w:rsidR="00D946EF" w:rsidRPr="001E47E5" w:rsidRDefault="00D946EF" w:rsidP="00315BE2">
      <w:pPr>
        <w:spacing w:after="120" w:line="240" w:lineRule="auto"/>
        <w:rPr>
          <w:rFonts w:ascii="Times New Roman" w:eastAsia="Calibri" w:hAnsi="Times New Roman" w:cs="Times New Roman"/>
          <w:i/>
        </w:rPr>
      </w:pPr>
    </w:p>
    <w:p w14:paraId="0B67E971" w14:textId="77777777" w:rsidR="00D946EF" w:rsidRPr="001E47E5" w:rsidRDefault="00D946EF" w:rsidP="00315BE2">
      <w:pPr>
        <w:spacing w:after="120" w:line="240" w:lineRule="auto"/>
        <w:rPr>
          <w:rFonts w:ascii="Times New Roman" w:eastAsia="Calibri" w:hAnsi="Times New Roman" w:cs="Times New Roman"/>
          <w:i/>
        </w:rPr>
      </w:pPr>
    </w:p>
    <w:p w14:paraId="2C733D1D" w14:textId="77777777" w:rsidR="00315BE2" w:rsidRPr="001E47E5" w:rsidRDefault="005D39D8" w:rsidP="00315BE2">
      <w:pPr>
        <w:spacing w:after="120" w:line="240" w:lineRule="auto"/>
        <w:rPr>
          <w:rFonts w:ascii="Times New Roman" w:eastAsia="Calibri" w:hAnsi="Times New Roman" w:cs="Times New Roman"/>
        </w:rPr>
      </w:pPr>
      <w:r w:rsidRPr="001E47E5">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2096" behindDoc="0" locked="0" layoutInCell="1" allowOverlap="1" wp14:anchorId="2BD14327" wp14:editId="1609F228">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ACC84C" w14:textId="77777777"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20D065B" w14:textId="77777777" w:rsidR="00DE024B" w:rsidRDefault="00DE024B"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43A5E1B" w14:textId="77777777" w:rsidR="00DE024B" w:rsidRDefault="00DE024B"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15D847D" w14:textId="77777777" w:rsidR="00DE024B" w:rsidRDefault="00DE024B"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0EC1EB99" w14:textId="4E5285AE"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56F78D80" w14:textId="445A9F6D"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546B991" w14:textId="0966E796"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BD14327" id="Skupina 119" o:spid="_x0000_s1064" style="position:absolute;margin-left:-.35pt;margin-top:18.75pt;width:356.65pt;height:35.1pt;z-index:25165209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ACC84C" w14:textId="77777777"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20D065B" w14:textId="77777777" w:rsidR="00DE024B" w:rsidRDefault="00DE024B" w:rsidP="00315BE2">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43A5E1B" w14:textId="77777777" w:rsidR="00DE024B" w:rsidRDefault="00DE024B" w:rsidP="00315BE2">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15D847D" w14:textId="77777777" w:rsidR="00DE024B" w:rsidRDefault="00DE024B" w:rsidP="00315BE2">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0EC1EB99" w14:textId="4E5285AE"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56F78D80" w14:textId="445A9F6D"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7546B991" w14:textId="0966E796" w:rsidR="00DE024B" w:rsidRPr="00895898" w:rsidRDefault="00DE024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315BE2" w:rsidRPr="001E47E5">
        <w:rPr>
          <w:rFonts w:ascii="Times New Roman" w:eastAsia="Calibri" w:hAnsi="Times New Roman" w:cs="Times New Roman"/>
          <w:i/>
        </w:rPr>
        <w:t xml:space="preserve">Administratívne náklady na celé podnikateľské prostredie </w:t>
      </w:r>
      <w:r w:rsidR="00315BE2" w:rsidRPr="001E47E5">
        <w:rPr>
          <w:rFonts w:ascii="Times New Roman" w:eastAsia="Calibri" w:hAnsi="Times New Roman" w:cs="Times New Roman"/>
        </w:rPr>
        <w:t>sú vyčíslené na základe vzorca:</w:t>
      </w:r>
    </w:p>
    <w:p w14:paraId="5BFC49B1" w14:textId="77777777" w:rsidR="00315BE2" w:rsidRPr="001E47E5" w:rsidRDefault="00315BE2" w:rsidP="00315BE2">
      <w:pPr>
        <w:spacing w:after="120" w:line="240" w:lineRule="auto"/>
        <w:rPr>
          <w:rFonts w:ascii="Times New Roman" w:eastAsia="Times New Roman" w:hAnsi="Times New Roman" w:cs="Times New Roman"/>
          <w:color w:val="000000"/>
        </w:rPr>
      </w:pPr>
    </w:p>
    <w:p w14:paraId="78A3E211" w14:textId="77777777" w:rsidR="00315BE2" w:rsidRPr="001E47E5" w:rsidRDefault="00315BE2" w:rsidP="00315BE2">
      <w:pPr>
        <w:spacing w:after="120" w:line="240" w:lineRule="auto"/>
        <w:rPr>
          <w:rFonts w:ascii="Times New Roman" w:eastAsia="Times New Roman" w:hAnsi="Times New Roman" w:cs="Times New Roman"/>
          <w:i/>
          <w:color w:val="000000"/>
        </w:rPr>
      </w:pPr>
    </w:p>
    <w:p w14:paraId="42248D0D" w14:textId="412550F9" w:rsidR="00315BE2" w:rsidRPr="001E47E5" w:rsidRDefault="00315BE2" w:rsidP="00315BE2">
      <w:pPr>
        <w:spacing w:after="120" w:line="240" w:lineRule="auto"/>
        <w:rPr>
          <w:rFonts w:ascii="Times New Roman" w:eastAsia="Calibri" w:hAnsi="Times New Roman" w:cs="Times New Roman"/>
          <w:i/>
        </w:rPr>
      </w:pPr>
    </w:p>
    <w:p w14:paraId="61506029" w14:textId="77777777" w:rsidR="003A686F" w:rsidRPr="001E47E5" w:rsidRDefault="003A686F" w:rsidP="003A686F">
      <w:pPr>
        <w:spacing w:after="120" w:line="240" w:lineRule="auto"/>
        <w:rPr>
          <w:rFonts w:ascii="Times New Roman" w:eastAsia="Times New Roman" w:hAnsi="Times New Roman" w:cs="Times New Roman"/>
          <w:i/>
        </w:rPr>
      </w:pPr>
      <w:r w:rsidRPr="001E47E5">
        <w:rPr>
          <w:rFonts w:ascii="Times New Roman" w:eastAsia="Times New Roman" w:hAnsi="Times New Roman" w:cs="Times New Roman"/>
          <w:i/>
        </w:rPr>
        <w:t>* Pokyny k vyplneniu frekvencie plnenia povinnosti sú uvedené na str. 11</w:t>
      </w:r>
    </w:p>
    <w:p w14:paraId="6385ECE5" w14:textId="77777777" w:rsidR="003A686F" w:rsidRPr="001E47E5" w:rsidRDefault="003A686F" w:rsidP="003A686F">
      <w:pPr>
        <w:spacing w:after="120" w:line="240" w:lineRule="auto"/>
        <w:rPr>
          <w:rFonts w:ascii="Times New Roman" w:eastAsia="Times New Roman" w:hAnsi="Times New Roman" w:cs="Times New Roman"/>
          <w:i/>
        </w:rPr>
      </w:pPr>
      <w:r w:rsidRPr="001E47E5">
        <w:rPr>
          <w:rFonts w:ascii="Times New Roman" w:eastAsia="Times New Roman" w:hAnsi="Times New Roman" w:cs="Times New Roman"/>
          <w:i/>
        </w:rPr>
        <w:t>** Pokyny k vyplneniu časovej náročnosti sú uvedené na str. 11 a 12</w:t>
      </w:r>
    </w:p>
    <w:p w14:paraId="23DDEB87" w14:textId="77777777" w:rsidR="003A686F" w:rsidRPr="001E47E5" w:rsidRDefault="003A686F" w:rsidP="003A686F">
      <w:pPr>
        <w:spacing w:after="120" w:line="240" w:lineRule="auto"/>
        <w:jc w:val="both"/>
        <w:rPr>
          <w:rFonts w:ascii="Times New Roman" w:eastAsia="Times New Roman" w:hAnsi="Times New Roman" w:cs="Times New Roman"/>
          <w:i/>
          <w:color w:val="000000"/>
        </w:rPr>
      </w:pPr>
      <w:r w:rsidRPr="001E47E5">
        <w:rPr>
          <w:rFonts w:ascii="Times New Roman" w:eastAsia="Times New Roman" w:hAnsi="Times New Roman" w:cs="Times New Roman"/>
          <w:i/>
        </w:rPr>
        <w:t xml:space="preserve">*** Tarifa – pre zjednodušenie výpočtov vychádza z priemernej ceny práce, ktorá je uvedená v Kalkulačke nákladov (priemerná mzda + odvody zamestnávateľa). </w:t>
      </w:r>
    </w:p>
    <w:p w14:paraId="4FA02697" w14:textId="77777777" w:rsidR="003A686F" w:rsidRPr="001E47E5" w:rsidRDefault="003A686F" w:rsidP="00315BE2">
      <w:pPr>
        <w:spacing w:after="120" w:line="240" w:lineRule="auto"/>
        <w:rPr>
          <w:rFonts w:ascii="Times New Roman" w:eastAsia="Calibri" w:hAnsi="Times New Roman" w:cs="Times New Roman"/>
          <w:i/>
        </w:rPr>
      </w:pPr>
    </w:p>
    <w:p w14:paraId="0F4414B3" w14:textId="77777777" w:rsidR="00315BE2" w:rsidRPr="001E47E5" w:rsidRDefault="00C05563" w:rsidP="00315BE2">
      <w:pPr>
        <w:spacing w:after="120" w:line="240" w:lineRule="auto"/>
        <w:rPr>
          <w:rFonts w:ascii="Times New Roman" w:eastAsia="Calibri" w:hAnsi="Times New Roman" w:cs="Times New Roman"/>
          <w:i/>
        </w:rPr>
      </w:pPr>
      <w:r w:rsidRPr="001E47E5">
        <w:rPr>
          <w:noProof/>
          <w:lang w:eastAsia="sk-SK"/>
        </w:rPr>
        <w:lastRenderedPageBreak/>
        <mc:AlternateContent>
          <mc:Choice Requires="wps">
            <w:drawing>
              <wp:anchor distT="0" distB="0" distL="114300" distR="114300" simplePos="0" relativeHeight="251702272" behindDoc="0" locked="0" layoutInCell="1" allowOverlap="1" wp14:anchorId="169BAAD8" wp14:editId="6CF5F0CA">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E05858" w14:textId="77777777" w:rsidR="00DE024B" w:rsidRDefault="00DE024B"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69BAAD8" id="_x0000_s1073" type="#_x0000_t202" style="position:absolute;margin-left:372.55pt;margin-top:58.7pt;width:19.6pt;height:20.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70E05858" w14:textId="77777777" w:rsidR="00DE024B" w:rsidRDefault="00DE024B"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1E47E5">
        <w:rPr>
          <w:noProof/>
          <w:lang w:eastAsia="sk-SK"/>
        </w:rPr>
        <mc:AlternateContent>
          <mc:Choice Requires="wps">
            <w:drawing>
              <wp:anchor distT="0" distB="0" distL="114300" distR="114300" simplePos="0" relativeHeight="251700224" behindDoc="0" locked="0" layoutInCell="1" allowOverlap="1" wp14:anchorId="32236ACC" wp14:editId="13C4DFDD">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A2386" w14:textId="77777777" w:rsidR="00DE024B" w:rsidRDefault="00DE024B"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2236ACC" id="_x0000_s1074" type="#_x0000_t202" style="position:absolute;margin-left:282.95pt;margin-top:56.65pt;width:19.55pt;height:20.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3E4A2386" w14:textId="77777777" w:rsidR="00DE024B" w:rsidRDefault="00DE024B"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1E47E5">
        <w:rPr>
          <w:noProof/>
          <w:lang w:eastAsia="sk-SK"/>
        </w:rPr>
        <mc:AlternateContent>
          <mc:Choice Requires="wps">
            <w:drawing>
              <wp:anchor distT="0" distB="0" distL="114300" distR="114300" simplePos="0" relativeHeight="251698176" behindDoc="0" locked="0" layoutInCell="1" allowOverlap="1" wp14:anchorId="02CCED44" wp14:editId="0AB7043A">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DC4C77" w14:textId="77777777" w:rsidR="00DE024B" w:rsidRDefault="00DE024B"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2CCED44" id="_x0000_s1075" type="#_x0000_t202" style="position:absolute;margin-left:195.05pt;margin-top:55.35pt;width:19.6pt;height:20.4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DC4C77" w14:textId="77777777" w:rsidR="00DE024B" w:rsidRDefault="00DE024B"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1E47E5">
        <w:rPr>
          <w:noProof/>
          <w:lang w:eastAsia="sk-SK"/>
        </w:rPr>
        <mc:AlternateContent>
          <mc:Choice Requires="wps">
            <w:drawing>
              <wp:anchor distT="0" distB="0" distL="114300" distR="114300" simplePos="0" relativeHeight="251696128" behindDoc="0" locked="0" layoutInCell="1" allowOverlap="1" wp14:anchorId="2A29D33B" wp14:editId="219944B6">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4E1965A6" w14:textId="77777777" w:rsidR="00DE024B" w:rsidRDefault="00DE024B" w:rsidP="00C05563">
                            <w:pPr>
                              <w:pStyle w:val="Normlnywebov"/>
                              <w:jc w:val="center"/>
                              <w:textAlignment w:val="baseline"/>
                              <w:rPr>
                                <w:rFonts w:ascii="Arial" w:hAnsi="Arial" w:cstheme="minorBidi"/>
                                <w:b/>
                                <w:bCs/>
                                <w:color w:val="FFFFFF"/>
                                <w:kern w:val="24"/>
                                <w:sz w:val="20"/>
                                <w:szCs w:val="20"/>
                              </w:rPr>
                            </w:pPr>
                          </w:p>
                          <w:p w14:paraId="6DD3564B" w14:textId="19D65220" w:rsidR="00DE024B" w:rsidRDefault="00DE024B"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DE024B" w:rsidRDefault="00DE024B"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DE024B" w:rsidRDefault="00DE024B"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DE024B" w:rsidRDefault="00DE024B" w:rsidP="006C25BE">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A29D33B" id="_x0000_s1076" style="position:absolute;margin-left:301.7pt;margin-top:29.7pt;width:73.55pt;height:8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4E1965A6" w14:textId="77777777" w:rsidR="00DE024B" w:rsidRDefault="00DE024B" w:rsidP="00C05563">
                      <w:pPr>
                        <w:pStyle w:val="Normlnywebov"/>
                        <w:jc w:val="center"/>
                        <w:textAlignment w:val="baseline"/>
                        <w:rPr>
                          <w:rFonts w:ascii="Arial" w:hAnsi="Arial" w:cstheme="minorBidi"/>
                          <w:b/>
                          <w:bCs/>
                          <w:color w:val="FFFFFF"/>
                          <w:kern w:val="24"/>
                          <w:sz w:val="20"/>
                          <w:szCs w:val="20"/>
                        </w:rPr>
                      </w:pPr>
                    </w:p>
                    <w:p w14:paraId="6DD3564B" w14:textId="19D65220" w:rsidR="00DE024B" w:rsidRDefault="00DE024B"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DE024B" w:rsidRDefault="00DE024B"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DE024B" w:rsidRDefault="00DE024B"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DE024B" w:rsidRDefault="00DE024B" w:rsidP="006C25BE">
                      <w:pPr>
                        <w:pStyle w:val="Normlnywebov"/>
                        <w:jc w:val="center"/>
                        <w:textAlignment w:val="baseline"/>
                      </w:pPr>
                    </w:p>
                  </w:txbxContent>
                </v:textbox>
              </v:rect>
            </w:pict>
          </mc:Fallback>
        </mc:AlternateContent>
      </w:r>
      <w:r w:rsidRPr="001E47E5">
        <w:rPr>
          <w:noProof/>
          <w:lang w:eastAsia="sk-SK"/>
        </w:rPr>
        <mc:AlternateContent>
          <mc:Choice Requires="wpg">
            <w:drawing>
              <wp:anchor distT="0" distB="0" distL="114300" distR="114300" simplePos="0" relativeHeight="251694080" behindDoc="0" locked="0" layoutInCell="1" allowOverlap="1" wp14:anchorId="0FEDACE2" wp14:editId="2C0E231F">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5198448E" w14:textId="77777777" w:rsidR="00DE024B" w:rsidRDefault="00DE024B"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DE024B" w:rsidRDefault="00DE024B" w:rsidP="00C05563">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1A0FBED3" w14:textId="77777777" w:rsidR="00DE024B" w:rsidRDefault="00DE024B"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DE024B" w:rsidRDefault="00DE024B"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DE024B" w:rsidRDefault="00DE024B"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3602C5FA" w14:textId="77777777" w:rsidR="00DE024B" w:rsidRDefault="00DE024B"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DE024B" w:rsidRDefault="00DE024B"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DE024B" w:rsidRDefault="00DE024B"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6892036B" w14:textId="77777777" w:rsidR="00DE024B" w:rsidRDefault="00DE024B"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DE024B" w:rsidRDefault="00DE024B"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DE024B" w:rsidRDefault="00DE024B"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853259" w14:textId="77777777" w:rsidR="00DE024B" w:rsidRDefault="00DE024B" w:rsidP="00C05563">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FEDACE2" id="Skupina 205" o:spid="_x0000_s1077" style="position:absolute;margin-left:0;margin-top:28.75pt;width:463.8pt;height:87.9pt;z-index:251694080;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5198448E" w14:textId="77777777" w:rsidR="00DE024B" w:rsidRDefault="00DE024B"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DE024B" w:rsidRDefault="00DE024B" w:rsidP="00C05563">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1A0FBED3" w14:textId="77777777" w:rsidR="00DE024B" w:rsidRDefault="00DE024B"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DE024B" w:rsidRDefault="00DE024B"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DE024B" w:rsidRDefault="00DE024B"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3602C5FA" w14:textId="77777777" w:rsidR="00DE024B" w:rsidRDefault="00DE024B"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DE024B" w:rsidRDefault="00DE024B"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DE024B" w:rsidRDefault="00DE024B"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6892036B" w14:textId="77777777" w:rsidR="00DE024B" w:rsidRDefault="00DE024B"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DE024B" w:rsidRDefault="00DE024B"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DE024B" w:rsidRDefault="00DE024B"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4F853259" w14:textId="77777777" w:rsidR="00DE024B" w:rsidRDefault="00DE024B" w:rsidP="00C05563">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315BE2" w:rsidRPr="001E47E5">
        <w:rPr>
          <w:rFonts w:ascii="Times New Roman" w:eastAsia="Calibri" w:hAnsi="Times New Roman" w:cs="Times New Roman"/>
          <w:i/>
        </w:rPr>
        <w:t xml:space="preserve">Celkové náklady na celé podnikateľské prostredie </w:t>
      </w:r>
      <w:r w:rsidR="00315BE2" w:rsidRPr="001E47E5">
        <w:rPr>
          <w:rFonts w:ascii="Times New Roman" w:eastAsia="Calibri" w:hAnsi="Times New Roman" w:cs="Times New Roman"/>
        </w:rPr>
        <w:t>sú vyčíslené na základe vzorca:</w:t>
      </w:r>
    </w:p>
    <w:p w14:paraId="41DADCDC" w14:textId="77777777" w:rsidR="00315BE2" w:rsidRPr="001E47E5" w:rsidRDefault="00315BE2" w:rsidP="00315BE2">
      <w:pPr>
        <w:spacing w:after="120" w:line="240" w:lineRule="auto"/>
        <w:rPr>
          <w:rFonts w:ascii="Arial" w:eastAsia="Times New Roman" w:hAnsi="Arial" w:cs="Times New Roman"/>
          <w:color w:val="000000"/>
        </w:rPr>
      </w:pPr>
    </w:p>
    <w:p w14:paraId="0457C8DB" w14:textId="7A60B0A5" w:rsidR="00315BE2" w:rsidRPr="001E47E5" w:rsidRDefault="00315BE2" w:rsidP="00315BE2">
      <w:pPr>
        <w:spacing w:after="120" w:line="240" w:lineRule="auto"/>
        <w:jc w:val="both"/>
        <w:rPr>
          <w:rFonts w:ascii="Times New Roman" w:eastAsia="Calibri" w:hAnsi="Times New Roman" w:cs="Times New Roman"/>
        </w:rPr>
      </w:pPr>
    </w:p>
    <w:p w14:paraId="2A9A84C3" w14:textId="77777777" w:rsidR="00484D16" w:rsidRPr="001E47E5" w:rsidRDefault="00484D16" w:rsidP="00315BE2">
      <w:pPr>
        <w:spacing w:after="120" w:line="276" w:lineRule="auto"/>
        <w:jc w:val="both"/>
        <w:rPr>
          <w:rFonts w:ascii="Times New Roman" w:eastAsia="Calibri" w:hAnsi="Times New Roman" w:cs="Times New Roman"/>
          <w:b/>
        </w:rPr>
      </w:pPr>
    </w:p>
    <w:p w14:paraId="04E3F706" w14:textId="77777777" w:rsidR="00315BE2" w:rsidRPr="001E47E5" w:rsidRDefault="00315BE2" w:rsidP="00315BE2">
      <w:pPr>
        <w:rPr>
          <w:rFonts w:ascii="Times New Roman" w:eastAsia="Calibri" w:hAnsi="Times New Roman" w:cs="Times New Roman"/>
          <w:b/>
          <w:sz w:val="24"/>
          <w:szCs w:val="24"/>
        </w:rPr>
      </w:pPr>
      <w:r w:rsidRPr="001E47E5">
        <w:rPr>
          <w:rFonts w:ascii="Times New Roman" w:eastAsia="Calibri" w:hAnsi="Times New Roman" w:cs="Times New Roman"/>
          <w:b/>
          <w:sz w:val="24"/>
          <w:szCs w:val="24"/>
        </w:rPr>
        <w:t>Stanovenie frekvencie plnenia povinnosti sa určí pomocou nasledovných koeficientov:</w:t>
      </w:r>
    </w:p>
    <w:p w14:paraId="38884DEA" w14:textId="77777777" w:rsidR="00315BE2" w:rsidRPr="001E47E5" w:rsidRDefault="00315BE2" w:rsidP="00315BE2">
      <w:pPr>
        <w:spacing w:after="240" w:line="276" w:lineRule="auto"/>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 xml:space="preserve">Východiskom, ktorým je stanovovaná frekvencia plnenia povinnosti, je obdobie </w:t>
      </w:r>
      <w:r w:rsidR="00484D16" w:rsidRPr="001E47E5">
        <w:rPr>
          <w:rFonts w:ascii="Times New Roman" w:eastAsia="Calibri" w:hAnsi="Times New Roman" w:cs="Times New Roman"/>
          <w:sz w:val="24"/>
          <w:szCs w:val="24"/>
        </w:rPr>
        <w:t xml:space="preserve">jedného </w:t>
      </w:r>
      <w:r w:rsidRPr="001E47E5">
        <w:rPr>
          <w:rFonts w:ascii="Times New Roman" w:eastAsia="Calibri" w:hAnsi="Times New Roman" w:cs="Times New Roman"/>
          <w:sz w:val="24"/>
          <w:szCs w:val="24"/>
        </w:rPr>
        <w:t>roka. Povinnosti môžu byť plnené pravidelne na ročnej báze, polročne, kvartálne,</w:t>
      </w:r>
      <w:r w:rsidR="00C05563" w:rsidRPr="001E47E5">
        <w:rPr>
          <w:rFonts w:ascii="Times New Roman" w:eastAsia="Calibri" w:hAnsi="Times New Roman" w:cs="Times New Roman"/>
          <w:sz w:val="24"/>
          <w:szCs w:val="24"/>
        </w:rPr>
        <w:t xml:space="preserve"> týždenne,</w:t>
      </w:r>
      <w:r w:rsidRPr="001E47E5">
        <w:rPr>
          <w:rFonts w:ascii="Times New Roman" w:eastAsia="Calibri" w:hAnsi="Times New Roman" w:cs="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sidR="00484D16" w:rsidRPr="001E47E5">
        <w:rPr>
          <w:rFonts w:ascii="Times New Roman" w:eastAsia="Calibri" w:hAnsi="Times New Roman" w:cs="Times New Roman"/>
          <w:sz w:val="24"/>
          <w:szCs w:val="24"/>
        </w:rPr>
        <w:t> </w:t>
      </w:r>
      <w:r w:rsidRPr="001E47E5">
        <w:rPr>
          <w:rFonts w:ascii="Times New Roman" w:eastAsia="Calibri" w:hAnsi="Times New Roman" w:cs="Times New Roman"/>
          <w:sz w:val="24"/>
          <w:szCs w:val="24"/>
        </w:rPr>
        <w:t>tabuľke</w:t>
      </w:r>
      <w:r w:rsidR="00484D16" w:rsidRPr="001E47E5">
        <w:rPr>
          <w:rFonts w:ascii="Times New Roman" w:eastAsia="Calibri" w:hAnsi="Times New Roman" w:cs="Times New Roman"/>
          <w:sz w:val="24"/>
          <w:szCs w:val="24"/>
        </w:rPr>
        <w:t xml:space="preserve"> koeficientov frekvencie</w:t>
      </w:r>
      <w:r w:rsidRPr="001E47E5">
        <w:rPr>
          <w:rFonts w:ascii="Times New Roman" w:eastAsia="Calibri" w:hAnsi="Times New Roman" w:cs="Times New Roman"/>
          <w:sz w:val="24"/>
          <w:szCs w:val="24"/>
        </w:rPr>
        <w:t xml:space="preserve">. Koeficient „jednorazovo“ vychádza z dĺžky volebného obdobia (4 roky), v rámci ktorého je ambícia, aby vláda </w:t>
      </w:r>
      <w:r w:rsidR="00484D16" w:rsidRPr="001E47E5">
        <w:rPr>
          <w:rFonts w:ascii="Times New Roman" w:eastAsia="Calibri" w:hAnsi="Times New Roman" w:cs="Times New Roman"/>
          <w:sz w:val="24"/>
          <w:szCs w:val="24"/>
        </w:rPr>
        <w:t xml:space="preserve">SR </w:t>
      </w:r>
      <w:r w:rsidRPr="001E47E5">
        <w:rPr>
          <w:rFonts w:ascii="Times New Roman" w:eastAsia="Calibri" w:hAnsi="Times New Roman" w:cs="Times New Roman"/>
          <w:sz w:val="24"/>
          <w:szCs w:val="24"/>
        </w:rPr>
        <w:t xml:space="preserve">stihla odstrániť jednorazovú záťaž, ktorú vytvorí. </w:t>
      </w:r>
    </w:p>
    <w:p w14:paraId="6021CE57" w14:textId="77777777" w:rsidR="00315BE2" w:rsidRPr="001E47E5" w:rsidRDefault="00315BE2" w:rsidP="00315BE2">
      <w:pPr>
        <w:spacing w:after="0" w:line="276" w:lineRule="auto"/>
        <w:ind w:left="1134"/>
        <w:rPr>
          <w:rFonts w:ascii="Times New Roman" w:eastAsia="Times New Roman" w:hAnsi="Times New Roman" w:cs="Times New Roman"/>
          <w:i/>
          <w:color w:val="000000"/>
        </w:rPr>
      </w:pPr>
      <w:r w:rsidRPr="001E47E5">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315BE2" w:rsidRPr="001E47E5" w14:paraId="0BEB1EB3" w14:textId="77777777" w:rsidTr="00484D16">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0BF5D2A0" w14:textId="77777777" w:rsidR="00315BE2" w:rsidRPr="001E47E5" w:rsidRDefault="00315BE2" w:rsidP="00484D16">
            <w:pPr>
              <w:spacing w:after="0" w:line="240" w:lineRule="auto"/>
              <w:jc w:val="center"/>
              <w:rPr>
                <w:rFonts w:ascii="Times New Roman" w:eastAsia="Times New Roman" w:hAnsi="Times New Roman" w:cs="Times New Roman"/>
                <w:color w:val="FFFFFF"/>
              </w:rPr>
            </w:pPr>
            <w:r w:rsidRPr="001E47E5">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DF0A1" w14:textId="77777777" w:rsidR="00315BE2" w:rsidRPr="001E47E5" w:rsidRDefault="00315BE2" w:rsidP="00484D16">
            <w:pPr>
              <w:spacing w:after="0" w:line="240" w:lineRule="auto"/>
              <w:jc w:val="center"/>
              <w:rPr>
                <w:rFonts w:ascii="Times New Roman" w:eastAsia="Times New Roman" w:hAnsi="Times New Roman" w:cs="Times New Roman"/>
                <w:color w:val="FFFFFF"/>
              </w:rPr>
            </w:pPr>
            <w:r w:rsidRPr="001E47E5">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6254CA4" w14:textId="77777777" w:rsidR="00315BE2" w:rsidRPr="001E47E5" w:rsidRDefault="00315BE2" w:rsidP="00484D16">
            <w:pPr>
              <w:spacing w:after="0" w:line="240" w:lineRule="auto"/>
              <w:jc w:val="center"/>
              <w:rPr>
                <w:rFonts w:ascii="Times New Roman" w:eastAsia="Times New Roman" w:hAnsi="Times New Roman" w:cs="Times New Roman"/>
                <w:color w:val="FFFFFF"/>
              </w:rPr>
            </w:pPr>
            <w:r w:rsidRPr="001E47E5">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FFA2F09" w14:textId="77777777" w:rsidR="00315BE2" w:rsidRPr="001E47E5" w:rsidRDefault="00315BE2" w:rsidP="00484D16">
            <w:pPr>
              <w:spacing w:after="0" w:line="240" w:lineRule="auto"/>
              <w:jc w:val="center"/>
              <w:rPr>
                <w:rFonts w:ascii="Times New Roman" w:eastAsia="Times New Roman" w:hAnsi="Times New Roman" w:cs="Times New Roman"/>
                <w:color w:val="FFFFFF"/>
              </w:rPr>
            </w:pPr>
            <w:r w:rsidRPr="001E47E5">
              <w:rPr>
                <w:rFonts w:ascii="Times New Roman" w:eastAsia="Times New Roman" w:hAnsi="Times New Roman" w:cs="Times New Roman"/>
                <w:bCs/>
                <w:color w:val="FFFFFF"/>
              </w:rPr>
              <w:t>Koeficient frekvencie</w:t>
            </w:r>
          </w:p>
        </w:tc>
      </w:tr>
      <w:tr w:rsidR="00315BE2" w:rsidRPr="001E47E5" w14:paraId="2E92F424"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0575DE"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A87B25F"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2D2AF7E"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7A34B77"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0,50</w:t>
            </w:r>
          </w:p>
        </w:tc>
      </w:tr>
      <w:tr w:rsidR="00315BE2" w:rsidRPr="001E47E5" w14:paraId="2CCEBF1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ACCFBC"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EAA4427"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5055261"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8360E48"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0,33</w:t>
            </w:r>
          </w:p>
        </w:tc>
      </w:tr>
      <w:tr w:rsidR="00315BE2" w:rsidRPr="001E47E5" w14:paraId="0ED12FB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285B484"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E6AF9A8"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F8635E"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C08F5F9"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0,25</w:t>
            </w:r>
          </w:p>
        </w:tc>
      </w:tr>
      <w:tr w:rsidR="00315BE2" w:rsidRPr="001E47E5" w14:paraId="1A0645D9"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A206CA8"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8F50F19"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C50F00D"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1815DE85"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0,20</w:t>
            </w:r>
          </w:p>
        </w:tc>
      </w:tr>
      <w:tr w:rsidR="00315BE2" w:rsidRPr="001E47E5" w14:paraId="7CC31E42"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7DB24BC7" w14:textId="77777777" w:rsidR="00315BE2" w:rsidRPr="001E47E5" w:rsidRDefault="00315BE2"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3C12091B"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AF4155F" w14:textId="1C394566" w:rsidR="00315BE2" w:rsidRPr="001E47E5" w:rsidRDefault="00C05563"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20E498B5" w14:textId="77777777" w:rsidR="00315BE2" w:rsidRPr="001E47E5" w:rsidRDefault="00315BE2"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0,25</w:t>
            </w:r>
          </w:p>
        </w:tc>
      </w:tr>
      <w:tr w:rsidR="00C05563" w:rsidRPr="001E47E5" w14:paraId="0CBD10F1"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646CC741" w14:textId="77777777" w:rsidR="00C05563" w:rsidRPr="001E47E5" w:rsidRDefault="00C05563" w:rsidP="00484D16">
            <w:pPr>
              <w:spacing w:after="0" w:line="240" w:lineRule="auto"/>
              <w:rPr>
                <w:rFonts w:ascii="Times New Roman" w:eastAsia="Times New Roman" w:hAnsi="Times New Roman" w:cs="Times New Roman"/>
                <w:bCs/>
                <w:color w:val="000000"/>
                <w:sz w:val="20"/>
                <w:szCs w:val="20"/>
              </w:rPr>
            </w:pPr>
            <w:r w:rsidRPr="001E47E5">
              <w:rPr>
                <w:rFonts w:ascii="Times New Roman" w:eastAsia="Times New Roman" w:hAnsi="Times New Roman" w:cs="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3C24FD6D" w14:textId="77777777" w:rsidR="00C05563" w:rsidRPr="001E47E5" w:rsidRDefault="00C05563"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721B1F41" w14:textId="77777777" w:rsidR="00C05563" w:rsidRPr="001E47E5" w:rsidRDefault="00C05563" w:rsidP="00484D16">
            <w:pPr>
              <w:spacing w:after="0" w:line="240" w:lineRule="auto"/>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158AE698" w14:textId="77777777" w:rsidR="00C05563" w:rsidRPr="001E47E5" w:rsidRDefault="00C05563" w:rsidP="00484D16">
            <w:pPr>
              <w:spacing w:after="0" w:line="240" w:lineRule="auto"/>
              <w:jc w:val="right"/>
              <w:rPr>
                <w:rFonts w:ascii="Times New Roman" w:eastAsia="Times New Roman" w:hAnsi="Times New Roman" w:cs="Times New Roman"/>
                <w:color w:val="000000"/>
                <w:sz w:val="20"/>
                <w:szCs w:val="20"/>
              </w:rPr>
            </w:pPr>
            <w:r w:rsidRPr="001E47E5">
              <w:rPr>
                <w:rFonts w:ascii="Times New Roman" w:eastAsia="Times New Roman" w:hAnsi="Times New Roman" w:cs="Times New Roman"/>
                <w:color w:val="000000"/>
                <w:sz w:val="20"/>
                <w:szCs w:val="20"/>
              </w:rPr>
              <w:t>1,00</w:t>
            </w:r>
          </w:p>
        </w:tc>
      </w:tr>
    </w:tbl>
    <w:p w14:paraId="4C3F981C" w14:textId="77777777" w:rsidR="00315BE2" w:rsidRPr="001E47E5" w:rsidRDefault="00315BE2" w:rsidP="00315BE2">
      <w:pPr>
        <w:spacing w:after="120" w:line="276" w:lineRule="auto"/>
        <w:jc w:val="both"/>
        <w:rPr>
          <w:rFonts w:ascii="Times New Roman" w:eastAsia="Times New Roman" w:hAnsi="Times New Roman" w:cs="Times New Roman"/>
          <w:color w:val="000000"/>
        </w:rPr>
      </w:pPr>
    </w:p>
    <w:p w14:paraId="3EBB4A9B" w14:textId="77777777" w:rsidR="00315BE2" w:rsidRPr="001E47E5" w:rsidRDefault="00315BE2" w:rsidP="00315BE2">
      <w:pPr>
        <w:spacing w:after="120" w:line="276" w:lineRule="auto"/>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Stanovenie časovej náročnosti pri administratívnych nákladoch</w:t>
      </w:r>
    </w:p>
    <w:p w14:paraId="3229ED62" w14:textId="77777777" w:rsidR="00315BE2" w:rsidRPr="001E47E5" w:rsidRDefault="00315BE2" w:rsidP="00315BE2">
      <w:pPr>
        <w:spacing w:after="120" w:line="276" w:lineRule="auto"/>
        <w:jc w:val="both"/>
        <w:rPr>
          <w:rFonts w:ascii="Times New Roman" w:eastAsia="Calibri" w:hAnsi="Times New Roman" w:cs="Times New Roman"/>
          <w:sz w:val="24"/>
          <w:szCs w:val="24"/>
        </w:rPr>
      </w:pPr>
      <w:r w:rsidRPr="001E47E5">
        <w:rPr>
          <w:rFonts w:ascii="Times New Roman" w:eastAsia="Times New Roman" w:hAnsi="Times New Roman" w:cs="Times New Roman"/>
          <w:color w:val="000000"/>
          <w:sz w:val="24"/>
          <w:szCs w:val="24"/>
        </w:rPr>
        <w:t>Kalkulácia nákladov vychádza z metodiky štandardného nákladového modelu (SCM).</w:t>
      </w:r>
      <w:r w:rsidRPr="001E47E5">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D84909C" w14:textId="77777777" w:rsidR="00315BE2" w:rsidRPr="001E47E5" w:rsidRDefault="00315BE2" w:rsidP="00315BE2">
      <w:pPr>
        <w:spacing w:after="120" w:line="240" w:lineRule="auto"/>
        <w:jc w:val="both"/>
        <w:rPr>
          <w:rFonts w:ascii="Times New Roman" w:eastAsia="Calibri" w:hAnsi="Times New Roman" w:cs="Times New Roman"/>
          <w:sz w:val="24"/>
          <w:szCs w:val="24"/>
        </w:rPr>
      </w:pPr>
    </w:p>
    <w:p w14:paraId="31AC7981" w14:textId="77777777" w:rsidR="00C05563" w:rsidRPr="001E47E5" w:rsidRDefault="00C05563" w:rsidP="00315BE2">
      <w:pPr>
        <w:spacing w:after="120" w:line="240" w:lineRule="auto"/>
        <w:jc w:val="both"/>
        <w:rPr>
          <w:rFonts w:ascii="Times New Roman" w:eastAsia="Calibri" w:hAnsi="Times New Roman" w:cs="Times New Roman"/>
          <w:sz w:val="24"/>
          <w:szCs w:val="24"/>
        </w:rPr>
      </w:pPr>
    </w:p>
    <w:p w14:paraId="40BE129E" w14:textId="77777777" w:rsidR="00315BE2" w:rsidRPr="001E47E5" w:rsidRDefault="00315BE2" w:rsidP="00315BE2">
      <w:pPr>
        <w:spacing w:after="120" w:line="240" w:lineRule="auto"/>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Pri priraďovaní časovej náročnosti plnenia povinnosti je možné použiť dva základné prístupy:</w:t>
      </w:r>
    </w:p>
    <w:p w14:paraId="56DD1F8C" w14:textId="77777777" w:rsidR="00315BE2" w:rsidRPr="001E47E5" w:rsidRDefault="00315BE2" w:rsidP="00315BE2">
      <w:pPr>
        <w:spacing w:after="0" w:line="240" w:lineRule="auto"/>
        <w:jc w:val="both"/>
        <w:rPr>
          <w:rFonts w:ascii="Times New Roman" w:eastAsia="Calibri" w:hAnsi="Times New Roman" w:cs="Times New Roman"/>
          <w:sz w:val="24"/>
          <w:szCs w:val="24"/>
        </w:rPr>
      </w:pPr>
    </w:p>
    <w:p w14:paraId="7C102A21" w14:textId="77777777" w:rsidR="00315BE2" w:rsidRPr="001E47E5" w:rsidRDefault="00315BE2" w:rsidP="00315BE2">
      <w:pPr>
        <w:numPr>
          <w:ilvl w:val="0"/>
          <w:numId w:val="1"/>
        </w:numPr>
        <w:spacing w:after="120" w:line="240" w:lineRule="auto"/>
        <w:rPr>
          <w:rFonts w:ascii="Times New Roman" w:eastAsia="Calibri" w:hAnsi="Times New Roman" w:cs="Times New Roman"/>
          <w:i/>
          <w:sz w:val="24"/>
          <w:szCs w:val="24"/>
        </w:rPr>
      </w:pPr>
      <w:r w:rsidRPr="001E47E5">
        <w:rPr>
          <w:rFonts w:ascii="Times New Roman" w:eastAsia="Calibri" w:hAnsi="Times New Roman" w:cs="Times New Roman"/>
          <w:i/>
          <w:sz w:val="24"/>
          <w:szCs w:val="24"/>
        </w:rPr>
        <w:t xml:space="preserve">Expertný odhad trvania povinnosti (v min.) </w:t>
      </w:r>
    </w:p>
    <w:p w14:paraId="6CDF9BF9" w14:textId="20A171F8" w:rsidR="00315BE2" w:rsidRPr="001E47E5" w:rsidRDefault="00315BE2" w:rsidP="00C446E2">
      <w:pPr>
        <w:spacing w:after="120" w:line="276" w:lineRule="auto"/>
        <w:ind w:left="708"/>
        <w:jc w:val="both"/>
        <w:rPr>
          <w:rFonts w:ascii="Times New Roman" w:eastAsia="Times New Roman" w:hAnsi="Times New Roman" w:cs="Times New Roman"/>
          <w:sz w:val="24"/>
          <w:szCs w:val="24"/>
        </w:rPr>
      </w:pPr>
      <w:r w:rsidRPr="001E47E5">
        <w:rPr>
          <w:rFonts w:ascii="Times New Roman" w:eastAsia="Times New Roman" w:hAnsi="Times New Roman" w:cs="Times New Roman"/>
          <w:sz w:val="24"/>
          <w:szCs w:val="24"/>
        </w:rPr>
        <w:t xml:space="preserve">Odhad predkladateľa trvania povinnosti (v min.) Ak predkladateľ disponuje údajmi </w:t>
      </w:r>
      <w:r w:rsidR="00484D16" w:rsidRPr="001E47E5">
        <w:rPr>
          <w:rFonts w:ascii="Times New Roman" w:eastAsia="Times New Roman" w:hAnsi="Times New Roman" w:cs="Times New Roman"/>
          <w:sz w:val="24"/>
          <w:szCs w:val="24"/>
        </w:rPr>
        <w:t>o </w:t>
      </w:r>
      <w:r w:rsidRPr="001E47E5">
        <w:rPr>
          <w:rFonts w:ascii="Times New Roman" w:eastAsia="Times New Roman" w:hAnsi="Times New Roman" w:cs="Times New Roman"/>
          <w:sz w:val="24"/>
          <w:szCs w:val="24"/>
        </w:rPr>
        <w:t xml:space="preserve">trvaní povinnosti získanými na základe vlastných meraní alebo reprezentatívnym </w:t>
      </w:r>
      <w:r w:rsidRPr="001E47E5">
        <w:rPr>
          <w:rFonts w:ascii="Times New Roman" w:eastAsia="Times New Roman" w:hAnsi="Times New Roman" w:cs="Times New Roman"/>
          <w:sz w:val="24"/>
          <w:szCs w:val="24"/>
        </w:rPr>
        <w:lastRenderedPageBreak/>
        <w:t>prieskumom medzi zainteresovanými subjektmi</w:t>
      </w:r>
      <w:r w:rsidR="00C05563" w:rsidRPr="001E47E5">
        <w:rPr>
          <w:rFonts w:ascii="Times New Roman" w:eastAsia="Times New Roman" w:hAnsi="Times New Roman" w:cs="Times New Roman"/>
          <w:sz w:val="24"/>
          <w:szCs w:val="24"/>
        </w:rPr>
        <w:t>,</w:t>
      </w:r>
      <w:r w:rsidRPr="001E47E5">
        <w:rPr>
          <w:rFonts w:ascii="Times New Roman" w:eastAsia="Times New Roman" w:hAnsi="Times New Roman" w:cs="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w:t>
      </w:r>
      <w:r w:rsidR="00484D16" w:rsidRPr="001E47E5">
        <w:rPr>
          <w:rFonts w:ascii="Times New Roman" w:eastAsia="Times New Roman" w:hAnsi="Times New Roman" w:cs="Times New Roman"/>
          <w:sz w:val="24"/>
          <w:szCs w:val="24"/>
        </w:rPr>
        <w:t>z </w:t>
      </w:r>
      <w:r w:rsidRPr="001E47E5">
        <w:rPr>
          <w:rFonts w:ascii="Times New Roman" w:eastAsia="Times New Roman" w:hAnsi="Times New Roman" w:cs="Times New Roman"/>
          <w:sz w:val="24"/>
          <w:szCs w:val="24"/>
        </w:rPr>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596FA19B" w14:textId="77777777" w:rsidR="00315BE2" w:rsidRPr="001E47E5" w:rsidRDefault="00315BE2" w:rsidP="00315BE2">
      <w:pPr>
        <w:numPr>
          <w:ilvl w:val="0"/>
          <w:numId w:val="1"/>
        </w:numPr>
        <w:spacing w:after="120" w:line="240" w:lineRule="auto"/>
        <w:jc w:val="both"/>
        <w:rPr>
          <w:rFonts w:ascii="Times New Roman" w:eastAsia="Calibri" w:hAnsi="Times New Roman" w:cs="Times New Roman"/>
          <w:i/>
          <w:sz w:val="24"/>
          <w:szCs w:val="24"/>
        </w:rPr>
      </w:pPr>
      <w:r w:rsidRPr="001E47E5">
        <w:rPr>
          <w:rFonts w:ascii="Times New Roman" w:eastAsia="Calibri" w:hAnsi="Times New Roman" w:cs="Times New Roman"/>
          <w:i/>
          <w:sz w:val="24"/>
          <w:szCs w:val="24"/>
        </w:rPr>
        <w:t xml:space="preserve">Štandardná časová náročnosť povinnosti (min.)  </w:t>
      </w:r>
    </w:p>
    <w:p w14:paraId="2A97A4C8" w14:textId="675EFE6D" w:rsidR="00315BE2" w:rsidRPr="001E47E5" w:rsidRDefault="00315BE2" w:rsidP="00315BE2">
      <w:pPr>
        <w:spacing w:after="120" w:line="276" w:lineRule="auto"/>
        <w:ind w:left="708"/>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Ak predkladateľ nevie odhadnúť trvanie administratívnej povinnosti presnejšie, tak si môže pomôcť výberom z 1</w:t>
      </w:r>
      <w:r w:rsidR="00FF0272" w:rsidRPr="001E47E5">
        <w:rPr>
          <w:rFonts w:ascii="Times New Roman" w:eastAsia="Calibri" w:hAnsi="Times New Roman" w:cs="Times New Roman"/>
          <w:sz w:val="24"/>
          <w:szCs w:val="24"/>
        </w:rPr>
        <w:t>3</w:t>
      </w:r>
      <w:r w:rsidRPr="001E47E5">
        <w:rPr>
          <w:rFonts w:ascii="Times New Roman" w:eastAsia="Calibri" w:hAnsi="Times New Roman" w:cs="Times New Roman"/>
          <w:sz w:val="24"/>
          <w:szCs w:val="24"/>
        </w:rPr>
        <w:t xml:space="preserve"> typických informačných povinností, ktorým sú priradené štandardizované časové náročnosti uvedené v tabuľke</w:t>
      </w:r>
      <w:r w:rsidR="00484D16" w:rsidRPr="001E47E5">
        <w:rPr>
          <w:rFonts w:ascii="Times New Roman" w:eastAsia="Calibri" w:hAnsi="Times New Roman" w:cs="Times New Roman"/>
          <w:sz w:val="24"/>
          <w:szCs w:val="24"/>
        </w:rPr>
        <w:t xml:space="preserve"> štandardných časových náročností typických informačných povinností</w:t>
      </w:r>
      <w:r w:rsidRPr="001E47E5">
        <w:rPr>
          <w:rFonts w:ascii="Times New Roman" w:eastAsia="Calibri" w:hAnsi="Times New Roman" w:cs="Times New Roman"/>
          <w:sz w:val="24"/>
          <w:szCs w:val="24"/>
        </w:rPr>
        <w:t xml:space="preserve">. </w:t>
      </w:r>
    </w:p>
    <w:p w14:paraId="16994E99" w14:textId="77777777" w:rsidR="00315BE2" w:rsidRPr="001E47E5" w:rsidRDefault="00315BE2" w:rsidP="00315BE2">
      <w:pPr>
        <w:spacing w:after="120" w:line="276" w:lineRule="auto"/>
        <w:ind w:left="708"/>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 xml:space="preserve">Tabuľka štandardných časových náročností typických informačných povinností podľa veľkosti podniku je uvedená v Kalkulačke </w:t>
      </w:r>
      <w:r w:rsidR="001A1561" w:rsidRPr="001E47E5">
        <w:rPr>
          <w:rFonts w:ascii="Times New Roman" w:eastAsia="Calibri" w:hAnsi="Times New Roman" w:cs="Times New Roman"/>
          <w:sz w:val="24"/>
          <w:szCs w:val="24"/>
        </w:rPr>
        <w:t>nákladov</w:t>
      </w:r>
      <w:r w:rsidRPr="001E47E5">
        <w:rPr>
          <w:rFonts w:ascii="Times New Roman" w:eastAsia="Calibri" w:hAnsi="Times New Roman" w:cs="Times New Roman"/>
          <w:sz w:val="24"/>
          <w:szCs w:val="24"/>
        </w:rPr>
        <w:t>, časti „Vysvetlivky ku kroku 1“.</w:t>
      </w:r>
    </w:p>
    <w:p w14:paraId="1268F111" w14:textId="267B129A" w:rsidR="0039334E" w:rsidRPr="001E47E5" w:rsidRDefault="00315BE2" w:rsidP="00FD3DFB">
      <w:pPr>
        <w:spacing w:after="120" w:line="276" w:lineRule="auto"/>
        <w:ind w:left="708"/>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 xml:space="preserve">Uvedené časové náročnosti budú zo strany </w:t>
      </w:r>
      <w:r w:rsidR="00562527" w:rsidRPr="001E47E5">
        <w:rPr>
          <w:rFonts w:ascii="Times New Roman" w:eastAsia="Calibri" w:hAnsi="Times New Roman" w:cs="Times New Roman"/>
          <w:sz w:val="24"/>
          <w:szCs w:val="24"/>
        </w:rPr>
        <w:t>m</w:t>
      </w:r>
      <w:r w:rsidRPr="001E47E5">
        <w:rPr>
          <w:rFonts w:ascii="Times New Roman" w:eastAsia="Calibri" w:hAnsi="Times New Roman" w:cs="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F4D677" w14:textId="77777777" w:rsidR="00315BE2" w:rsidRPr="001E47E5" w:rsidRDefault="00315BE2" w:rsidP="00054C41">
      <w:pPr>
        <w:rPr>
          <w:rFonts w:ascii="Times New Roman" w:eastAsia="Calibri" w:hAnsi="Times New Roman" w:cs="Times New Roman"/>
          <w:b/>
          <w:i/>
          <w:iCs/>
          <w:sz w:val="24"/>
          <w:szCs w:val="24"/>
        </w:rPr>
      </w:pPr>
    </w:p>
    <w:p w14:paraId="71D48365" w14:textId="77777777" w:rsidR="00054C41" w:rsidRPr="001E47E5"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1E47E5">
        <w:rPr>
          <w:rFonts w:ascii="Times New Roman" w:eastAsia="Calibri" w:hAnsi="Times New Roman" w:cs="Times New Roman"/>
          <w:b/>
          <w:sz w:val="24"/>
          <w:szCs w:val="24"/>
        </w:rPr>
        <w:t xml:space="preserve">3.1.1 Súhrnná tabuľka nákladov regulácie </w:t>
      </w:r>
    </w:p>
    <w:p w14:paraId="00C1B6AD" w14:textId="77777777" w:rsidR="00054C41" w:rsidRPr="001E47E5" w:rsidRDefault="00054C41" w:rsidP="00054C41">
      <w:pPr>
        <w:spacing w:after="0" w:line="240" w:lineRule="auto"/>
        <w:rPr>
          <w:rFonts w:ascii="Times New Roman" w:eastAsia="Times New Roman" w:hAnsi="Times New Roman" w:cs="Times New Roman"/>
          <w:bCs/>
          <w:sz w:val="24"/>
          <w:szCs w:val="24"/>
          <w:lang w:eastAsia="sk-SK"/>
        </w:rPr>
      </w:pPr>
    </w:p>
    <w:p w14:paraId="2289BD6D" w14:textId="77777777" w:rsidR="00054C41" w:rsidRPr="001E47E5" w:rsidRDefault="00054C41" w:rsidP="00054C41">
      <w:pPr>
        <w:spacing w:after="0" w:line="240" w:lineRule="auto"/>
        <w:jc w:val="both"/>
        <w:rPr>
          <w:rFonts w:ascii="Times New Roman" w:eastAsia="Times New Roman" w:hAnsi="Times New Roman" w:cs="Times New Roman"/>
          <w:b/>
          <w:bCs/>
          <w:iCs/>
          <w:sz w:val="24"/>
          <w:szCs w:val="24"/>
          <w:lang w:eastAsia="sk-SK"/>
        </w:rPr>
      </w:pPr>
      <w:r w:rsidRPr="001E47E5">
        <w:rPr>
          <w:rFonts w:ascii="Times New Roman" w:eastAsia="Times New Roman" w:hAnsi="Times New Roman" w:cs="Times New Roman"/>
          <w:b/>
          <w:bCs/>
          <w:iCs/>
          <w:sz w:val="24"/>
          <w:szCs w:val="24"/>
          <w:lang w:eastAsia="sk-SK"/>
        </w:rPr>
        <w:t>Tabuľka č. 1: Zmeny ročných nákladov v prepočte na podnikateľské prostredie, Vyhodnotenie mechanizmu zn</w:t>
      </w:r>
      <w:r w:rsidR="00FD3DFB" w:rsidRPr="001E47E5">
        <w:rPr>
          <w:rFonts w:ascii="Times New Roman" w:eastAsia="Times New Roman" w:hAnsi="Times New Roman" w:cs="Times New Roman"/>
          <w:b/>
          <w:bCs/>
          <w:iCs/>
          <w:sz w:val="24"/>
          <w:szCs w:val="24"/>
          <w:lang w:eastAsia="sk-SK"/>
        </w:rPr>
        <w:t xml:space="preserve">ižovania byrokracie a nákladov </w:t>
      </w:r>
      <w:r w:rsidR="00562527" w:rsidRPr="001E47E5">
        <w:rPr>
          <w:rFonts w:ascii="Times New Roman" w:eastAsia="Times New Roman" w:hAnsi="Times New Roman" w:cs="Times New Roman"/>
          <w:b/>
          <w:bCs/>
          <w:iCs/>
          <w:sz w:val="24"/>
          <w:szCs w:val="24"/>
          <w:lang w:eastAsia="sk-SK"/>
        </w:rPr>
        <w:t xml:space="preserve">a vyhodnotenie goldplatingu </w:t>
      </w:r>
      <w:r w:rsidRPr="001E47E5">
        <w:rPr>
          <w:rFonts w:ascii="Times New Roman" w:eastAsia="Times New Roman" w:hAnsi="Times New Roman" w:cs="Times New Roman"/>
          <w:sz w:val="24"/>
          <w:szCs w:val="24"/>
          <w:lang w:eastAsia="sk-SK"/>
        </w:rPr>
        <w:t>sa vyp</w:t>
      </w:r>
      <w:r w:rsidR="0039334E" w:rsidRPr="001E47E5">
        <w:rPr>
          <w:rFonts w:ascii="Times New Roman" w:eastAsia="Times New Roman" w:hAnsi="Times New Roman" w:cs="Times New Roman"/>
          <w:sz w:val="24"/>
          <w:szCs w:val="24"/>
          <w:lang w:eastAsia="sk-SK"/>
        </w:rPr>
        <w:t>l</w:t>
      </w:r>
      <w:r w:rsidR="00CA6348" w:rsidRPr="001E47E5">
        <w:rPr>
          <w:rFonts w:ascii="Times New Roman" w:eastAsia="Times New Roman" w:hAnsi="Times New Roman" w:cs="Times New Roman"/>
          <w:sz w:val="24"/>
          <w:szCs w:val="24"/>
          <w:lang w:eastAsia="sk-SK"/>
        </w:rPr>
        <w:t>ní automaticky tým, že predkladateľ vyplní Kalkulačku nákladov. Predkladateľ následne tabuľku odkopíru</w:t>
      </w:r>
      <w:r w:rsidR="005B56E4" w:rsidRPr="001E47E5">
        <w:rPr>
          <w:rFonts w:ascii="Times New Roman" w:eastAsia="Times New Roman" w:hAnsi="Times New Roman" w:cs="Times New Roman"/>
          <w:sz w:val="24"/>
          <w:szCs w:val="24"/>
          <w:lang w:eastAsia="sk-SK"/>
        </w:rPr>
        <w:t>j</w:t>
      </w:r>
      <w:r w:rsidR="00CA6348" w:rsidRPr="001E47E5">
        <w:rPr>
          <w:rFonts w:ascii="Times New Roman" w:eastAsia="Times New Roman" w:hAnsi="Times New Roman" w:cs="Times New Roman"/>
          <w:sz w:val="24"/>
          <w:szCs w:val="24"/>
          <w:lang w:eastAsia="sk-SK"/>
        </w:rPr>
        <w:t xml:space="preserve">e a vloží do </w:t>
      </w:r>
      <w:r w:rsidR="0018715C" w:rsidRPr="001E47E5">
        <w:rPr>
          <w:rFonts w:ascii="Times New Roman" w:eastAsia="Times New Roman" w:hAnsi="Times New Roman" w:cs="Times New Roman"/>
          <w:sz w:val="24"/>
          <w:szCs w:val="24"/>
          <w:lang w:eastAsia="sk-SK"/>
        </w:rPr>
        <w:t>a</w:t>
      </w:r>
      <w:r w:rsidR="00CA6348" w:rsidRPr="001E47E5">
        <w:rPr>
          <w:rFonts w:ascii="Times New Roman" w:eastAsia="Times New Roman" w:hAnsi="Times New Roman" w:cs="Times New Roman"/>
          <w:sz w:val="24"/>
          <w:szCs w:val="24"/>
          <w:lang w:eastAsia="sk-SK"/>
        </w:rPr>
        <w:t xml:space="preserve">nalýzy vplyvov na podnikateľské prostredie. </w:t>
      </w:r>
    </w:p>
    <w:p w14:paraId="1934C961" w14:textId="77777777" w:rsidR="00054C41" w:rsidRPr="001E47E5" w:rsidRDefault="00054C41" w:rsidP="00054C41">
      <w:pPr>
        <w:spacing w:after="0" w:line="240" w:lineRule="auto"/>
        <w:jc w:val="both"/>
        <w:rPr>
          <w:rFonts w:ascii="Times New Roman" w:eastAsia="Times New Roman" w:hAnsi="Times New Roman" w:cs="Times New Roman"/>
          <w:sz w:val="24"/>
          <w:szCs w:val="24"/>
          <w:lang w:eastAsia="sk-SK"/>
        </w:rPr>
      </w:pPr>
    </w:p>
    <w:p w14:paraId="191E57DC" w14:textId="77777777" w:rsidR="00054C41" w:rsidRPr="001E47E5" w:rsidRDefault="00985515" w:rsidP="00054C41">
      <w:pPr>
        <w:spacing w:after="0" w:line="240" w:lineRule="auto"/>
        <w:jc w:val="both"/>
        <w:rPr>
          <w:rFonts w:ascii="Times New Roman" w:eastAsia="Times New Roman" w:hAnsi="Times New Roman" w:cs="Times New Roman"/>
          <w:b/>
          <w:i/>
          <w:sz w:val="24"/>
          <w:szCs w:val="24"/>
          <w:lang w:eastAsia="sk-SK"/>
        </w:rPr>
      </w:pPr>
      <w:r w:rsidRPr="001E47E5">
        <w:rPr>
          <w:rFonts w:ascii="Times New Roman" w:eastAsia="Times New Roman" w:hAnsi="Times New Roman" w:cs="Times New Roman"/>
          <w:b/>
          <w:i/>
          <w:sz w:val="24"/>
          <w:szCs w:val="24"/>
          <w:lang w:eastAsia="sk-SK"/>
        </w:rPr>
        <w:t xml:space="preserve">Vysvetlivky </w:t>
      </w:r>
      <w:r w:rsidR="00054C41" w:rsidRPr="001E47E5">
        <w:rPr>
          <w:rFonts w:ascii="Times New Roman" w:eastAsia="Times New Roman" w:hAnsi="Times New Roman" w:cs="Times New Roman"/>
          <w:b/>
          <w:i/>
          <w:sz w:val="24"/>
          <w:szCs w:val="24"/>
          <w:lang w:eastAsia="sk-SK"/>
        </w:rPr>
        <w:t>k tabuľk</w:t>
      </w:r>
      <w:r w:rsidR="00FD3DFB" w:rsidRPr="001E47E5">
        <w:rPr>
          <w:rFonts w:ascii="Times New Roman" w:eastAsia="Times New Roman" w:hAnsi="Times New Roman" w:cs="Times New Roman"/>
          <w:b/>
          <w:i/>
          <w:sz w:val="24"/>
          <w:szCs w:val="24"/>
          <w:lang w:eastAsia="sk-SK"/>
        </w:rPr>
        <w:t>e</w:t>
      </w:r>
      <w:r w:rsidR="00054C41" w:rsidRPr="001E47E5">
        <w:rPr>
          <w:rFonts w:ascii="Times New Roman" w:eastAsia="Times New Roman" w:hAnsi="Times New Roman" w:cs="Times New Roman"/>
          <w:b/>
          <w:i/>
          <w:sz w:val="24"/>
          <w:szCs w:val="24"/>
          <w:lang w:eastAsia="sk-SK"/>
        </w:rPr>
        <w:t xml:space="preserve"> č. 1:</w:t>
      </w:r>
    </w:p>
    <w:p w14:paraId="3C1D44F0" w14:textId="77777777" w:rsidR="00054C41" w:rsidRPr="001E47E5" w:rsidRDefault="00054C41" w:rsidP="00054C41">
      <w:pPr>
        <w:spacing w:after="0" w:line="240" w:lineRule="auto"/>
        <w:jc w:val="both"/>
        <w:rPr>
          <w:rFonts w:ascii="Times New Roman" w:eastAsia="Times New Roman" w:hAnsi="Times New Roman" w:cs="Times New Roman"/>
          <w:b/>
          <w:i/>
          <w:sz w:val="24"/>
          <w:szCs w:val="24"/>
          <w:lang w:eastAsia="sk-SK"/>
        </w:rPr>
      </w:pPr>
    </w:p>
    <w:p w14:paraId="49EA7B40" w14:textId="0E29C67C" w:rsidR="00054C41" w:rsidRPr="001E47E5" w:rsidRDefault="005B56E4" w:rsidP="005D0E50">
      <w:pPr>
        <w:spacing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sz w:val="24"/>
          <w:szCs w:val="24"/>
          <w:lang w:eastAsia="sk-SK"/>
        </w:rPr>
        <w:t>Údaj</w:t>
      </w:r>
      <w:r w:rsidR="00646084" w:rsidRPr="001E47E5">
        <w:rPr>
          <w:rFonts w:ascii="Times New Roman" w:eastAsia="Times New Roman" w:hAnsi="Times New Roman" w:cs="Times New Roman"/>
          <w:b/>
          <w:sz w:val="24"/>
          <w:szCs w:val="24"/>
          <w:lang w:eastAsia="sk-SK"/>
        </w:rPr>
        <w:t xml:space="preserve"> </w:t>
      </w:r>
      <w:r w:rsidR="00FD3DFB" w:rsidRPr="001E47E5">
        <w:rPr>
          <w:rFonts w:ascii="Times New Roman" w:eastAsia="Times New Roman" w:hAnsi="Times New Roman" w:cs="Times New Roman"/>
          <w:b/>
          <w:sz w:val="24"/>
          <w:szCs w:val="24"/>
          <w:lang w:eastAsia="sk-SK"/>
        </w:rPr>
        <w:t>S</w:t>
      </w:r>
      <w:r w:rsidRPr="001E47E5">
        <w:rPr>
          <w:rFonts w:ascii="Times New Roman" w:eastAsia="Times New Roman" w:hAnsi="Times New Roman" w:cs="Times New Roman"/>
          <w:b/>
          <w:sz w:val="24"/>
          <w:szCs w:val="24"/>
          <w:lang w:eastAsia="sk-SK"/>
        </w:rPr>
        <w:t>polu</w:t>
      </w:r>
      <w:r w:rsidR="00FD3DFB" w:rsidRPr="001E47E5">
        <w:rPr>
          <w:rFonts w:ascii="Times New Roman" w:eastAsia="Times New Roman" w:hAnsi="Times New Roman" w:cs="Times New Roman"/>
          <w:b/>
          <w:sz w:val="24"/>
          <w:szCs w:val="24"/>
          <w:lang w:eastAsia="sk-SK"/>
        </w:rPr>
        <w:t xml:space="preserve"> </w:t>
      </w:r>
      <w:r w:rsidR="00054C41" w:rsidRPr="001E47E5">
        <w:rPr>
          <w:rFonts w:ascii="Times New Roman" w:eastAsia="Times New Roman" w:hAnsi="Times New Roman" w:cs="Times New Roman"/>
          <w:b/>
          <w:sz w:val="24"/>
          <w:szCs w:val="24"/>
          <w:lang w:eastAsia="sk-SK"/>
        </w:rPr>
        <w:t>A+B+C+D</w:t>
      </w:r>
      <w:r w:rsidR="00A94A0F" w:rsidRPr="001E47E5">
        <w:rPr>
          <w:rFonts w:ascii="Times New Roman" w:eastAsia="Times New Roman" w:hAnsi="Times New Roman" w:cs="Times New Roman"/>
          <w:b/>
          <w:sz w:val="24"/>
          <w:szCs w:val="24"/>
          <w:lang w:eastAsia="sk-SK"/>
        </w:rPr>
        <w:t>+E</w:t>
      </w:r>
      <w:r w:rsidR="00054C41" w:rsidRPr="001E47E5">
        <w:rPr>
          <w:rFonts w:ascii="Times New Roman" w:eastAsia="Times New Roman" w:hAnsi="Times New Roman" w:cs="Times New Roman"/>
          <w:sz w:val="24"/>
          <w:szCs w:val="24"/>
          <w:lang w:eastAsia="sk-SK"/>
        </w:rPr>
        <w:t xml:space="preserve"> vyjadruje aký celkový pozitívny vplyv a aký celkový negatívny vplyv má regulácia na náklady PP.</w:t>
      </w:r>
      <w:r w:rsidR="005D0E50" w:rsidRPr="001E47E5">
        <w:rPr>
          <w:rFonts w:ascii="Times New Roman" w:eastAsia="Times New Roman" w:hAnsi="Times New Roman" w:cs="Times New Roman"/>
          <w:sz w:val="24"/>
          <w:szCs w:val="24"/>
          <w:lang w:eastAsia="sk-SK"/>
        </w:rPr>
        <w:t xml:space="preserve">  </w:t>
      </w:r>
    </w:p>
    <w:p w14:paraId="43871021" w14:textId="3C406D3D" w:rsidR="00AA3C6D" w:rsidRPr="001E47E5" w:rsidRDefault="005B56E4" w:rsidP="00054C41">
      <w:pPr>
        <w:spacing w:after="12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sz w:val="24"/>
          <w:szCs w:val="24"/>
          <w:lang w:eastAsia="sk-SK"/>
        </w:rPr>
        <w:t>Údaj</w:t>
      </w:r>
      <w:r w:rsidRPr="001E47E5">
        <w:rPr>
          <w:rFonts w:ascii="Times New Roman" w:eastAsia="Times New Roman" w:hAnsi="Times New Roman" w:cs="Times New Roman"/>
          <w:b/>
          <w:sz w:val="24"/>
          <w:szCs w:val="24"/>
          <w:lang w:eastAsia="sk-SK"/>
        </w:rPr>
        <w:t xml:space="preserve"> F</w:t>
      </w:r>
      <w:r w:rsidR="00054C41" w:rsidRPr="001E47E5">
        <w:rPr>
          <w:rFonts w:ascii="Times New Roman" w:eastAsia="Times New Roman" w:hAnsi="Times New Roman" w:cs="Times New Roman"/>
          <w:b/>
          <w:sz w:val="24"/>
          <w:szCs w:val="24"/>
          <w:lang w:eastAsia="sk-SK"/>
        </w:rPr>
        <w:t>. Úplná harmonizácia práva EÚ</w:t>
      </w:r>
      <w:r w:rsidR="00054C41" w:rsidRPr="001E47E5">
        <w:rPr>
          <w:rFonts w:ascii="Times New Roman" w:eastAsia="Times New Roman" w:hAnsi="Times New Roman" w:cs="Times New Roman"/>
          <w:sz w:val="24"/>
          <w:szCs w:val="24"/>
          <w:lang w:eastAsia="sk-SK"/>
        </w:rPr>
        <w:t xml:space="preserve">: </w:t>
      </w:r>
      <w:r w:rsidRPr="001E47E5">
        <w:rPr>
          <w:rFonts w:ascii="Times New Roman" w:eastAsia="Times New Roman" w:hAnsi="Times New Roman" w:cs="Times New Roman"/>
          <w:sz w:val="24"/>
          <w:szCs w:val="24"/>
          <w:lang w:eastAsia="sk-SK"/>
        </w:rPr>
        <w:t xml:space="preserve">je súčet </w:t>
      </w:r>
      <w:r w:rsidR="00054C41" w:rsidRPr="001E47E5">
        <w:rPr>
          <w:rFonts w:ascii="Times New Roman" w:eastAsia="Times New Roman" w:hAnsi="Times New Roman" w:cs="Times New Roman"/>
          <w:sz w:val="24"/>
          <w:szCs w:val="24"/>
          <w:lang w:eastAsia="sk-SK"/>
        </w:rPr>
        <w:t>náklad</w:t>
      </w:r>
      <w:r w:rsidRPr="001E47E5">
        <w:rPr>
          <w:rFonts w:ascii="Times New Roman" w:eastAsia="Times New Roman" w:hAnsi="Times New Roman" w:cs="Times New Roman"/>
          <w:sz w:val="24"/>
          <w:szCs w:val="24"/>
          <w:lang w:eastAsia="sk-SK"/>
        </w:rPr>
        <w:t>ov</w:t>
      </w:r>
      <w:r w:rsidR="00054C41" w:rsidRPr="001E47E5">
        <w:rPr>
          <w:rFonts w:ascii="Times New Roman" w:eastAsia="Times New Roman" w:hAnsi="Times New Roman" w:cs="Times New Roman"/>
          <w:sz w:val="24"/>
          <w:szCs w:val="24"/>
          <w:lang w:eastAsia="sk-SK"/>
        </w:rPr>
        <w:t xml:space="preserve"> tých ustanovení predkladaného právneho predpisu, ktoré vyplývajú z legislatívy EÚ, od ktorej sa nemožno odkloniť a ktorú ani nie je možné upraviť inak (z Tabuľky č. 2 – Pôvod regulácie: EÚ úplná harm.).</w:t>
      </w:r>
      <w:r w:rsidR="00302A17" w:rsidRPr="001E47E5">
        <w:rPr>
          <w:rFonts w:ascii="Times New Roman" w:eastAsia="Times New Roman" w:hAnsi="Times New Roman" w:cs="Times New Roman"/>
          <w:sz w:val="24"/>
          <w:szCs w:val="24"/>
          <w:lang w:eastAsia="sk-SK"/>
        </w:rPr>
        <w:t xml:space="preserve"> </w:t>
      </w:r>
      <w:r w:rsidR="00302A17" w:rsidRPr="001E47E5">
        <w:rPr>
          <w:rFonts w:ascii="Times New Roman" w:eastAsia="Times New Roman" w:hAnsi="Times New Roman" w:cs="Times New Roman"/>
          <w:sz w:val="24"/>
          <w:szCs w:val="24"/>
        </w:rPr>
        <w:t xml:space="preserve">A ak je možná voľba alebo odklon od znenia práva EÚ, tak len v prípade, že ide o odklon/voľbu, ktorý udržuje </w:t>
      </w:r>
      <w:r w:rsidR="004F63E6" w:rsidRPr="001E47E5">
        <w:rPr>
          <w:rFonts w:ascii="Times New Roman" w:eastAsia="Times New Roman" w:hAnsi="Times New Roman" w:cs="Times New Roman"/>
          <w:sz w:val="24"/>
          <w:szCs w:val="24"/>
        </w:rPr>
        <w:t xml:space="preserve">minimálne </w:t>
      </w:r>
      <w:r w:rsidR="00302A17" w:rsidRPr="001E47E5">
        <w:rPr>
          <w:rFonts w:ascii="Times New Roman" w:eastAsia="Times New Roman" w:hAnsi="Times New Roman" w:cs="Times New Roman"/>
          <w:sz w:val="24"/>
          <w:szCs w:val="24"/>
        </w:rPr>
        <w:t>požiadavky práva EÚ (tieto nijako nenavyšuje).</w:t>
      </w:r>
      <w:r w:rsidR="00054C41" w:rsidRPr="001E47E5">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w:t>
      </w:r>
      <w:r w:rsidR="00AA3C6D" w:rsidRPr="001E47E5">
        <w:rPr>
          <w:rFonts w:ascii="Times New Roman" w:eastAsia="Times New Roman" w:hAnsi="Times New Roman" w:cs="Times New Roman"/>
          <w:sz w:val="24"/>
          <w:szCs w:val="24"/>
          <w:lang w:eastAsia="sk-SK"/>
        </w:rPr>
        <w:t xml:space="preserve"> (okrem voľby, ktorá udržiava </w:t>
      </w:r>
      <w:r w:rsidR="004F63E6" w:rsidRPr="001E47E5">
        <w:rPr>
          <w:rFonts w:ascii="Times New Roman" w:eastAsia="Times New Roman" w:hAnsi="Times New Roman" w:cs="Times New Roman"/>
          <w:sz w:val="24"/>
          <w:szCs w:val="24"/>
          <w:lang w:eastAsia="sk-SK"/>
        </w:rPr>
        <w:t xml:space="preserve">minimálne </w:t>
      </w:r>
      <w:r w:rsidR="00AA3C6D" w:rsidRPr="001E47E5">
        <w:rPr>
          <w:rFonts w:ascii="Times New Roman" w:eastAsia="Times New Roman" w:hAnsi="Times New Roman" w:cs="Times New Roman"/>
          <w:sz w:val="24"/>
          <w:szCs w:val="24"/>
          <w:lang w:eastAsia="sk-SK"/>
        </w:rPr>
        <w:t>požiadavky smernice)</w:t>
      </w:r>
      <w:r w:rsidR="00484D16" w:rsidRPr="001E47E5">
        <w:rPr>
          <w:rFonts w:ascii="Times New Roman" w:eastAsia="Times New Roman" w:hAnsi="Times New Roman" w:cs="Times New Roman"/>
          <w:sz w:val="24"/>
          <w:szCs w:val="24"/>
          <w:lang w:eastAsia="sk-SK"/>
        </w:rPr>
        <w:t>, t</w:t>
      </w:r>
      <w:r w:rsidR="00054C41" w:rsidRPr="001E47E5">
        <w:rPr>
          <w:rFonts w:ascii="Times New Roman" w:eastAsia="Times New Roman" w:hAnsi="Times New Roman" w:cs="Times New Roman"/>
          <w:sz w:val="24"/>
          <w:szCs w:val="24"/>
          <w:lang w:eastAsia="sk-SK"/>
        </w:rPr>
        <w:t xml:space="preserve">ie nemajú výnimku z mechanizmu </w:t>
      </w:r>
      <w:r w:rsidR="00054C41" w:rsidRPr="001E47E5">
        <w:rPr>
          <w:rFonts w:ascii="Times New Roman" w:eastAsia="Times New Roman" w:hAnsi="Times New Roman" w:cs="Times New Roman"/>
          <w:sz w:val="24"/>
          <w:szCs w:val="24"/>
          <w:lang w:eastAsia="sk-SK"/>
        </w:rPr>
        <w:lastRenderedPageBreak/>
        <w:t xml:space="preserve">znižovania byrokracie a nákladov. Kvantifikované vplyvy (v eurách na PP) sa rozdelia na tie, ktoré podnikateľom zvyšujú náklady a na tie, ktoré </w:t>
      </w:r>
      <w:r w:rsidR="00484D16" w:rsidRPr="001E47E5">
        <w:rPr>
          <w:rFonts w:ascii="Times New Roman" w:eastAsia="Times New Roman" w:hAnsi="Times New Roman" w:cs="Times New Roman"/>
          <w:sz w:val="24"/>
          <w:szCs w:val="24"/>
          <w:lang w:eastAsia="sk-SK"/>
        </w:rPr>
        <w:t xml:space="preserve">im </w:t>
      </w:r>
      <w:r w:rsidR="00054C41" w:rsidRPr="001E47E5">
        <w:rPr>
          <w:rFonts w:ascii="Times New Roman" w:eastAsia="Times New Roman" w:hAnsi="Times New Roman" w:cs="Times New Roman"/>
          <w:sz w:val="24"/>
          <w:szCs w:val="24"/>
          <w:lang w:eastAsia="sk-SK"/>
        </w:rPr>
        <w:t xml:space="preserve">znižujú náklady.  </w:t>
      </w:r>
    </w:p>
    <w:p w14:paraId="2F829F93" w14:textId="77777777" w:rsidR="00C048D1" w:rsidRPr="001E47E5" w:rsidRDefault="005B56E4" w:rsidP="00054C41">
      <w:pPr>
        <w:spacing w:after="12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sz w:val="24"/>
          <w:szCs w:val="24"/>
          <w:lang w:eastAsia="sk-SK"/>
        </w:rPr>
        <w:t xml:space="preserve">Údaj </w:t>
      </w:r>
      <w:r w:rsidRPr="001E47E5">
        <w:rPr>
          <w:rFonts w:ascii="Times New Roman" w:eastAsia="Times New Roman" w:hAnsi="Times New Roman" w:cs="Times New Roman"/>
          <w:b/>
          <w:sz w:val="24"/>
          <w:szCs w:val="24"/>
          <w:lang w:eastAsia="sk-SK"/>
        </w:rPr>
        <w:t>G</w:t>
      </w:r>
      <w:r w:rsidR="00C048D1" w:rsidRPr="001E47E5">
        <w:rPr>
          <w:rFonts w:ascii="Times New Roman" w:eastAsia="Calibri" w:hAnsi="Times New Roman" w:cs="Times New Roman"/>
          <w:b/>
          <w:i/>
          <w:sz w:val="24"/>
          <w:szCs w:val="24"/>
        </w:rPr>
        <w:t xml:space="preserve">. </w:t>
      </w:r>
      <w:r w:rsidR="00C048D1" w:rsidRPr="001E47E5">
        <w:rPr>
          <w:rFonts w:ascii="Times New Roman" w:eastAsia="Times New Roman" w:hAnsi="Times New Roman" w:cs="Times New Roman"/>
          <w:b/>
          <w:sz w:val="24"/>
          <w:szCs w:val="24"/>
          <w:lang w:eastAsia="sk-SK"/>
        </w:rPr>
        <w:t>Goldplating</w:t>
      </w:r>
      <w:r w:rsidR="005C795C" w:rsidRPr="001E47E5">
        <w:rPr>
          <w:rFonts w:ascii="Times New Roman" w:eastAsia="Times New Roman" w:hAnsi="Times New Roman" w:cs="Times New Roman"/>
          <w:b/>
          <w:sz w:val="24"/>
          <w:szCs w:val="24"/>
          <w:lang w:eastAsia="sk-SK"/>
        </w:rPr>
        <w:t xml:space="preserve">: </w:t>
      </w:r>
      <w:r w:rsidR="00D95553" w:rsidRPr="001E47E5">
        <w:rPr>
          <w:rFonts w:ascii="Times New Roman" w:eastAsia="Times New Roman" w:hAnsi="Times New Roman" w:cs="Times New Roman"/>
          <w:sz w:val="24"/>
          <w:szCs w:val="24"/>
          <w:lang w:eastAsia="sk-SK"/>
        </w:rPr>
        <w:t xml:space="preserve">Výpočet goldplatingu </w:t>
      </w:r>
      <w:r w:rsidR="005D0E50" w:rsidRPr="001E47E5">
        <w:rPr>
          <w:rFonts w:ascii="Times New Roman" w:eastAsia="Times New Roman" w:hAnsi="Times New Roman" w:cs="Times New Roman"/>
          <w:sz w:val="24"/>
          <w:szCs w:val="24"/>
          <w:lang w:eastAsia="sk-SK"/>
        </w:rPr>
        <w:t xml:space="preserve">tak, ako </w:t>
      </w:r>
      <w:r w:rsidR="00D95553" w:rsidRPr="001E47E5">
        <w:rPr>
          <w:rFonts w:ascii="Times New Roman" w:eastAsia="Times New Roman" w:hAnsi="Times New Roman" w:cs="Times New Roman"/>
          <w:sz w:val="24"/>
          <w:szCs w:val="24"/>
          <w:lang w:eastAsia="sk-SK"/>
        </w:rPr>
        <w:t xml:space="preserve">je podrobne popísaný vo vysvetlivkách v prílohe č. 3b </w:t>
      </w:r>
      <w:r w:rsidR="00981C7F" w:rsidRPr="001E47E5">
        <w:rPr>
          <w:rFonts w:ascii="Times New Roman" w:eastAsia="Times New Roman" w:hAnsi="Times New Roman" w:cs="Times New Roman"/>
          <w:sz w:val="24"/>
          <w:szCs w:val="24"/>
          <w:lang w:eastAsia="sk-SK"/>
        </w:rPr>
        <w:t>j</w:t>
      </w:r>
      <w:r w:rsidR="00D95553" w:rsidRPr="001E47E5">
        <w:rPr>
          <w:rFonts w:ascii="Times New Roman" w:eastAsia="Times New Roman" w:hAnsi="Times New Roman" w:cs="Times New Roman"/>
          <w:sz w:val="24"/>
          <w:szCs w:val="24"/>
          <w:lang w:eastAsia="sk-SK"/>
        </w:rPr>
        <w:t>edno</w:t>
      </w:r>
      <w:r w:rsidR="0091269B" w:rsidRPr="001E47E5">
        <w:rPr>
          <w:rFonts w:ascii="Times New Roman" w:eastAsia="Times New Roman" w:hAnsi="Times New Roman" w:cs="Times New Roman"/>
          <w:sz w:val="24"/>
          <w:szCs w:val="24"/>
          <w:lang w:eastAsia="sk-SK"/>
        </w:rPr>
        <w:t>tnej metodiky</w:t>
      </w:r>
      <w:r w:rsidR="00484D16" w:rsidRPr="001E47E5">
        <w:rPr>
          <w:rFonts w:ascii="Times New Roman" w:eastAsia="Times New Roman" w:hAnsi="Times New Roman" w:cs="Times New Roman"/>
          <w:sz w:val="24"/>
          <w:szCs w:val="24"/>
          <w:lang w:eastAsia="sk-SK"/>
        </w:rPr>
        <w:t>–</w:t>
      </w:r>
      <w:r w:rsidR="00D95553" w:rsidRPr="001E47E5">
        <w:rPr>
          <w:rFonts w:ascii="Times New Roman" w:eastAsia="Times New Roman" w:hAnsi="Times New Roman" w:cs="Times New Roman"/>
          <w:sz w:val="24"/>
          <w:szCs w:val="24"/>
          <w:lang w:eastAsia="sk-SK"/>
        </w:rPr>
        <w:t xml:space="preserve"> </w:t>
      </w:r>
      <w:r w:rsidR="00302A17" w:rsidRPr="001E47E5">
        <w:rPr>
          <w:rFonts w:ascii="Times New Roman" w:eastAsia="Times New Roman" w:hAnsi="Times New Roman" w:cs="Times New Roman"/>
          <w:sz w:val="24"/>
          <w:szCs w:val="24"/>
          <w:lang w:eastAsia="sk-SK"/>
        </w:rPr>
        <w:t xml:space="preserve">vo vysvetlivkách </w:t>
      </w:r>
      <w:r w:rsidR="00D95553" w:rsidRPr="001E47E5">
        <w:rPr>
          <w:rFonts w:ascii="Times New Roman" w:eastAsia="Times New Roman" w:hAnsi="Times New Roman" w:cs="Times New Roman"/>
          <w:sz w:val="24"/>
          <w:szCs w:val="24"/>
          <w:lang w:eastAsia="sk-SK"/>
        </w:rPr>
        <w:t xml:space="preserve">ku </w:t>
      </w:r>
      <w:r w:rsidR="0091269B" w:rsidRPr="001E47E5">
        <w:rPr>
          <w:rFonts w:ascii="Times New Roman" w:eastAsia="Times New Roman" w:hAnsi="Times New Roman" w:cs="Times New Roman"/>
          <w:sz w:val="24"/>
          <w:szCs w:val="24"/>
          <w:lang w:eastAsia="sk-SK"/>
        </w:rPr>
        <w:t>K</w:t>
      </w:r>
      <w:r w:rsidR="00D95553" w:rsidRPr="001E47E5">
        <w:rPr>
          <w:rFonts w:ascii="Times New Roman" w:eastAsia="Times New Roman" w:hAnsi="Times New Roman" w:cs="Times New Roman"/>
          <w:sz w:val="24"/>
          <w:szCs w:val="24"/>
          <w:lang w:eastAsia="sk-SK"/>
        </w:rPr>
        <w:t xml:space="preserve">alkulačke nákladov. </w:t>
      </w:r>
    </w:p>
    <w:p w14:paraId="41309F39" w14:textId="5B3FE508" w:rsidR="00054C41" w:rsidRPr="001E47E5" w:rsidRDefault="00A94A0F" w:rsidP="00054C41">
      <w:pPr>
        <w:spacing w:after="12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sz w:val="24"/>
          <w:szCs w:val="24"/>
          <w:lang w:eastAsia="sk-SK"/>
        </w:rPr>
        <w:t>H</w:t>
      </w:r>
      <w:r w:rsidR="00054C41" w:rsidRPr="001E47E5">
        <w:rPr>
          <w:rFonts w:ascii="Times New Roman" w:eastAsia="Times New Roman" w:hAnsi="Times New Roman" w:cs="Times New Roman"/>
          <w:b/>
          <w:sz w:val="24"/>
          <w:szCs w:val="24"/>
          <w:lang w:eastAsia="sk-SK"/>
        </w:rPr>
        <w:t>. Náklady</w:t>
      </w:r>
      <w:r w:rsidR="00C75DC8" w:rsidRPr="001E47E5">
        <w:rPr>
          <w:rFonts w:ascii="Times New Roman" w:eastAsia="Times New Roman" w:hAnsi="Times New Roman" w:cs="Times New Roman"/>
          <w:b/>
          <w:sz w:val="24"/>
          <w:szCs w:val="24"/>
          <w:lang w:eastAsia="sk-SK"/>
        </w:rPr>
        <w:t xml:space="preserve"> mechanizmu 1 in 2 out</w:t>
      </w:r>
      <w:r w:rsidR="00054C41" w:rsidRPr="001E47E5">
        <w:rPr>
          <w:rFonts w:ascii="Times New Roman" w:eastAsia="Times New Roman" w:hAnsi="Times New Roman" w:cs="Times New Roman"/>
          <w:b/>
          <w:sz w:val="24"/>
          <w:szCs w:val="24"/>
          <w:lang w:eastAsia="sk-SK"/>
        </w:rPr>
        <w:t xml:space="preserve"> okrem výnimiek = </w:t>
      </w:r>
      <w:r w:rsidR="00C446E2" w:rsidRPr="001E47E5">
        <w:rPr>
          <w:rFonts w:ascii="Times New Roman" w:eastAsia="Times New Roman" w:hAnsi="Times New Roman" w:cs="Times New Roman"/>
          <w:b/>
          <w:sz w:val="24"/>
          <w:szCs w:val="24"/>
          <w:lang w:eastAsia="sk-SK"/>
        </w:rPr>
        <w:t>B+D</w:t>
      </w:r>
      <w:r w:rsidR="00054C41" w:rsidRPr="001E47E5">
        <w:rPr>
          <w:rFonts w:ascii="Times New Roman" w:eastAsia="Times New Roman" w:hAnsi="Times New Roman" w:cs="Times New Roman"/>
          <w:b/>
          <w:sz w:val="24"/>
          <w:szCs w:val="24"/>
          <w:lang w:eastAsia="sk-SK"/>
        </w:rPr>
        <w:t>+</w:t>
      </w:r>
      <w:r w:rsidRPr="001E47E5">
        <w:rPr>
          <w:rFonts w:ascii="Times New Roman" w:eastAsia="Times New Roman" w:hAnsi="Times New Roman" w:cs="Times New Roman"/>
          <w:b/>
          <w:sz w:val="24"/>
          <w:szCs w:val="24"/>
          <w:lang w:eastAsia="sk-SK"/>
        </w:rPr>
        <w:t>E</w:t>
      </w:r>
      <w:r w:rsidR="00054C41" w:rsidRPr="001E47E5">
        <w:rPr>
          <w:rFonts w:ascii="Times New Roman" w:eastAsia="Times New Roman" w:hAnsi="Times New Roman" w:cs="Times New Roman"/>
          <w:b/>
          <w:sz w:val="24"/>
          <w:szCs w:val="24"/>
          <w:lang w:eastAsia="sk-SK"/>
        </w:rPr>
        <w:t>-</w:t>
      </w:r>
      <w:r w:rsidRPr="001E47E5">
        <w:rPr>
          <w:rFonts w:ascii="Times New Roman" w:eastAsia="Times New Roman" w:hAnsi="Times New Roman" w:cs="Times New Roman"/>
          <w:b/>
          <w:sz w:val="24"/>
          <w:szCs w:val="24"/>
          <w:lang w:eastAsia="sk-SK"/>
        </w:rPr>
        <w:t>F</w:t>
      </w:r>
      <w:r w:rsidR="00054C41" w:rsidRPr="001E47E5">
        <w:rPr>
          <w:rFonts w:ascii="Times New Roman" w:eastAsia="Times New Roman" w:hAnsi="Times New Roman" w:cs="Times New Roman"/>
          <w:sz w:val="24"/>
          <w:szCs w:val="24"/>
          <w:lang w:eastAsia="sk-SK"/>
        </w:rPr>
        <w:t>: náklady, ktoré vstupujú do mechanizmu</w:t>
      </w:r>
      <w:r w:rsidR="00054C41" w:rsidRPr="001E47E5">
        <w:rPr>
          <w:rFonts w:ascii="Calibri" w:eastAsia="Calibri" w:hAnsi="Calibri" w:cs="Times New Roman"/>
          <w:sz w:val="24"/>
          <w:szCs w:val="24"/>
        </w:rPr>
        <w:t xml:space="preserve"> </w:t>
      </w:r>
      <w:r w:rsidR="00054C41" w:rsidRPr="001E47E5">
        <w:rPr>
          <w:rFonts w:ascii="Times New Roman" w:eastAsia="Times New Roman" w:hAnsi="Times New Roman" w:cs="Times New Roman"/>
          <w:sz w:val="24"/>
          <w:szCs w:val="24"/>
          <w:lang w:eastAsia="sk-SK"/>
        </w:rPr>
        <w:t xml:space="preserve">znižovania byrokracie a nákladov. Ide o súčet </w:t>
      </w:r>
      <w:r w:rsidR="00A1736E" w:rsidRPr="001E47E5">
        <w:rPr>
          <w:rFonts w:ascii="Times New Roman" w:eastAsia="Times New Roman" w:hAnsi="Times New Roman" w:cs="Times New Roman"/>
          <w:sz w:val="24"/>
          <w:szCs w:val="24"/>
          <w:lang w:eastAsia="sk-SK"/>
        </w:rPr>
        <w:t xml:space="preserve">iných </w:t>
      </w:r>
      <w:r w:rsidR="00054C41" w:rsidRPr="001E47E5">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w:t>
      </w:r>
      <w:r w:rsidR="00D811BB" w:rsidRPr="001E47E5">
        <w:rPr>
          <w:rFonts w:ascii="Times New Roman" w:eastAsia="Times New Roman" w:hAnsi="Times New Roman" w:cs="Times New Roman"/>
          <w:sz w:val="24"/>
          <w:szCs w:val="24"/>
          <w:lang w:eastAsia="sk-SK"/>
        </w:rPr>
        <w:t xml:space="preserve">V rámci údajov B, D a E je zahrnutá aj kvantifikácia goldplatingu </w:t>
      </w:r>
      <w:r w:rsidR="00CC3B7D" w:rsidRPr="001E47E5">
        <w:rPr>
          <w:rFonts w:ascii="Times New Roman" w:eastAsia="Times New Roman" w:hAnsi="Times New Roman" w:cs="Times New Roman"/>
          <w:sz w:val="24"/>
          <w:szCs w:val="24"/>
          <w:lang w:eastAsia="sk-SK"/>
        </w:rPr>
        <w:t>v predloženom materiáli</w:t>
      </w:r>
      <w:r w:rsidR="00D811BB" w:rsidRPr="001E47E5">
        <w:rPr>
          <w:rFonts w:ascii="Times New Roman" w:eastAsia="Times New Roman" w:hAnsi="Times New Roman" w:cs="Times New Roman"/>
          <w:sz w:val="24"/>
          <w:szCs w:val="24"/>
          <w:lang w:eastAsia="sk-SK"/>
        </w:rPr>
        <w:t>, ktorá vstupuje do mechanizmu znižovania byrokracie a nákladov. Do tohto mechanizmu však nevstupujú náklady existujúceho g</w:t>
      </w:r>
      <w:r w:rsidR="00CC3B7D" w:rsidRPr="001E47E5">
        <w:rPr>
          <w:rFonts w:ascii="Times New Roman" w:eastAsia="Times New Roman" w:hAnsi="Times New Roman" w:cs="Times New Roman"/>
          <w:sz w:val="24"/>
          <w:szCs w:val="24"/>
          <w:lang w:eastAsia="sk-SK"/>
        </w:rPr>
        <w:t>oldplatingu</w:t>
      </w:r>
      <w:r w:rsidR="00D811BB" w:rsidRPr="001E47E5">
        <w:rPr>
          <w:rFonts w:ascii="Times New Roman" w:eastAsia="Times New Roman" w:hAnsi="Times New Roman" w:cs="Times New Roman"/>
          <w:sz w:val="24"/>
          <w:szCs w:val="24"/>
          <w:lang w:eastAsia="sk-SK"/>
        </w:rPr>
        <w:t>, ktoré sa predkladaným materiálom nemenia.</w:t>
      </w:r>
      <w:r w:rsidR="00FD3DFB" w:rsidRPr="001E47E5">
        <w:rPr>
          <w:rFonts w:ascii="Times New Roman" w:eastAsia="Times New Roman" w:hAnsi="Times New Roman" w:cs="Times New Roman"/>
          <w:sz w:val="24"/>
          <w:szCs w:val="24"/>
          <w:lang w:eastAsia="sk-SK"/>
        </w:rPr>
        <w:t xml:space="preserve"> </w:t>
      </w:r>
      <w:r w:rsidR="00054C41" w:rsidRPr="001E47E5">
        <w:rPr>
          <w:rFonts w:ascii="Times New Roman" w:eastAsia="Times New Roman" w:hAnsi="Times New Roman" w:cs="Times New Roman"/>
          <w:sz w:val="24"/>
          <w:szCs w:val="24"/>
          <w:lang w:eastAsia="sk-SK"/>
        </w:rPr>
        <w:t xml:space="preserve">Kvantifikované vplyvy (v eurách na PP) sa rozdelia na tie, ktoré podnikateľom zvyšujú náklady a na tie, ktoré znižujú náklady.  </w:t>
      </w:r>
    </w:p>
    <w:p w14:paraId="015918DD" w14:textId="77777777" w:rsidR="00054C41" w:rsidRPr="001E47E5" w:rsidRDefault="00054C41" w:rsidP="00054C41">
      <w:pPr>
        <w:spacing w:after="0" w:line="240" w:lineRule="auto"/>
        <w:jc w:val="both"/>
        <w:rPr>
          <w:rFonts w:ascii="Times New Roman" w:eastAsia="Times New Roman" w:hAnsi="Times New Roman" w:cs="Times New Roman"/>
          <w:b/>
          <w:bCs/>
          <w:sz w:val="24"/>
          <w:szCs w:val="24"/>
          <w:lang w:eastAsia="sk-SK"/>
        </w:rPr>
      </w:pPr>
    </w:p>
    <w:p w14:paraId="521B90E1" w14:textId="77777777" w:rsidR="00484D16" w:rsidRPr="001E47E5" w:rsidRDefault="00484D16" w:rsidP="00054C41">
      <w:pPr>
        <w:spacing w:after="0" w:line="240" w:lineRule="auto"/>
        <w:jc w:val="both"/>
        <w:rPr>
          <w:rFonts w:ascii="Times New Roman" w:eastAsia="Times New Roman" w:hAnsi="Times New Roman" w:cs="Times New Roman"/>
          <w:b/>
          <w:bCs/>
          <w:sz w:val="24"/>
          <w:szCs w:val="24"/>
          <w:lang w:eastAsia="sk-SK"/>
        </w:rPr>
      </w:pPr>
    </w:p>
    <w:p w14:paraId="0691E33B" w14:textId="77777777" w:rsidR="00484D16" w:rsidRPr="001E47E5" w:rsidRDefault="00484D16" w:rsidP="00054C41">
      <w:pPr>
        <w:spacing w:after="0" w:line="240" w:lineRule="auto"/>
        <w:jc w:val="both"/>
        <w:rPr>
          <w:rFonts w:ascii="Times New Roman" w:eastAsia="Times New Roman" w:hAnsi="Times New Roman" w:cs="Times New Roman"/>
          <w:b/>
          <w:bCs/>
          <w:sz w:val="24"/>
          <w:szCs w:val="24"/>
          <w:lang w:eastAsia="sk-SK"/>
        </w:rPr>
      </w:pPr>
    </w:p>
    <w:p w14:paraId="25C7050F" w14:textId="77777777" w:rsidR="000A6B7F" w:rsidRPr="001E47E5" w:rsidRDefault="00054C41" w:rsidP="005D0E5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1E47E5">
        <w:rPr>
          <w:rFonts w:ascii="Times New Roman" w:eastAsia="Times New Roman" w:hAnsi="Times New Roman" w:cs="Times New Roman"/>
          <w:b/>
          <w:bCs/>
          <w:iCs/>
          <w:sz w:val="24"/>
          <w:szCs w:val="24"/>
          <w:lang w:eastAsia="sk-SK"/>
        </w:rPr>
        <w:t>3.1.2 Výpočty vplyvov jednotlivých regulácií na zmeny v nákladoch podnikateľov</w:t>
      </w:r>
    </w:p>
    <w:p w14:paraId="5F19D3E2" w14:textId="77777777" w:rsidR="00845D3B" w:rsidRPr="001E47E5" w:rsidRDefault="00845D3B" w:rsidP="00054C41">
      <w:pPr>
        <w:spacing w:after="0" w:line="240" w:lineRule="auto"/>
        <w:jc w:val="both"/>
        <w:rPr>
          <w:rFonts w:ascii="Times New Roman" w:eastAsia="Times New Roman" w:hAnsi="Times New Roman" w:cs="Times New Roman"/>
          <w:b/>
          <w:bCs/>
          <w:iCs/>
          <w:sz w:val="24"/>
          <w:szCs w:val="24"/>
          <w:lang w:eastAsia="sk-SK"/>
        </w:rPr>
      </w:pPr>
    </w:p>
    <w:p w14:paraId="7CE27138" w14:textId="77777777" w:rsidR="0039334E" w:rsidRPr="001E47E5" w:rsidRDefault="00054C41" w:rsidP="0039334E">
      <w:pPr>
        <w:spacing w:after="0" w:line="240" w:lineRule="auto"/>
        <w:jc w:val="both"/>
        <w:rPr>
          <w:rFonts w:ascii="Times New Roman" w:eastAsia="Times New Roman" w:hAnsi="Times New Roman" w:cs="Times New Roman"/>
          <w:sz w:val="24"/>
          <w:szCs w:val="24"/>
          <w:lang w:eastAsia="sk-SK"/>
        </w:rPr>
      </w:pPr>
      <w:r w:rsidRPr="001E47E5">
        <w:rPr>
          <w:rFonts w:ascii="Times New Roman" w:eastAsia="Times New Roman" w:hAnsi="Times New Roman" w:cs="Times New Roman"/>
          <w:b/>
          <w:bCs/>
          <w:iCs/>
          <w:sz w:val="24"/>
          <w:szCs w:val="24"/>
          <w:lang w:eastAsia="sk-SK"/>
        </w:rPr>
        <w:t>Tabuľka č. 2: Výpočet vplyvov jednotlivých regulácií na zmeny v nákladoch podnikateľov</w:t>
      </w:r>
      <w:r w:rsidR="0039334E" w:rsidRPr="001E47E5">
        <w:rPr>
          <w:rFonts w:ascii="Times New Roman" w:eastAsia="Times New Roman" w:hAnsi="Times New Roman" w:cs="Times New Roman"/>
          <w:b/>
          <w:bCs/>
          <w:iCs/>
          <w:sz w:val="24"/>
          <w:szCs w:val="24"/>
          <w:lang w:eastAsia="sk-SK"/>
        </w:rPr>
        <w:t xml:space="preserve"> </w:t>
      </w:r>
      <w:r w:rsidR="0039334E" w:rsidRPr="001E47E5">
        <w:rPr>
          <w:rFonts w:ascii="Times New Roman" w:eastAsia="Times New Roman" w:hAnsi="Times New Roman" w:cs="Times New Roman"/>
          <w:sz w:val="24"/>
          <w:szCs w:val="24"/>
          <w:lang w:eastAsia="sk-SK"/>
        </w:rPr>
        <w:t xml:space="preserve">sa vyplní automaticky tým, že predkladateľ vyplní Kalkulačku nákladov. Predkladateľ následne tabuľku </w:t>
      </w:r>
      <w:r w:rsidR="00484D16" w:rsidRPr="001E47E5">
        <w:rPr>
          <w:rFonts w:ascii="Times New Roman" w:eastAsia="Times New Roman" w:hAnsi="Times New Roman" w:cs="Times New Roman"/>
          <w:sz w:val="24"/>
          <w:szCs w:val="24"/>
          <w:lang w:eastAsia="sk-SK"/>
        </w:rPr>
        <w:t xml:space="preserve">odkopíruje </w:t>
      </w:r>
      <w:r w:rsidR="0039334E" w:rsidRPr="001E47E5">
        <w:rPr>
          <w:rFonts w:ascii="Times New Roman" w:eastAsia="Times New Roman" w:hAnsi="Times New Roman" w:cs="Times New Roman"/>
          <w:sz w:val="24"/>
          <w:szCs w:val="24"/>
          <w:lang w:eastAsia="sk-SK"/>
        </w:rPr>
        <w:t xml:space="preserve">a vloží do </w:t>
      </w:r>
      <w:r w:rsidR="0018715C" w:rsidRPr="001E47E5">
        <w:rPr>
          <w:rFonts w:ascii="Times New Roman" w:eastAsia="Times New Roman" w:hAnsi="Times New Roman" w:cs="Times New Roman"/>
          <w:sz w:val="24"/>
          <w:szCs w:val="24"/>
          <w:lang w:eastAsia="sk-SK"/>
        </w:rPr>
        <w:t>a</w:t>
      </w:r>
      <w:r w:rsidR="0039334E" w:rsidRPr="001E47E5">
        <w:rPr>
          <w:rFonts w:ascii="Times New Roman" w:eastAsia="Times New Roman" w:hAnsi="Times New Roman" w:cs="Times New Roman"/>
          <w:sz w:val="24"/>
          <w:szCs w:val="24"/>
          <w:lang w:eastAsia="sk-SK"/>
        </w:rPr>
        <w:t xml:space="preserve">nalýzy vplyvov na </w:t>
      </w:r>
      <w:r w:rsidR="0018715C" w:rsidRPr="001E47E5">
        <w:rPr>
          <w:rFonts w:ascii="Times New Roman" w:eastAsia="Times New Roman" w:hAnsi="Times New Roman" w:cs="Times New Roman"/>
          <w:sz w:val="24"/>
          <w:szCs w:val="24"/>
          <w:lang w:eastAsia="sk-SK"/>
        </w:rPr>
        <w:t>podnikateľské prostredie</w:t>
      </w:r>
      <w:r w:rsidR="0039334E" w:rsidRPr="001E47E5">
        <w:rPr>
          <w:rFonts w:ascii="Times New Roman" w:eastAsia="Times New Roman" w:hAnsi="Times New Roman" w:cs="Times New Roman"/>
          <w:sz w:val="24"/>
          <w:szCs w:val="24"/>
          <w:lang w:eastAsia="sk-SK"/>
        </w:rPr>
        <w:t xml:space="preserve">. </w:t>
      </w:r>
    </w:p>
    <w:p w14:paraId="161E75AC" w14:textId="77777777" w:rsidR="00054C41" w:rsidRPr="001E47E5" w:rsidRDefault="00054C41" w:rsidP="00054C41">
      <w:pPr>
        <w:spacing w:after="0" w:line="240" w:lineRule="auto"/>
        <w:jc w:val="both"/>
        <w:rPr>
          <w:rFonts w:ascii="Times New Roman" w:eastAsia="Times New Roman" w:hAnsi="Times New Roman" w:cs="Times New Roman"/>
          <w:sz w:val="24"/>
          <w:szCs w:val="24"/>
          <w:lang w:eastAsia="sk-SK"/>
        </w:rPr>
      </w:pPr>
    </w:p>
    <w:p w14:paraId="2994F292" w14:textId="77777777" w:rsidR="005D0E50" w:rsidRPr="001E47E5" w:rsidRDefault="005D0E50" w:rsidP="00054C41">
      <w:pPr>
        <w:spacing w:after="0" w:line="240" w:lineRule="auto"/>
        <w:jc w:val="both"/>
        <w:rPr>
          <w:rFonts w:ascii="Times New Roman" w:eastAsia="Times New Roman" w:hAnsi="Times New Roman" w:cs="Times New Roman"/>
          <w:sz w:val="24"/>
          <w:szCs w:val="24"/>
          <w:lang w:eastAsia="sk-SK"/>
        </w:rPr>
      </w:pPr>
    </w:p>
    <w:p w14:paraId="522A8F86" w14:textId="77777777" w:rsidR="005D0E50" w:rsidRPr="001E47E5" w:rsidRDefault="005D0E50" w:rsidP="00643358">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1E47E5">
        <w:rPr>
          <w:rFonts w:ascii="Times New Roman" w:eastAsia="Times New Roman" w:hAnsi="Times New Roman" w:cs="Times New Roman"/>
          <w:b/>
          <w:bCs/>
          <w:iCs/>
          <w:sz w:val="24"/>
          <w:szCs w:val="24"/>
          <w:lang w:eastAsia="sk-SK"/>
        </w:rPr>
        <w:t>Doplňujúce informácie k spôsobu výpočtu vplyvov jednotlivých regulácií na zmenu nákladov</w:t>
      </w:r>
    </w:p>
    <w:p w14:paraId="45D0E245" w14:textId="77777777" w:rsidR="005D0E50" w:rsidRPr="001E47E5" w:rsidRDefault="005D0E50" w:rsidP="00643358">
      <w:pPr>
        <w:jc w:val="both"/>
        <w:rPr>
          <w:rFonts w:ascii="Times New Roman" w:eastAsia="Calibri" w:hAnsi="Times New Roman" w:cs="Times New Roman"/>
          <w:bCs/>
          <w:sz w:val="24"/>
          <w:szCs w:val="24"/>
        </w:rPr>
      </w:pPr>
    </w:p>
    <w:p w14:paraId="79853BB1" w14:textId="77777777"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V tejto časti uvedie predkladateľ doplňujúce informácie</w:t>
      </w:r>
      <w:r w:rsidR="00FF0272" w:rsidRPr="001E47E5">
        <w:rPr>
          <w:rFonts w:ascii="Times New Roman" w:eastAsia="Calibri" w:hAnsi="Times New Roman" w:cs="Times New Roman"/>
          <w:bCs/>
          <w:sz w:val="24"/>
          <w:szCs w:val="24"/>
        </w:rPr>
        <w:t xml:space="preserve"> ku každej regulácií samostatne</w:t>
      </w:r>
      <w:r w:rsidRPr="001E47E5">
        <w:rPr>
          <w:rFonts w:ascii="Times New Roman" w:eastAsia="Calibri" w:hAnsi="Times New Roman" w:cs="Times New Roman"/>
          <w:bCs/>
          <w:sz w:val="24"/>
          <w:szCs w:val="24"/>
        </w:rPr>
        <w:t xml:space="preserve"> k tabuľke č. 2 a k údajom vyplneným v Kalkulačke nákladov tak, aby umožňoval skontrolovať spôsob a správnosť výpočtov. Predkladateľ osobitne uvedie aj jednotlivé zdroje dát, ktoré použil na výpočty. Pri odkazoch z internetu je potrebné uviesť konkrétnu podstránku, odkiaľ boli čerpané dáta, nielen kmeňovú adresu webu a zároveň aj dátum, kedy bola informácia z danej podstránky prebratá.</w:t>
      </w:r>
    </w:p>
    <w:p w14:paraId="074FF236" w14:textId="77777777"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210BAD4D" w14:textId="55181E9A"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V prípade, ak </w:t>
      </w:r>
      <w:r w:rsidRPr="001E47E5">
        <w:rPr>
          <w:rFonts w:ascii="Times New Roman" w:eastAsia="Calibri" w:hAnsi="Times New Roman" w:cs="Times New Roman"/>
          <w:b/>
          <w:bCs/>
          <w:sz w:val="24"/>
          <w:szCs w:val="24"/>
        </w:rPr>
        <w:t>vplyvy objektívne nie je možné kvantifikovať alebo vykonať expertný odhad</w:t>
      </w:r>
      <w:r w:rsidR="00880578" w:rsidRPr="001E47E5">
        <w:rPr>
          <w:rFonts w:ascii="Times New Roman" w:eastAsia="Calibri" w:hAnsi="Times New Roman" w:cs="Times New Roman"/>
          <w:b/>
          <w:bCs/>
          <w:sz w:val="24"/>
          <w:szCs w:val="24"/>
        </w:rPr>
        <w:t xml:space="preserve">, </w:t>
      </w:r>
      <w:r w:rsidRPr="001E47E5">
        <w:rPr>
          <w:rFonts w:ascii="Times New Roman" w:eastAsia="Calibri" w:hAnsi="Times New Roman" w:cs="Times New Roman"/>
          <w:b/>
          <w:bCs/>
          <w:sz w:val="24"/>
          <w:szCs w:val="24"/>
        </w:rPr>
        <w:t xml:space="preserve">predkladateľ z tohto dôvodu uvedie </w:t>
      </w:r>
      <w:r w:rsidR="00BD6778" w:rsidRPr="001E47E5">
        <w:rPr>
          <w:rFonts w:ascii="Times New Roman" w:eastAsia="Calibri" w:hAnsi="Times New Roman" w:cs="Times New Roman"/>
          <w:b/>
          <w:bCs/>
          <w:sz w:val="24"/>
          <w:szCs w:val="24"/>
        </w:rPr>
        <w:t>kvantitatívny popis v časti 3.4 analýzy</w:t>
      </w:r>
      <w:r w:rsidRPr="001E47E5">
        <w:rPr>
          <w:rFonts w:ascii="Times New Roman" w:eastAsia="Calibri" w:hAnsi="Times New Roman" w:cs="Times New Roman"/>
          <w:b/>
          <w:bCs/>
          <w:sz w:val="24"/>
          <w:szCs w:val="24"/>
        </w:rPr>
        <w:t xml:space="preserve">, čo najpresnejšie </w:t>
      </w:r>
      <w:r w:rsidR="00BD6778" w:rsidRPr="001E47E5">
        <w:rPr>
          <w:rFonts w:ascii="Times New Roman" w:eastAsia="Calibri" w:hAnsi="Times New Roman" w:cs="Times New Roman"/>
          <w:b/>
          <w:bCs/>
          <w:sz w:val="24"/>
          <w:szCs w:val="24"/>
        </w:rPr>
        <w:t xml:space="preserve">ich </w:t>
      </w:r>
      <w:r w:rsidRPr="001E47E5">
        <w:rPr>
          <w:rFonts w:ascii="Times New Roman" w:eastAsia="Calibri" w:hAnsi="Times New Roman" w:cs="Times New Roman"/>
          <w:b/>
          <w:bCs/>
          <w:sz w:val="24"/>
          <w:szCs w:val="24"/>
        </w:rPr>
        <w:t>vysvetlí a uvedie dôvod, pre ktoré ich nebolo možné kvantifikovať, alebo vykonať expertný odhad</w:t>
      </w:r>
      <w:r w:rsidRPr="001E47E5">
        <w:rPr>
          <w:rFonts w:ascii="Times New Roman" w:eastAsia="Calibri" w:hAnsi="Times New Roman" w:cs="Times New Roman"/>
          <w:bCs/>
          <w:sz w:val="24"/>
          <w:szCs w:val="24"/>
        </w:rPr>
        <w:t xml:space="preserve">.  </w:t>
      </w:r>
    </w:p>
    <w:p w14:paraId="580438D7" w14:textId="77777777"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sidR="0029483F" w:rsidRPr="001E47E5">
        <w:rPr>
          <w:rFonts w:ascii="Times New Roman" w:eastAsia="Calibri" w:hAnsi="Times New Roman" w:cs="Times New Roman"/>
          <w:bCs/>
          <w:sz w:val="24"/>
          <w:szCs w:val="24"/>
        </w:rPr>
        <w:t>na tento cieľ</w:t>
      </w:r>
      <w:r w:rsidRPr="001E47E5">
        <w:rPr>
          <w:rFonts w:ascii="Times New Roman" w:eastAsia="Calibri" w:hAnsi="Times New Roman" w:cs="Times New Roman"/>
          <w:bCs/>
          <w:sz w:val="24"/>
          <w:szCs w:val="24"/>
        </w:rPr>
        <w:t>.</w:t>
      </w:r>
    </w:p>
    <w:p w14:paraId="35057017" w14:textId="04B58E8E"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Expertný odhad je možné vykonať na základe rôznych dát, napr. </w:t>
      </w:r>
      <w:r w:rsidR="00D71064" w:rsidRPr="001E47E5">
        <w:rPr>
          <w:rFonts w:ascii="Times New Roman" w:eastAsia="Calibri" w:hAnsi="Times New Roman" w:cs="Times New Roman"/>
          <w:bCs/>
          <w:sz w:val="24"/>
          <w:szCs w:val="24"/>
        </w:rPr>
        <w:t>historické dáta</w:t>
      </w:r>
      <w:r w:rsidRPr="001E47E5">
        <w:rPr>
          <w:rFonts w:ascii="Times New Roman" w:eastAsia="Calibri" w:hAnsi="Times New Roman" w:cs="Times New Roman"/>
          <w:bCs/>
          <w:sz w:val="24"/>
          <w:szCs w:val="24"/>
        </w:rPr>
        <w:t xml:space="preserve">. Napríklad, ak je potrebný údaj typu „počet úkonov“ a predkladateľ nevie odhadnúť, koľko úkonov </w:t>
      </w:r>
      <w:r w:rsidRPr="001E47E5">
        <w:rPr>
          <w:rFonts w:ascii="Times New Roman" w:eastAsia="Calibri" w:hAnsi="Times New Roman" w:cs="Times New Roman"/>
          <w:bCs/>
          <w:sz w:val="24"/>
          <w:szCs w:val="24"/>
        </w:rPr>
        <w:lastRenderedPageBreak/>
        <w:t>sa v budúcom období vykoná, mal by vykonať expertný odhad na základe údajov z minulosti (ideálne z posledn</w:t>
      </w:r>
      <w:r w:rsidR="00D71064" w:rsidRPr="001E47E5">
        <w:rPr>
          <w:rFonts w:ascii="Times New Roman" w:eastAsia="Calibri" w:hAnsi="Times New Roman" w:cs="Times New Roman"/>
          <w:bCs/>
          <w:sz w:val="24"/>
          <w:szCs w:val="24"/>
        </w:rPr>
        <w:t>ých</w:t>
      </w:r>
      <w:r w:rsidRPr="001E47E5">
        <w:rPr>
          <w:rFonts w:ascii="Times New Roman" w:eastAsia="Calibri" w:hAnsi="Times New Roman" w:cs="Times New Roman"/>
          <w:bCs/>
          <w:sz w:val="24"/>
          <w:szCs w:val="24"/>
        </w:rPr>
        <w:t xml:space="preserve"> rok</w:t>
      </w:r>
      <w:r w:rsidR="00D71064" w:rsidRPr="001E47E5">
        <w:rPr>
          <w:rFonts w:ascii="Times New Roman" w:eastAsia="Calibri" w:hAnsi="Times New Roman" w:cs="Times New Roman"/>
          <w:bCs/>
          <w:sz w:val="24"/>
          <w:szCs w:val="24"/>
        </w:rPr>
        <w:t>ov</w:t>
      </w:r>
      <w:r w:rsidRPr="001E47E5">
        <w:rPr>
          <w:rFonts w:ascii="Times New Roman" w:eastAsia="Calibri" w:hAnsi="Times New Roman" w:cs="Times New Roman"/>
          <w:bCs/>
          <w:sz w:val="24"/>
          <w:szCs w:val="24"/>
        </w:rPr>
        <w:t>), ak je takýto údaj k dispozícii.</w:t>
      </w:r>
    </w:p>
    <w:p w14:paraId="2CA9EFFC" w14:textId="77777777" w:rsidR="00643358" w:rsidRPr="001E47E5" w:rsidRDefault="00643358" w:rsidP="00054C41">
      <w:pPr>
        <w:jc w:val="both"/>
        <w:rPr>
          <w:rFonts w:ascii="Times New Roman" w:eastAsia="Calibri" w:hAnsi="Times New Roman" w:cs="Times New Roman"/>
          <w:bCs/>
          <w:sz w:val="24"/>
          <w:szCs w:val="24"/>
        </w:rPr>
      </w:pPr>
    </w:p>
    <w:p w14:paraId="0E6850EB" w14:textId="77777777" w:rsidR="00A94A0F" w:rsidRPr="001E47E5" w:rsidRDefault="00A94A0F" w:rsidP="00054C41">
      <w:pPr>
        <w:jc w:val="both"/>
        <w:rPr>
          <w:rFonts w:ascii="Times New Roman" w:eastAsia="Calibri" w:hAnsi="Times New Roman" w:cs="Times New Roman"/>
          <w:bCs/>
          <w:sz w:val="24"/>
          <w:szCs w:val="24"/>
        </w:rPr>
      </w:pPr>
    </w:p>
    <w:p w14:paraId="52F50DF4" w14:textId="77777777" w:rsidR="00643358" w:rsidRPr="001E47E5" w:rsidRDefault="00643358" w:rsidP="00376039">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sidRPr="001E47E5">
        <w:rPr>
          <w:rFonts w:ascii="Times New Roman" w:eastAsia="Times New Roman" w:hAnsi="Times New Roman" w:cs="Times New Roman"/>
          <w:b/>
          <w:bCs/>
          <w:iCs/>
          <w:sz w:val="24"/>
          <w:szCs w:val="24"/>
          <w:lang w:eastAsia="sk-SK"/>
        </w:rPr>
        <w:t>Odôvodnenie goldplatingu</w:t>
      </w:r>
      <w:r w:rsidR="00376039" w:rsidRPr="001E47E5">
        <w:rPr>
          <w:rFonts w:ascii="Times New Roman" w:eastAsia="Times New Roman" w:hAnsi="Times New Roman" w:cs="Times New Roman"/>
          <w:b/>
          <w:bCs/>
          <w:iCs/>
          <w:sz w:val="24"/>
          <w:szCs w:val="24"/>
          <w:lang w:eastAsia="sk-SK"/>
        </w:rPr>
        <w:t xml:space="preserve"> podľa bodu 4 časti III jednotnej metodiky a ďalšie doplňujúce informácie</w:t>
      </w:r>
    </w:p>
    <w:p w14:paraId="1E252787" w14:textId="77777777" w:rsidR="00643358" w:rsidRPr="001E47E5" w:rsidRDefault="00643358" w:rsidP="00643358">
      <w:pPr>
        <w:jc w:val="both"/>
        <w:rPr>
          <w:rFonts w:ascii="Times New Roman" w:eastAsia="Calibri" w:hAnsi="Times New Roman" w:cs="Times New Roman"/>
          <w:b/>
          <w:bCs/>
          <w:i/>
          <w:sz w:val="24"/>
          <w:szCs w:val="24"/>
          <w:u w:val="single"/>
        </w:rPr>
      </w:pPr>
    </w:p>
    <w:p w14:paraId="126A3060" w14:textId="02614207" w:rsidR="0072221D" w:rsidRPr="001E47E5" w:rsidRDefault="0072221D" w:rsidP="00414FA7">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V prípade, ak sa predkladaným návrhom regulácie vykonáva transpozícia smernice EÚ a bol </w:t>
      </w:r>
      <w:r w:rsidR="006C25BE" w:rsidRPr="001E47E5">
        <w:rPr>
          <w:rFonts w:ascii="Times New Roman" w:eastAsia="Calibri" w:hAnsi="Times New Roman" w:cs="Times New Roman"/>
          <w:bCs/>
          <w:sz w:val="24"/>
          <w:szCs w:val="24"/>
        </w:rPr>
        <w:t>identifikovaný goldplating v</w:t>
      </w:r>
      <w:r w:rsidRPr="001E47E5">
        <w:rPr>
          <w:rFonts w:ascii="Times New Roman" w:eastAsia="Calibri" w:hAnsi="Times New Roman" w:cs="Times New Roman"/>
          <w:bCs/>
          <w:sz w:val="24"/>
          <w:szCs w:val="24"/>
        </w:rPr>
        <w:t xml:space="preserve"> t</w:t>
      </w:r>
      <w:r w:rsidR="006C25BE" w:rsidRPr="001E47E5">
        <w:rPr>
          <w:rFonts w:ascii="Times New Roman" w:eastAsia="Calibri" w:hAnsi="Times New Roman" w:cs="Times New Roman"/>
          <w:bCs/>
          <w:sz w:val="24"/>
          <w:szCs w:val="24"/>
        </w:rPr>
        <w:t>abuľke</w:t>
      </w:r>
      <w:r w:rsidRPr="001E47E5">
        <w:rPr>
          <w:rFonts w:ascii="Times New Roman" w:eastAsia="Calibri" w:hAnsi="Times New Roman" w:cs="Times New Roman"/>
          <w:bCs/>
          <w:sz w:val="24"/>
          <w:szCs w:val="24"/>
        </w:rPr>
        <w:t xml:space="preserve"> zhody</w:t>
      </w:r>
      <w:r w:rsidR="00D3032C" w:rsidRPr="001E47E5">
        <w:rPr>
          <w:rFonts w:ascii="Times New Roman" w:eastAsia="Calibri" w:hAnsi="Times New Roman" w:cs="Times New Roman"/>
          <w:bCs/>
          <w:sz w:val="24"/>
          <w:szCs w:val="24"/>
        </w:rPr>
        <w:t xml:space="preserve"> </w:t>
      </w:r>
      <w:r w:rsidR="006C25BE" w:rsidRPr="001E47E5">
        <w:rPr>
          <w:rFonts w:ascii="Times New Roman" w:eastAsia="Calibri" w:hAnsi="Times New Roman" w:cs="Times New Roman"/>
          <w:bCs/>
          <w:sz w:val="24"/>
          <w:szCs w:val="24"/>
        </w:rPr>
        <w:t xml:space="preserve">podľa </w:t>
      </w:r>
      <w:r w:rsidR="00D3032C" w:rsidRPr="001E47E5">
        <w:rPr>
          <w:rFonts w:ascii="Times New Roman" w:eastAsia="Calibri" w:hAnsi="Times New Roman" w:cs="Times New Roman"/>
          <w:b/>
          <w:bCs/>
          <w:sz w:val="24"/>
          <w:szCs w:val="24"/>
        </w:rPr>
        <w:t>jednotnej metodiky</w:t>
      </w:r>
      <w:r w:rsidRPr="001E47E5">
        <w:rPr>
          <w:rFonts w:ascii="Times New Roman" w:eastAsia="Calibri" w:hAnsi="Times New Roman" w:cs="Times New Roman"/>
          <w:bCs/>
          <w:sz w:val="24"/>
          <w:szCs w:val="24"/>
        </w:rPr>
        <w:t xml:space="preserve"> alebo sa vykonáva implementácia nariadenia EÚ s goldplatingom, predkladateľ v tejto časti uvedie </w:t>
      </w:r>
      <w:r w:rsidR="00C74337" w:rsidRPr="001E47E5">
        <w:rPr>
          <w:rFonts w:ascii="Times New Roman" w:eastAsia="Calibri" w:hAnsi="Times New Roman" w:cs="Times New Roman"/>
          <w:bCs/>
          <w:sz w:val="24"/>
          <w:szCs w:val="24"/>
        </w:rPr>
        <w:t>požadované informácie</w:t>
      </w:r>
      <w:r w:rsidRPr="001E47E5">
        <w:rPr>
          <w:rFonts w:ascii="Times New Roman" w:eastAsia="Calibri" w:hAnsi="Times New Roman" w:cs="Times New Roman"/>
          <w:bCs/>
          <w:sz w:val="24"/>
          <w:szCs w:val="24"/>
        </w:rPr>
        <w:t xml:space="preserve"> súvisiace s goldplatingom. </w:t>
      </w:r>
      <w:r w:rsidR="00414FA7" w:rsidRPr="001E47E5">
        <w:rPr>
          <w:rFonts w:ascii="Times New Roman" w:eastAsia="Calibri" w:hAnsi="Times New Roman" w:cs="Times New Roman"/>
          <w:bCs/>
          <w:sz w:val="24"/>
          <w:szCs w:val="24"/>
        </w:rPr>
        <w:t xml:space="preserve">Informácie sa uvádzajú aj v prípade, ak sa predloženým návrhom odstraňuje goldplating, ktorého pôvod je v skoršom zachovaní existujúcej právnej úpravy (existujúcich vnútroštátnych požiadaviek).  </w:t>
      </w:r>
    </w:p>
    <w:p w14:paraId="0ECE8D8C" w14:textId="618DEDDB" w:rsidR="00414FA7" w:rsidRPr="001E47E5" w:rsidRDefault="0072221D" w:rsidP="00414FA7">
      <w:pPr>
        <w:jc w:val="both"/>
        <w:rPr>
          <w:rFonts w:ascii="Times New Roman" w:eastAsia="Calibri" w:hAnsi="Times New Roman" w:cs="Times New Roman"/>
          <w:b/>
          <w:bCs/>
          <w:sz w:val="24"/>
          <w:szCs w:val="24"/>
        </w:rPr>
      </w:pPr>
      <w:r w:rsidRPr="001E47E5">
        <w:rPr>
          <w:rFonts w:ascii="Times New Roman" w:eastAsia="Calibri" w:hAnsi="Times New Roman" w:cs="Times New Roman"/>
          <w:bCs/>
          <w:sz w:val="24"/>
          <w:szCs w:val="24"/>
        </w:rPr>
        <w:t xml:space="preserve">Predkladateľ </w:t>
      </w:r>
      <w:r w:rsidR="0029483F" w:rsidRPr="001E47E5">
        <w:rPr>
          <w:rFonts w:ascii="Times New Roman" w:eastAsia="Calibri" w:hAnsi="Times New Roman" w:cs="Times New Roman"/>
          <w:bCs/>
          <w:sz w:val="24"/>
          <w:szCs w:val="24"/>
        </w:rPr>
        <w:t>v</w:t>
      </w:r>
      <w:r w:rsidR="00414FA7" w:rsidRPr="001E47E5">
        <w:rPr>
          <w:rFonts w:ascii="Times New Roman" w:eastAsia="Calibri" w:hAnsi="Times New Roman" w:cs="Times New Roman"/>
          <w:bCs/>
          <w:sz w:val="24"/>
          <w:szCs w:val="24"/>
        </w:rPr>
        <w:t> tejto časti uvedie odôvodnenie</w:t>
      </w:r>
      <w:r w:rsidR="00B21D1F" w:rsidRPr="001E47E5">
        <w:rPr>
          <w:rFonts w:ascii="Times New Roman" w:eastAsia="Calibri" w:hAnsi="Times New Roman" w:cs="Times New Roman"/>
          <w:bCs/>
          <w:sz w:val="24"/>
          <w:szCs w:val="24"/>
        </w:rPr>
        <w:t xml:space="preserve"> goldplatingu</w:t>
      </w:r>
      <w:r w:rsidR="00414FA7" w:rsidRPr="001E47E5">
        <w:rPr>
          <w:rFonts w:ascii="Times New Roman" w:eastAsia="Calibri" w:hAnsi="Times New Roman" w:cs="Times New Roman"/>
          <w:bCs/>
          <w:sz w:val="24"/>
          <w:szCs w:val="24"/>
        </w:rPr>
        <w:t xml:space="preserve"> podľa bodu 4 časti III </w:t>
      </w:r>
      <w:r w:rsidR="00981C7F" w:rsidRPr="001E47E5">
        <w:rPr>
          <w:rFonts w:ascii="Times New Roman" w:eastAsia="Calibri" w:hAnsi="Times New Roman" w:cs="Times New Roman"/>
          <w:bCs/>
          <w:sz w:val="24"/>
          <w:szCs w:val="24"/>
        </w:rPr>
        <w:t>j</w:t>
      </w:r>
      <w:r w:rsidR="00414FA7" w:rsidRPr="001E47E5">
        <w:rPr>
          <w:rFonts w:ascii="Times New Roman" w:eastAsia="Calibri" w:hAnsi="Times New Roman" w:cs="Times New Roman"/>
          <w:bCs/>
          <w:sz w:val="24"/>
          <w:szCs w:val="24"/>
        </w:rPr>
        <w:t xml:space="preserve">ednotnej metodiky </w:t>
      </w:r>
      <w:r w:rsidR="00990813" w:rsidRPr="001E47E5">
        <w:rPr>
          <w:rFonts w:ascii="Times New Roman" w:eastAsia="Calibri" w:hAnsi="Times New Roman" w:cs="Times New Roman"/>
          <w:bCs/>
          <w:sz w:val="24"/>
          <w:szCs w:val="24"/>
        </w:rPr>
        <w:t>a zvážené alternatívne riešenia</w:t>
      </w:r>
      <w:r w:rsidR="00414FA7" w:rsidRPr="001E47E5">
        <w:rPr>
          <w:rFonts w:ascii="Times New Roman" w:eastAsia="Calibri" w:hAnsi="Times New Roman" w:cs="Times New Roman"/>
          <w:bCs/>
          <w:sz w:val="24"/>
          <w:szCs w:val="24"/>
        </w:rPr>
        <w:t xml:space="preserve">; </w:t>
      </w:r>
      <w:r w:rsidRPr="001E47E5">
        <w:rPr>
          <w:rFonts w:ascii="Times New Roman" w:eastAsia="Calibri" w:hAnsi="Times New Roman" w:cs="Times New Roman"/>
          <w:bCs/>
          <w:sz w:val="24"/>
          <w:szCs w:val="24"/>
        </w:rPr>
        <w:t xml:space="preserve">predkladateľ zároveň uvedie </w:t>
      </w:r>
      <w:r w:rsidR="00990813" w:rsidRPr="001E47E5">
        <w:rPr>
          <w:rFonts w:ascii="Times New Roman" w:eastAsia="Calibri" w:hAnsi="Times New Roman" w:cs="Times New Roman"/>
          <w:bCs/>
          <w:sz w:val="24"/>
          <w:szCs w:val="24"/>
        </w:rPr>
        <w:t>požadované informácie súvisiace s kategóriou</w:t>
      </w:r>
      <w:r w:rsidR="00414FA7" w:rsidRPr="001E47E5">
        <w:rPr>
          <w:rFonts w:ascii="Times New Roman" w:eastAsia="Calibri" w:hAnsi="Times New Roman" w:cs="Times New Roman"/>
          <w:bCs/>
          <w:sz w:val="24"/>
          <w:szCs w:val="24"/>
        </w:rPr>
        <w:t xml:space="preserve"> golplatingu</w:t>
      </w:r>
      <w:r w:rsidR="00990813" w:rsidRPr="001E47E5">
        <w:rPr>
          <w:rFonts w:ascii="Times New Roman" w:eastAsia="Calibri" w:hAnsi="Times New Roman" w:cs="Times New Roman"/>
          <w:bCs/>
          <w:sz w:val="24"/>
          <w:szCs w:val="24"/>
        </w:rPr>
        <w:t xml:space="preserve"> (podľa </w:t>
      </w:r>
      <w:r w:rsidR="00D3032C" w:rsidRPr="001E47E5">
        <w:rPr>
          <w:rFonts w:ascii="Times New Roman" w:eastAsia="Calibri" w:hAnsi="Times New Roman" w:cs="Times New Roman"/>
          <w:bCs/>
          <w:sz w:val="24"/>
          <w:szCs w:val="24"/>
        </w:rPr>
        <w:t>jednotnej metodiky</w:t>
      </w:r>
      <w:r w:rsidR="00990813" w:rsidRPr="001E47E5">
        <w:rPr>
          <w:rFonts w:ascii="Times New Roman" w:eastAsia="Calibri" w:hAnsi="Times New Roman" w:cs="Times New Roman"/>
          <w:bCs/>
          <w:sz w:val="24"/>
          <w:szCs w:val="24"/>
        </w:rPr>
        <w:t>)</w:t>
      </w:r>
      <w:r w:rsidR="00414FA7" w:rsidRPr="001E47E5">
        <w:rPr>
          <w:rFonts w:ascii="Times New Roman" w:eastAsia="Calibri" w:hAnsi="Times New Roman" w:cs="Times New Roman"/>
          <w:bCs/>
          <w:sz w:val="24"/>
          <w:szCs w:val="24"/>
        </w:rPr>
        <w:t xml:space="preserve"> a</w:t>
      </w:r>
      <w:r w:rsidRPr="001E47E5">
        <w:rPr>
          <w:rFonts w:ascii="Times New Roman" w:eastAsia="Calibri" w:hAnsi="Times New Roman" w:cs="Times New Roman"/>
          <w:bCs/>
          <w:sz w:val="24"/>
          <w:szCs w:val="24"/>
        </w:rPr>
        <w:t xml:space="preserve"> požadované </w:t>
      </w:r>
      <w:r w:rsidR="00414FA7" w:rsidRPr="001E47E5">
        <w:rPr>
          <w:rFonts w:ascii="Times New Roman" w:eastAsia="Calibri" w:hAnsi="Times New Roman" w:cs="Times New Roman"/>
          <w:bCs/>
          <w:sz w:val="24"/>
          <w:szCs w:val="24"/>
        </w:rPr>
        <w:t>doplňujúce informácie k spôsobu výpočtu vplyvov jednotlivých regulácií, ktoré sú goldplatingom</w:t>
      </w:r>
      <w:r w:rsidR="00414FA7" w:rsidRPr="001E47E5">
        <w:rPr>
          <w:rFonts w:ascii="Times New Roman" w:eastAsia="Calibri" w:hAnsi="Times New Roman" w:cs="Times New Roman"/>
          <w:b/>
          <w:bCs/>
          <w:sz w:val="24"/>
          <w:szCs w:val="24"/>
        </w:rPr>
        <w:t>.</w:t>
      </w:r>
    </w:p>
    <w:p w14:paraId="2518EFF4" w14:textId="77777777" w:rsidR="00414FA7" w:rsidRPr="001E47E5" w:rsidRDefault="00414FA7" w:rsidP="00414FA7">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Požadované informácie sa uvedú osobitne ku každému identifikovanému goldplatingu (ku každej hodnotenej regulácii s goldplatingom osobitne). </w:t>
      </w:r>
    </w:p>
    <w:p w14:paraId="48BA310B" w14:textId="77777777" w:rsidR="004D20CB" w:rsidRPr="001E47E5" w:rsidRDefault="004D20CB" w:rsidP="00054C41">
      <w:pPr>
        <w:jc w:val="both"/>
        <w:rPr>
          <w:rFonts w:ascii="Times New Roman" w:eastAsia="Calibri" w:hAnsi="Times New Roman" w:cs="Times New Roman"/>
          <w:bCs/>
          <w:sz w:val="24"/>
          <w:szCs w:val="24"/>
        </w:rPr>
      </w:pPr>
    </w:p>
    <w:p w14:paraId="29F83ED3" w14:textId="77777777" w:rsidR="00054C41" w:rsidRPr="001E47E5" w:rsidRDefault="00054C41" w:rsidP="00054C41">
      <w:pPr>
        <w:spacing w:after="0" w:line="240" w:lineRule="auto"/>
        <w:ind w:right="-426"/>
        <w:rPr>
          <w:rFonts w:ascii="Times New Roman" w:eastAsia="Times New Roman" w:hAnsi="Times New Roman" w:cs="Times New Roman"/>
          <w:i/>
          <w:color w:val="000000"/>
          <w:sz w:val="20"/>
          <w:szCs w:val="20"/>
        </w:rPr>
      </w:pPr>
    </w:p>
    <w:p w14:paraId="338EF799" w14:textId="77777777" w:rsidR="00054C41" w:rsidRPr="001E47E5"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3.2 Vyhodnotenie konzultácií s podnikateľskými subjektmi</w:t>
      </w:r>
    </w:p>
    <w:p w14:paraId="0EBD8559" w14:textId="77777777" w:rsidR="00054C41" w:rsidRPr="001E47E5" w:rsidRDefault="00054C41" w:rsidP="00054C41">
      <w:pPr>
        <w:jc w:val="both"/>
        <w:rPr>
          <w:rFonts w:ascii="Times New Roman" w:eastAsia="Calibri" w:hAnsi="Times New Roman" w:cs="Times New Roman"/>
          <w:sz w:val="24"/>
          <w:szCs w:val="24"/>
        </w:rPr>
      </w:pPr>
    </w:p>
    <w:p w14:paraId="17B155DE" w14:textId="77777777"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sz w:val="24"/>
          <w:szCs w:val="24"/>
        </w:rPr>
        <w:t>Alternatívne namiesto vypĺňania bodu 3.2 môže</w:t>
      </w:r>
      <w:r w:rsidR="0029483F" w:rsidRPr="001E47E5">
        <w:rPr>
          <w:rFonts w:ascii="Times New Roman" w:eastAsia="Calibri" w:hAnsi="Times New Roman" w:cs="Times New Roman"/>
          <w:sz w:val="24"/>
          <w:szCs w:val="24"/>
        </w:rPr>
        <w:t xml:space="preserve"> predkladateľ</w:t>
      </w:r>
      <w:r w:rsidRPr="001E47E5">
        <w:rPr>
          <w:rFonts w:ascii="Times New Roman" w:eastAsia="Calibri" w:hAnsi="Times New Roman" w:cs="Times New Roman"/>
          <w:sz w:val="24"/>
          <w:szCs w:val="24"/>
        </w:rPr>
        <w:t xml:space="preserve"> uviesť ako samostatnú prílohu tejto analýzy </w:t>
      </w:r>
      <w:r w:rsidRPr="001E47E5">
        <w:rPr>
          <w:rFonts w:ascii="Times New Roman" w:eastAsia="Calibri" w:hAnsi="Times New Roman" w:cs="Times New Roman"/>
          <w:b/>
          <w:sz w:val="24"/>
          <w:szCs w:val="24"/>
        </w:rPr>
        <w:t>Záznam z konzultácií</w:t>
      </w:r>
      <w:r w:rsidRPr="001E47E5">
        <w:rPr>
          <w:rFonts w:ascii="Times New Roman" w:eastAsia="Calibri" w:hAnsi="Times New Roman" w:cs="Times New Roman"/>
          <w:sz w:val="24"/>
          <w:szCs w:val="24"/>
        </w:rPr>
        <w:t>, musí však obsahovať všetky požadované informácie.</w:t>
      </w:r>
      <w:r w:rsidRPr="001E47E5">
        <w:rPr>
          <w:rFonts w:ascii="Times New Roman" w:eastAsia="Calibri" w:hAnsi="Times New Roman" w:cs="Times New Roman"/>
          <w:bCs/>
          <w:sz w:val="24"/>
          <w:szCs w:val="24"/>
        </w:rPr>
        <w:t xml:space="preserve"> </w:t>
      </w:r>
    </w:p>
    <w:p w14:paraId="0937D169" w14:textId="77777777"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Predkladateľ do tejto časti uvedie </w:t>
      </w:r>
      <w:r w:rsidRPr="001E47E5">
        <w:rPr>
          <w:rFonts w:ascii="Times New Roman" w:eastAsia="Calibri" w:hAnsi="Times New Roman" w:cs="Times New Roman"/>
          <w:bCs/>
          <w:i/>
          <w:sz w:val="24"/>
          <w:szCs w:val="24"/>
        </w:rPr>
        <w:t>tieto informácie:</w:t>
      </w:r>
    </w:p>
    <w:p w14:paraId="3D695F9E" w14:textId="77777777" w:rsidR="00054C41" w:rsidRPr="001E47E5" w:rsidRDefault="00054C41" w:rsidP="00054C41">
      <w:pPr>
        <w:numPr>
          <w:ilvl w:val="0"/>
          <w:numId w:val="2"/>
        </w:numPr>
        <w:contextualSpacing/>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či a akou formou sa k predkladanému materiálu konali konzultácie s podnikateľskými subjektmi</w:t>
      </w:r>
    </w:p>
    <w:p w14:paraId="0E860C44" w14:textId="77777777" w:rsidR="00054C41" w:rsidRPr="001E47E5" w:rsidRDefault="00054C41" w:rsidP="00054C41">
      <w:pPr>
        <w:numPr>
          <w:ilvl w:val="0"/>
          <w:numId w:val="2"/>
        </w:numPr>
        <w:contextualSpacing/>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link na webovú stránku, na ktorej boli konzultácie zverejnené</w:t>
      </w:r>
    </w:p>
    <w:p w14:paraId="47913457" w14:textId="77777777" w:rsidR="00054C41" w:rsidRPr="001E47E5" w:rsidRDefault="00054C41" w:rsidP="00054C41">
      <w:pPr>
        <w:numPr>
          <w:ilvl w:val="0"/>
          <w:numId w:val="2"/>
        </w:numPr>
        <w:contextualSpacing/>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zdôvodnenie výberu formy, vrátane údaju o spôsobe oslovenia dotknutých subjektov </w:t>
      </w:r>
    </w:p>
    <w:p w14:paraId="2891CAD1" w14:textId="77777777" w:rsidR="00054C41" w:rsidRPr="001E47E5" w:rsidRDefault="00054C41" w:rsidP="00054C41">
      <w:pPr>
        <w:numPr>
          <w:ilvl w:val="0"/>
          <w:numId w:val="2"/>
        </w:numPr>
        <w:contextualSpacing/>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trvanie konzultácií (od – do) a prípadné termín/y stretnutí</w:t>
      </w:r>
    </w:p>
    <w:p w14:paraId="7C1E8C43" w14:textId="77777777" w:rsidR="00054C41" w:rsidRPr="001E47E5" w:rsidRDefault="00054C41" w:rsidP="00054C41">
      <w:pPr>
        <w:numPr>
          <w:ilvl w:val="0"/>
          <w:numId w:val="2"/>
        </w:numPr>
        <w:contextualSpacing/>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zoznam konzultujúcich subjektov</w:t>
      </w:r>
    </w:p>
    <w:p w14:paraId="3AF7EC76" w14:textId="77777777" w:rsidR="00054C41" w:rsidRPr="001E47E5" w:rsidRDefault="00054C41" w:rsidP="00054C41">
      <w:pPr>
        <w:numPr>
          <w:ilvl w:val="0"/>
          <w:numId w:val="2"/>
        </w:numPr>
        <w:contextualSpacing/>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hlavné body konzultácií a ich závery</w:t>
      </w:r>
    </w:p>
    <w:p w14:paraId="54374A1A" w14:textId="77777777" w:rsidR="00054C41" w:rsidRPr="001E47E5" w:rsidRDefault="00054C41" w:rsidP="00054C41">
      <w:pPr>
        <w:numPr>
          <w:ilvl w:val="0"/>
          <w:numId w:val="2"/>
        </w:numPr>
        <w:contextualSpacing/>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zoznam predložených alternatívnych riešení problematiky </w:t>
      </w:r>
      <w:r w:rsidRPr="001E47E5">
        <w:rPr>
          <w:rFonts w:ascii="Times New Roman" w:eastAsia="Calibri" w:hAnsi="Times New Roman" w:cs="Times New Roman"/>
          <w:sz w:val="24"/>
          <w:szCs w:val="24"/>
        </w:rPr>
        <w:t>od konzultujúcich subjektov</w:t>
      </w:r>
    </w:p>
    <w:p w14:paraId="68229C1D" w14:textId="77777777" w:rsidR="00054C41" w:rsidRPr="001E47E5" w:rsidRDefault="00054C41" w:rsidP="00054C41">
      <w:pPr>
        <w:numPr>
          <w:ilvl w:val="0"/>
          <w:numId w:val="2"/>
        </w:numPr>
        <w:contextualSpacing/>
        <w:jc w:val="both"/>
        <w:rPr>
          <w:rFonts w:ascii="Times New Roman" w:eastAsia="Calibri" w:hAnsi="Times New Roman" w:cs="Times New Roman"/>
          <w:bCs/>
          <w:sz w:val="24"/>
          <w:szCs w:val="24"/>
        </w:rPr>
      </w:pPr>
      <w:r w:rsidRPr="001E47E5">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6474CC08" w14:textId="591D15BA" w:rsidR="00054C41" w:rsidRPr="001E47E5" w:rsidRDefault="0029483F"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lastRenderedPageBreak/>
        <w:t xml:space="preserve">Na </w:t>
      </w:r>
      <w:r w:rsidR="00054C41" w:rsidRPr="001E47E5">
        <w:rPr>
          <w:rFonts w:ascii="Times New Roman" w:eastAsia="Calibri" w:hAnsi="Times New Roman" w:cs="Times New Roman"/>
          <w:bCs/>
          <w:sz w:val="24"/>
          <w:szCs w:val="24"/>
        </w:rPr>
        <w:t xml:space="preserve">uskutočnenie konzultácií predkladateľ postupuje podľa bodu 5. </w:t>
      </w:r>
      <w:r w:rsidR="00981C7F" w:rsidRPr="001E47E5">
        <w:rPr>
          <w:rFonts w:ascii="Times New Roman" w:eastAsia="Calibri" w:hAnsi="Times New Roman" w:cs="Times New Roman"/>
          <w:bCs/>
          <w:sz w:val="24"/>
          <w:szCs w:val="24"/>
        </w:rPr>
        <w:t>j</w:t>
      </w:r>
      <w:r w:rsidR="00054C41" w:rsidRPr="001E47E5">
        <w:rPr>
          <w:rFonts w:ascii="Times New Roman" w:eastAsia="Calibri" w:hAnsi="Times New Roman" w:cs="Times New Roman"/>
          <w:bCs/>
          <w:sz w:val="24"/>
          <w:szCs w:val="24"/>
        </w:rPr>
        <w:t xml:space="preserve">ednotnej metodiky ako aj podľa odporúčaní ku konzultáciám v časti III. </w:t>
      </w:r>
      <w:r w:rsidR="00981C7F" w:rsidRPr="001E47E5">
        <w:rPr>
          <w:rFonts w:ascii="Times New Roman" w:eastAsia="Calibri" w:hAnsi="Times New Roman" w:cs="Times New Roman"/>
          <w:bCs/>
          <w:sz w:val="24"/>
          <w:szCs w:val="24"/>
        </w:rPr>
        <w:t>j</w:t>
      </w:r>
      <w:r w:rsidR="00054C41" w:rsidRPr="001E47E5">
        <w:rPr>
          <w:rFonts w:ascii="Times New Roman" w:eastAsia="Calibri" w:hAnsi="Times New Roman" w:cs="Times New Roman"/>
          <w:bCs/>
          <w:sz w:val="24"/>
          <w:szCs w:val="24"/>
        </w:rPr>
        <w:t>ednotnej metodiky.</w:t>
      </w:r>
    </w:p>
    <w:p w14:paraId="6FC44DD5" w14:textId="77777777" w:rsidR="00A94A0F" w:rsidRPr="001E47E5" w:rsidRDefault="00A94A0F" w:rsidP="00054C41">
      <w:pPr>
        <w:jc w:val="both"/>
        <w:rPr>
          <w:rFonts w:ascii="Times New Roman" w:eastAsia="Calibri" w:hAnsi="Times New Roman" w:cs="Times New Roman"/>
          <w:bCs/>
          <w:sz w:val="24"/>
          <w:szCs w:val="24"/>
        </w:rPr>
      </w:pPr>
    </w:p>
    <w:p w14:paraId="58EAD90B" w14:textId="77777777" w:rsidR="00054C41" w:rsidRPr="001E47E5"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3.3 Vplyvy na konkurencieschopnosť a produktivitu</w:t>
      </w:r>
    </w:p>
    <w:p w14:paraId="44954DCB" w14:textId="77777777" w:rsidR="00054C41" w:rsidRPr="001E47E5" w:rsidRDefault="00054C41" w:rsidP="00054C41">
      <w:pPr>
        <w:spacing w:after="0"/>
        <w:jc w:val="both"/>
        <w:rPr>
          <w:rFonts w:ascii="Times New Roman" w:eastAsia="Calibri" w:hAnsi="Times New Roman" w:cs="Times New Roman"/>
          <w:i/>
          <w:sz w:val="24"/>
          <w:szCs w:val="24"/>
        </w:rPr>
      </w:pPr>
    </w:p>
    <w:p w14:paraId="2ED63392" w14:textId="77777777" w:rsidR="00054C41" w:rsidRPr="001E47E5" w:rsidRDefault="00054C41" w:rsidP="00054C41">
      <w:pPr>
        <w:spacing w:after="0"/>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 xml:space="preserve">Konkurencieschopnosť </w:t>
      </w:r>
    </w:p>
    <w:p w14:paraId="6A85452C" w14:textId="77777777" w:rsidR="00054C41" w:rsidRPr="001E47E5" w:rsidRDefault="00054C41" w:rsidP="00054C41">
      <w:pPr>
        <w:spacing w:after="0"/>
        <w:jc w:val="both"/>
        <w:rPr>
          <w:rFonts w:ascii="Times New Roman" w:eastAsia="Calibri" w:hAnsi="Times New Roman" w:cs="Times New Roman"/>
          <w:b/>
          <w:sz w:val="24"/>
          <w:szCs w:val="24"/>
        </w:rPr>
      </w:pPr>
    </w:p>
    <w:p w14:paraId="15BBA0B9" w14:textId="77777777" w:rsidR="00054C41" w:rsidRPr="001E47E5" w:rsidRDefault="00054C41" w:rsidP="00054C41">
      <w:pPr>
        <w:spacing w:after="0"/>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 xml:space="preserve">Predkladateľ </w:t>
      </w:r>
      <w:r w:rsidR="00A83E11" w:rsidRPr="001E47E5">
        <w:rPr>
          <w:rFonts w:ascii="Times New Roman" w:eastAsia="Calibri" w:hAnsi="Times New Roman" w:cs="Times New Roman"/>
          <w:bCs/>
          <w:sz w:val="24"/>
          <w:szCs w:val="24"/>
        </w:rPr>
        <w:t xml:space="preserve">uvedenie odpovede na uvedené otázky a </w:t>
      </w:r>
      <w:r w:rsidRPr="001E47E5">
        <w:rPr>
          <w:rFonts w:ascii="Times New Roman" w:eastAsia="Calibri" w:hAnsi="Times New Roman" w:cs="Times New Roman"/>
          <w:bCs/>
          <w:sz w:val="24"/>
          <w:szCs w:val="24"/>
        </w:rPr>
        <w:t xml:space="preserve">na základe </w:t>
      </w:r>
      <w:r w:rsidR="00A83E11" w:rsidRPr="001E47E5">
        <w:rPr>
          <w:rFonts w:ascii="Times New Roman" w:eastAsia="Calibri" w:hAnsi="Times New Roman" w:cs="Times New Roman"/>
          <w:bCs/>
          <w:sz w:val="24"/>
          <w:szCs w:val="24"/>
        </w:rPr>
        <w:t xml:space="preserve"> týchto </w:t>
      </w:r>
      <w:r w:rsidRPr="001E47E5">
        <w:rPr>
          <w:rFonts w:ascii="Times New Roman" w:eastAsia="Calibri" w:hAnsi="Times New Roman" w:cs="Times New Roman"/>
          <w:bCs/>
          <w:sz w:val="24"/>
          <w:szCs w:val="24"/>
        </w:rPr>
        <w:t xml:space="preserve">odpovedí vyberie, aký vplyv má predkladaný materiál na </w:t>
      </w:r>
      <w:r w:rsidRPr="001E47E5">
        <w:rPr>
          <w:rFonts w:ascii="Times New Roman" w:eastAsia="Calibri" w:hAnsi="Times New Roman" w:cs="Times New Roman"/>
          <w:b/>
          <w:bCs/>
          <w:sz w:val="24"/>
          <w:szCs w:val="24"/>
        </w:rPr>
        <w:t xml:space="preserve">konkurencieschopnosť </w:t>
      </w:r>
      <w:r w:rsidRPr="001E47E5">
        <w:rPr>
          <w:rFonts w:ascii="Times New Roman" w:eastAsia="Calibri" w:hAnsi="Times New Roman" w:cs="Times New Roman"/>
          <w:bCs/>
          <w:sz w:val="24"/>
          <w:szCs w:val="24"/>
        </w:rPr>
        <w:t xml:space="preserve">(zvyšuje, nemení, znižuje konkurencieschopnosť) a napíše zdôvodnenie </w:t>
      </w:r>
      <w:r w:rsidR="00A83E11" w:rsidRPr="001E47E5">
        <w:rPr>
          <w:rFonts w:ascii="Times New Roman" w:eastAsia="Calibri" w:hAnsi="Times New Roman" w:cs="Times New Roman"/>
          <w:bCs/>
          <w:sz w:val="24"/>
          <w:szCs w:val="24"/>
        </w:rPr>
        <w:t xml:space="preserve">zohľadňujúce </w:t>
      </w:r>
      <w:r w:rsidRPr="001E47E5">
        <w:rPr>
          <w:rFonts w:ascii="Times New Roman" w:eastAsia="Calibri" w:hAnsi="Times New Roman" w:cs="Times New Roman"/>
          <w:bCs/>
          <w:sz w:val="24"/>
          <w:szCs w:val="24"/>
        </w:rPr>
        <w:t>zároveň aj odpovede na otázky uvedené v texte.</w:t>
      </w:r>
    </w:p>
    <w:p w14:paraId="5A1196B9" w14:textId="77777777" w:rsidR="00054C41" w:rsidRPr="001E47E5" w:rsidRDefault="00054C41" w:rsidP="00054C41">
      <w:pPr>
        <w:spacing w:after="0"/>
        <w:jc w:val="both"/>
        <w:rPr>
          <w:rFonts w:ascii="Times New Roman" w:eastAsia="Calibri" w:hAnsi="Times New Roman" w:cs="Times New Roman"/>
          <w:bCs/>
          <w:sz w:val="24"/>
          <w:szCs w:val="24"/>
        </w:rPr>
      </w:pPr>
    </w:p>
    <w:p w14:paraId="6FD015EA" w14:textId="77777777" w:rsidR="00054C41" w:rsidRPr="001E47E5" w:rsidRDefault="00054C41" w:rsidP="00054C41">
      <w:pPr>
        <w:jc w:val="both"/>
        <w:rPr>
          <w:rFonts w:ascii="Times New Roman" w:eastAsia="Calibri" w:hAnsi="Times New Roman" w:cs="Times New Roman"/>
          <w:sz w:val="24"/>
          <w:szCs w:val="24"/>
        </w:rPr>
      </w:pPr>
      <w:r w:rsidRPr="001E47E5">
        <w:rPr>
          <w:rFonts w:ascii="Times New Roman" w:eastAsia="Calibri" w:hAnsi="Times New Roman" w:cs="Times New Roman"/>
          <w:bCs/>
          <w:sz w:val="24"/>
          <w:szCs w:val="24"/>
        </w:rPr>
        <w:t>V princípe existujú tri možnosti, ako môžu regulácie ovplyvniť fungovanie podnikateľských subjektov na trhu</w:t>
      </w:r>
      <w:r w:rsidRPr="001E47E5">
        <w:rPr>
          <w:rFonts w:ascii="Times New Roman" w:eastAsia="Calibri" w:hAnsi="Times New Roman" w:cs="Times New Roman"/>
          <w:sz w:val="24"/>
          <w:szCs w:val="24"/>
        </w:rPr>
        <w:t>:</w:t>
      </w:r>
    </w:p>
    <w:p w14:paraId="1CE5A2A1" w14:textId="77777777" w:rsidR="00054C41" w:rsidRPr="001E47E5" w:rsidRDefault="00054C41" w:rsidP="00054C41">
      <w:pPr>
        <w:spacing w:after="120"/>
        <w:ind w:left="340" w:hanging="340"/>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a)</w:t>
      </w:r>
      <w:r w:rsidRPr="001E47E5">
        <w:rPr>
          <w:rFonts w:ascii="Times New Roman" w:eastAsia="Calibri" w:hAnsi="Times New Roman" w:cs="Times New Roman"/>
          <w:sz w:val="24"/>
          <w:szCs w:val="24"/>
        </w:rPr>
        <w:tab/>
      </w:r>
      <w:r w:rsidRPr="001E47E5">
        <w:rPr>
          <w:rFonts w:ascii="Times New Roman" w:eastAsia="Calibri" w:hAnsi="Times New Roman" w:cs="Times New Roman"/>
          <w:i/>
          <w:sz w:val="24"/>
          <w:szCs w:val="24"/>
        </w:rPr>
        <w:t>stanovením</w:t>
      </w:r>
      <w:r w:rsidR="0029483F" w:rsidRPr="001E47E5">
        <w:rPr>
          <w:rFonts w:ascii="Times New Roman" w:eastAsia="Calibri" w:hAnsi="Times New Roman" w:cs="Times New Roman"/>
          <w:i/>
          <w:sz w:val="24"/>
          <w:szCs w:val="24"/>
        </w:rPr>
        <w:t>,</w:t>
      </w:r>
      <w:r w:rsidRPr="001E47E5">
        <w:rPr>
          <w:rFonts w:ascii="Times New Roman" w:eastAsia="Calibri" w:hAnsi="Times New Roman" w:cs="Times New Roman"/>
          <w:i/>
          <w:sz w:val="24"/>
          <w:szCs w:val="24"/>
        </w:rPr>
        <w:t xml:space="preserve"> resp. zmenou podmienok pre vstup na trh a začatie podnikania</w:t>
      </w:r>
      <w:r w:rsidRPr="001E47E5">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309CAE44" w14:textId="77777777" w:rsidR="00054C41" w:rsidRPr="001E47E5" w:rsidRDefault="00054C41" w:rsidP="00054C41">
      <w:pPr>
        <w:spacing w:after="120"/>
        <w:ind w:left="340" w:hanging="340"/>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b)</w:t>
      </w:r>
      <w:r w:rsidRPr="001E47E5">
        <w:rPr>
          <w:rFonts w:ascii="Times New Roman" w:eastAsia="Calibri" w:hAnsi="Times New Roman" w:cs="Times New Roman"/>
          <w:sz w:val="24"/>
          <w:szCs w:val="24"/>
        </w:rPr>
        <w:tab/>
      </w:r>
      <w:r w:rsidRPr="001E47E5">
        <w:rPr>
          <w:rFonts w:ascii="Times New Roman" w:eastAsia="Calibri" w:hAnsi="Times New Roman" w:cs="Times New Roman"/>
          <w:i/>
          <w:sz w:val="24"/>
          <w:szCs w:val="24"/>
        </w:rPr>
        <w:t>stanovením</w:t>
      </w:r>
      <w:r w:rsidR="0029483F" w:rsidRPr="001E47E5">
        <w:rPr>
          <w:rFonts w:ascii="Times New Roman" w:eastAsia="Calibri" w:hAnsi="Times New Roman" w:cs="Times New Roman"/>
          <w:i/>
          <w:sz w:val="24"/>
          <w:szCs w:val="24"/>
        </w:rPr>
        <w:t>,</w:t>
      </w:r>
      <w:r w:rsidRPr="001E47E5">
        <w:rPr>
          <w:rFonts w:ascii="Times New Roman" w:eastAsia="Calibri" w:hAnsi="Times New Roman" w:cs="Times New Roman"/>
          <w:i/>
          <w:sz w:val="24"/>
          <w:szCs w:val="24"/>
        </w:rPr>
        <w:t xml:space="preserve"> resp. zmenou podmienok pre správanie sa na trhu</w:t>
      </w:r>
      <w:r w:rsidRPr="001E47E5">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05D62DE4" w14:textId="77777777" w:rsidR="00054C41" w:rsidRPr="001E47E5" w:rsidRDefault="00054C41" w:rsidP="00054C41">
      <w:pPr>
        <w:spacing w:after="120"/>
        <w:ind w:left="340" w:hanging="340"/>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c)</w:t>
      </w:r>
      <w:r w:rsidRPr="001E47E5">
        <w:rPr>
          <w:rFonts w:ascii="Times New Roman" w:eastAsia="Calibri" w:hAnsi="Times New Roman" w:cs="Times New Roman"/>
          <w:sz w:val="24"/>
          <w:szCs w:val="24"/>
        </w:rPr>
        <w:tab/>
      </w:r>
      <w:r w:rsidRPr="001E47E5">
        <w:rPr>
          <w:rFonts w:ascii="Times New Roman" w:eastAsia="Calibri" w:hAnsi="Times New Roman" w:cs="Times New Roman"/>
          <w:i/>
          <w:sz w:val="24"/>
          <w:szCs w:val="24"/>
        </w:rPr>
        <w:t>stanovením</w:t>
      </w:r>
      <w:r w:rsidR="0029483F" w:rsidRPr="001E47E5">
        <w:rPr>
          <w:rFonts w:ascii="Times New Roman" w:eastAsia="Calibri" w:hAnsi="Times New Roman" w:cs="Times New Roman"/>
          <w:i/>
          <w:sz w:val="24"/>
          <w:szCs w:val="24"/>
        </w:rPr>
        <w:t>,</w:t>
      </w:r>
      <w:r w:rsidRPr="001E47E5">
        <w:rPr>
          <w:rFonts w:ascii="Times New Roman" w:eastAsia="Calibri" w:hAnsi="Times New Roman" w:cs="Times New Roman"/>
          <w:i/>
          <w:sz w:val="24"/>
          <w:szCs w:val="24"/>
        </w:rPr>
        <w:t xml:space="preserve"> resp. zmenou podmienok, ktoré vedú k zmenám v štruktúre trhu</w:t>
      </w:r>
      <w:r w:rsidRPr="001E47E5">
        <w:rPr>
          <w:rFonts w:ascii="Times New Roman" w:eastAsia="Calibri" w:hAnsi="Times New Roman" w:cs="Times New Roman"/>
          <w:sz w:val="24"/>
          <w:szCs w:val="24"/>
        </w:rPr>
        <w:t xml:space="preserve"> – spravidla ide o také opatrenia, ktoré postihujú iba veľké podnikateľské subjekty.</w:t>
      </w:r>
    </w:p>
    <w:p w14:paraId="04AB2660" w14:textId="77777777" w:rsidR="00054C41" w:rsidRPr="001E47E5" w:rsidRDefault="00054C41" w:rsidP="00054C41">
      <w:pPr>
        <w:jc w:val="both"/>
        <w:rPr>
          <w:rFonts w:ascii="Times New Roman" w:eastAsia="Calibri" w:hAnsi="Times New Roman" w:cs="Times New Roman"/>
          <w:bCs/>
          <w:sz w:val="24"/>
          <w:szCs w:val="24"/>
        </w:rPr>
      </w:pPr>
      <w:r w:rsidRPr="001E47E5">
        <w:rPr>
          <w:rFonts w:ascii="Times New Roman" w:eastAsia="Calibri" w:hAnsi="Times New Roman" w:cs="Times New Roman"/>
          <w:bCs/>
          <w:sz w:val="24"/>
          <w:szCs w:val="24"/>
        </w:rPr>
        <w:t>Predkladateľ v tejto časti  preto uvedie, či dochádza k</w:t>
      </w:r>
      <w:r w:rsidR="0029483F" w:rsidRPr="001E47E5">
        <w:rPr>
          <w:rFonts w:ascii="Times New Roman" w:eastAsia="Calibri" w:hAnsi="Times New Roman" w:cs="Times New Roman"/>
          <w:bCs/>
          <w:sz w:val="24"/>
          <w:szCs w:val="24"/>
        </w:rPr>
        <w:t> </w:t>
      </w:r>
      <w:r w:rsidRPr="001E47E5">
        <w:rPr>
          <w:rFonts w:ascii="Times New Roman" w:eastAsia="Calibri" w:hAnsi="Times New Roman" w:cs="Times New Roman"/>
          <w:bCs/>
          <w:sz w:val="24"/>
          <w:szCs w:val="24"/>
        </w:rPr>
        <w:t>vytvoreniu</w:t>
      </w:r>
      <w:r w:rsidR="0029483F" w:rsidRPr="001E47E5">
        <w:rPr>
          <w:rFonts w:ascii="Times New Roman" w:eastAsia="Calibri" w:hAnsi="Times New Roman" w:cs="Times New Roman"/>
          <w:bCs/>
          <w:sz w:val="24"/>
          <w:szCs w:val="24"/>
        </w:rPr>
        <w:t>,</w:t>
      </w:r>
      <w:r w:rsidRPr="001E47E5">
        <w:rPr>
          <w:rFonts w:ascii="Times New Roman" w:eastAsia="Calibri" w:hAnsi="Times New Roman" w:cs="Times New Roman"/>
          <w:bCs/>
          <w:sz w:val="24"/>
          <w:szCs w:val="24"/>
        </w:rPr>
        <w:t xml:space="preserve"> resp. zmene bariér pre vstup na trh pre nových výrobcov, dodávateľov, poskytovateľov či odberateľov tovarov alebo služieb</w:t>
      </w:r>
      <w:r w:rsidRPr="001E47E5">
        <w:rPr>
          <w:rFonts w:ascii="Calibri" w:eastAsia="Calibri" w:hAnsi="Calibri" w:cs="Times New Roman"/>
          <w:sz w:val="24"/>
          <w:szCs w:val="24"/>
        </w:rPr>
        <w:t xml:space="preserve"> </w:t>
      </w:r>
      <w:r w:rsidRPr="001E47E5">
        <w:rPr>
          <w:rFonts w:ascii="Times New Roman" w:eastAsia="Calibri" w:hAnsi="Times New Roman" w:cs="Times New Roman"/>
          <w:bCs/>
          <w:sz w:val="24"/>
          <w:szCs w:val="24"/>
        </w:rPr>
        <w:t xml:space="preserve">a či dôjde k sprísneniu regulácie správania sa pre niektoré podniky. </w:t>
      </w:r>
    </w:p>
    <w:p w14:paraId="34EBDA3D" w14:textId="77777777" w:rsidR="00054C41" w:rsidRPr="001E47E5" w:rsidRDefault="00054C41" w:rsidP="00054C41">
      <w:pPr>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1E47E5">
        <w:rPr>
          <w:rFonts w:ascii="Times New Roman" w:eastAsia="Calibri" w:hAnsi="Times New Roman" w:cs="Times New Roman"/>
          <w:i/>
          <w:sz w:val="24"/>
          <w:szCs w:val="24"/>
        </w:rPr>
        <w:t xml:space="preserve"> </w:t>
      </w:r>
      <w:r w:rsidRPr="001E47E5">
        <w:rPr>
          <w:rFonts w:ascii="Times New Roman" w:eastAsia="Calibri" w:hAnsi="Times New Roman" w:cs="Times New Roman"/>
          <w:sz w:val="24"/>
          <w:szCs w:val="24"/>
        </w:rPr>
        <w:t>(napríklad špeciálne režimy pre MSP alebo vytvorenie povinného produktu zo zákona).</w:t>
      </w:r>
    </w:p>
    <w:p w14:paraId="572013D3" w14:textId="77777777" w:rsidR="00054C41" w:rsidRPr="001E47E5" w:rsidRDefault="00054C41" w:rsidP="00054C41">
      <w:pPr>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4A5724D" w14:textId="77777777" w:rsidR="00054C41" w:rsidRPr="001E47E5" w:rsidRDefault="00054C41" w:rsidP="00054C41">
      <w:pPr>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5A1EB5FC" w14:textId="77777777" w:rsidR="00F47912" w:rsidRPr="001E47E5" w:rsidRDefault="00F47912" w:rsidP="00804BC8">
      <w:pPr>
        <w:spacing w:after="0"/>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V prípade, že v predkladanom materiáli bol identifikovaný goldplating</w:t>
      </w:r>
      <w:r w:rsidR="00C145AA" w:rsidRPr="001E47E5">
        <w:rPr>
          <w:rFonts w:ascii="Times New Roman" w:eastAsia="Calibri" w:hAnsi="Times New Roman" w:cs="Times New Roman"/>
          <w:sz w:val="24"/>
          <w:szCs w:val="24"/>
        </w:rPr>
        <w:t xml:space="preserve"> s vplyvom na podnikateľské prostredie</w:t>
      </w:r>
      <w:r w:rsidRPr="001E47E5">
        <w:rPr>
          <w:rFonts w:ascii="Times New Roman" w:eastAsia="Calibri" w:hAnsi="Times New Roman" w:cs="Times New Roman"/>
          <w:sz w:val="24"/>
          <w:szCs w:val="24"/>
        </w:rPr>
        <w:t xml:space="preserve">, predkladateľ popíše, </w:t>
      </w:r>
      <w:r w:rsidR="00E96244" w:rsidRPr="001E47E5">
        <w:rPr>
          <w:rFonts w:ascii="Times New Roman" w:eastAsia="Calibri" w:hAnsi="Times New Roman" w:cs="Times New Roman"/>
          <w:sz w:val="24"/>
          <w:szCs w:val="24"/>
        </w:rPr>
        <w:t>akým spôsobom goldplating prispieva k zníženiu konkurencieschopnosti a produktivity.</w:t>
      </w:r>
    </w:p>
    <w:p w14:paraId="67385F5C" w14:textId="77777777" w:rsidR="00E96244" w:rsidRPr="001E47E5" w:rsidRDefault="00E96244" w:rsidP="00804BC8">
      <w:pPr>
        <w:spacing w:after="0"/>
        <w:jc w:val="both"/>
        <w:rPr>
          <w:rFonts w:ascii="Times New Roman" w:eastAsia="Calibri" w:hAnsi="Times New Roman" w:cs="Times New Roman"/>
          <w:sz w:val="24"/>
          <w:szCs w:val="24"/>
        </w:rPr>
      </w:pPr>
    </w:p>
    <w:p w14:paraId="78AF2BF4" w14:textId="77777777" w:rsidR="00054C41" w:rsidRPr="001E47E5" w:rsidRDefault="00054C41" w:rsidP="00054C41">
      <w:pPr>
        <w:jc w:val="both"/>
        <w:rPr>
          <w:rFonts w:ascii="Times New Roman" w:eastAsia="Calibri" w:hAnsi="Times New Roman" w:cs="Times New Roman"/>
          <w:sz w:val="24"/>
          <w:szCs w:val="24"/>
        </w:rPr>
      </w:pPr>
      <w:r w:rsidRPr="001E47E5">
        <w:rPr>
          <w:rFonts w:ascii="Times New Roman" w:eastAsia="Calibri" w:hAnsi="Times New Roman" w:cs="Times New Roman"/>
          <w:iCs/>
          <w:sz w:val="24"/>
          <w:szCs w:val="24"/>
        </w:rPr>
        <w:lastRenderedPageBreak/>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sidR="0029483F" w:rsidRPr="001E47E5">
        <w:rPr>
          <w:rFonts w:ascii="Times New Roman" w:eastAsia="Calibri" w:hAnsi="Times New Roman" w:cs="Times New Roman"/>
          <w:iCs/>
          <w:sz w:val="24"/>
          <w:szCs w:val="24"/>
        </w:rPr>
        <w:t xml:space="preserve">Slovensko </w:t>
      </w:r>
      <w:r w:rsidRPr="001E47E5">
        <w:rPr>
          <w:rFonts w:ascii="Times New Roman" w:eastAsia="Calibri" w:hAnsi="Times New Roman" w:cs="Times New Roman"/>
          <w:iCs/>
          <w:sz w:val="24"/>
          <w:szCs w:val="24"/>
        </w:rPr>
        <w:t xml:space="preserve">vo vzťahu k podnikateľskému prostrediu </w:t>
      </w:r>
      <w:r w:rsidR="0029483F" w:rsidRPr="001E47E5">
        <w:rPr>
          <w:rFonts w:ascii="Times New Roman" w:eastAsia="Calibri" w:hAnsi="Times New Roman" w:cs="Times New Roman"/>
          <w:iCs/>
          <w:sz w:val="24"/>
          <w:szCs w:val="24"/>
        </w:rPr>
        <w:t xml:space="preserve">malo </w:t>
      </w:r>
      <w:r w:rsidRPr="001E47E5">
        <w:rPr>
          <w:rFonts w:ascii="Times New Roman" w:eastAsia="Calibri" w:hAnsi="Times New Roman" w:cs="Times New Roman"/>
          <w:iCs/>
          <w:sz w:val="24"/>
          <w:szCs w:val="24"/>
        </w:rPr>
        <w:t>lepšie ako susedné štáty. V prípade, že predkladateľ vie o lepšom nastavení regulácie v niektorej zo susedných krajín, tak to popíše v tejto časti.</w:t>
      </w:r>
    </w:p>
    <w:p w14:paraId="7336202E" w14:textId="77777777" w:rsidR="00054C41" w:rsidRPr="001E47E5" w:rsidRDefault="00054C41" w:rsidP="00054C41">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 xml:space="preserve">Produktivita </w:t>
      </w:r>
    </w:p>
    <w:p w14:paraId="7E7D7E51" w14:textId="77777777" w:rsidR="00054C41" w:rsidRPr="001E47E5" w:rsidRDefault="00054C41" w:rsidP="00054C41">
      <w:pPr>
        <w:jc w:val="both"/>
        <w:rPr>
          <w:rFonts w:ascii="Times New Roman" w:eastAsia="Calibri" w:hAnsi="Times New Roman" w:cs="Times New Roman"/>
          <w:sz w:val="24"/>
          <w:szCs w:val="24"/>
        </w:rPr>
      </w:pPr>
      <w:r w:rsidRPr="001E47E5">
        <w:rPr>
          <w:rFonts w:ascii="Times New Roman" w:eastAsia="Calibri" w:hAnsi="Times New Roman" w:cs="Times New Roman"/>
          <w:sz w:val="24"/>
          <w:szCs w:val="24"/>
        </w:rPr>
        <w:t>Predkladateľ na základe odpovede na uvedenú otázku</w:t>
      </w:r>
      <w:r w:rsidR="00A83E11" w:rsidRPr="001E47E5">
        <w:rPr>
          <w:rFonts w:ascii="Times New Roman" w:eastAsia="Calibri" w:hAnsi="Times New Roman" w:cs="Times New Roman"/>
          <w:sz w:val="24"/>
          <w:szCs w:val="24"/>
        </w:rPr>
        <w:t>, ktorú uvedie v</w:t>
      </w:r>
      <w:r w:rsidR="00960413" w:rsidRPr="001E47E5">
        <w:rPr>
          <w:rFonts w:ascii="Times New Roman" w:eastAsia="Calibri" w:hAnsi="Times New Roman" w:cs="Times New Roman"/>
          <w:sz w:val="24"/>
          <w:szCs w:val="24"/>
        </w:rPr>
        <w:t> tejto časti</w:t>
      </w:r>
      <w:r w:rsidR="00A83E11" w:rsidRPr="001E47E5">
        <w:rPr>
          <w:rFonts w:ascii="Times New Roman" w:eastAsia="Calibri" w:hAnsi="Times New Roman" w:cs="Times New Roman"/>
          <w:sz w:val="24"/>
          <w:szCs w:val="24"/>
        </w:rPr>
        <w:t> analýz</w:t>
      </w:r>
      <w:r w:rsidR="00960413" w:rsidRPr="001E47E5">
        <w:rPr>
          <w:rFonts w:ascii="Times New Roman" w:eastAsia="Calibri" w:hAnsi="Times New Roman" w:cs="Times New Roman"/>
          <w:sz w:val="24"/>
          <w:szCs w:val="24"/>
        </w:rPr>
        <w:t>y</w:t>
      </w:r>
      <w:r w:rsidR="00A83E11" w:rsidRPr="001E47E5">
        <w:rPr>
          <w:rFonts w:ascii="Times New Roman" w:eastAsia="Calibri" w:hAnsi="Times New Roman" w:cs="Times New Roman"/>
          <w:sz w:val="24"/>
          <w:szCs w:val="24"/>
        </w:rPr>
        <w:t xml:space="preserve"> vplyvov na podnikateľské prostredie,</w:t>
      </w:r>
      <w:r w:rsidRPr="001E47E5">
        <w:rPr>
          <w:rFonts w:ascii="Times New Roman" w:eastAsia="Calibri" w:hAnsi="Times New Roman" w:cs="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2F63E223" w14:textId="77777777" w:rsidR="00054C41" w:rsidRPr="001E47E5" w:rsidRDefault="00054C41" w:rsidP="00054C41">
      <w:pPr>
        <w:jc w:val="both"/>
        <w:rPr>
          <w:rFonts w:ascii="Times New Roman" w:eastAsia="Calibri" w:hAnsi="Times New Roman" w:cs="Times New Roman"/>
          <w:bCs/>
          <w:i/>
          <w:sz w:val="24"/>
          <w:szCs w:val="24"/>
        </w:rPr>
      </w:pPr>
      <w:r w:rsidRPr="001E47E5">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25E7242B" w14:textId="77777777" w:rsidR="00C145AA" w:rsidRPr="001E47E5" w:rsidRDefault="00C145AA" w:rsidP="00054C41">
      <w:pPr>
        <w:jc w:val="both"/>
        <w:rPr>
          <w:rFonts w:ascii="Times New Roman" w:eastAsia="Calibri" w:hAnsi="Times New Roman" w:cs="Times New Roman"/>
          <w:sz w:val="24"/>
          <w:szCs w:val="24"/>
        </w:rPr>
      </w:pPr>
    </w:p>
    <w:p w14:paraId="2F635C17" w14:textId="77777777" w:rsidR="00054C41" w:rsidRPr="001E47E5" w:rsidRDefault="00054C41" w:rsidP="00054C41">
      <w:pPr>
        <w:spacing w:after="0"/>
        <w:jc w:val="both"/>
        <w:rPr>
          <w:rFonts w:ascii="Times New Roman" w:eastAsia="Calibri" w:hAnsi="Times New Roman" w:cs="Times New Roman"/>
          <w:i/>
          <w:sz w:val="24"/>
          <w:szCs w:val="24"/>
        </w:rPr>
      </w:pPr>
    </w:p>
    <w:p w14:paraId="11D0A95D" w14:textId="77777777" w:rsidR="00054C41" w:rsidRPr="001E47E5"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3.4  Iné vplyvy na podnikateľské prostredie</w:t>
      </w:r>
    </w:p>
    <w:p w14:paraId="0CFE0172" w14:textId="77777777" w:rsidR="00054C41" w:rsidRPr="001E47E5" w:rsidRDefault="00054C41" w:rsidP="00054C41">
      <w:pPr>
        <w:spacing w:after="0"/>
        <w:jc w:val="both"/>
        <w:rPr>
          <w:rFonts w:ascii="Times New Roman" w:eastAsia="Calibri" w:hAnsi="Times New Roman" w:cs="Times New Roman"/>
          <w:iCs/>
          <w:sz w:val="24"/>
          <w:szCs w:val="24"/>
        </w:rPr>
      </w:pPr>
    </w:p>
    <w:p w14:paraId="078A2FC9" w14:textId="77777777" w:rsidR="003F06D7" w:rsidRPr="001E47E5" w:rsidRDefault="003F06D7" w:rsidP="003F06D7">
      <w:pPr>
        <w:spacing w:after="0"/>
        <w:jc w:val="both"/>
        <w:rPr>
          <w:rFonts w:ascii="Times New Roman" w:eastAsia="Calibri" w:hAnsi="Times New Roman" w:cs="Times New Roman"/>
          <w:iCs/>
          <w:sz w:val="24"/>
          <w:szCs w:val="24"/>
        </w:rPr>
      </w:pPr>
      <w:r w:rsidRPr="001E47E5">
        <w:rPr>
          <w:rFonts w:ascii="Times New Roman" w:eastAsia="Calibri" w:hAnsi="Times New Roman" w:cs="Times New Roman"/>
          <w:iCs/>
          <w:sz w:val="24"/>
          <w:szCs w:val="24"/>
        </w:rPr>
        <w:t>Predkladateľ do tejto časti uvedie a popíše nasledovné informácie:</w:t>
      </w:r>
    </w:p>
    <w:p w14:paraId="5B57DC6D" w14:textId="77777777" w:rsidR="001D1083" w:rsidRPr="001E47E5"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E47E5">
        <w:rPr>
          <w:rFonts w:ascii="Times New Roman" w:eastAsia="Calibri" w:hAnsi="Times New Roman" w:cs="Times New Roman"/>
          <w:bCs/>
          <w:iCs/>
          <w:sz w:val="24"/>
          <w:szCs w:val="24"/>
        </w:rPr>
        <w:t xml:space="preserve">Pri </w:t>
      </w:r>
      <w:r w:rsidRPr="001E47E5">
        <w:rPr>
          <w:rFonts w:ascii="Times New Roman" w:eastAsia="Calibri" w:hAnsi="Times New Roman" w:cs="Times New Roman"/>
          <w:b/>
          <w:iCs/>
          <w:sz w:val="24"/>
          <w:szCs w:val="24"/>
        </w:rPr>
        <w:t>dotáciách, fondoch, štátnej pomoci a iných formách podpory</w:t>
      </w:r>
      <w:r w:rsidRPr="001E47E5">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sidRPr="001E47E5">
        <w:rPr>
          <w:rFonts w:ascii="Times New Roman" w:eastAsia="Calibri" w:hAnsi="Times New Roman" w:cs="Times New Roman"/>
          <w:bCs/>
          <w:iCs/>
          <w:sz w:val="24"/>
          <w:szCs w:val="24"/>
        </w:rPr>
        <w:t>y</w:t>
      </w:r>
      <w:r w:rsidRPr="001E47E5">
        <w:rPr>
          <w:rFonts w:ascii="Times New Roman" w:eastAsia="Calibri" w:hAnsi="Times New Roman" w:cs="Times New Roman"/>
          <w:bCs/>
          <w:iCs/>
          <w:sz w:val="24"/>
          <w:szCs w:val="24"/>
        </w:rPr>
        <w:t xml:space="preserve"> na modelovom príklade. </w:t>
      </w:r>
    </w:p>
    <w:p w14:paraId="54B03A75" w14:textId="77777777" w:rsidR="001D1083" w:rsidRPr="001E47E5"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E47E5">
        <w:rPr>
          <w:rFonts w:ascii="Times New Roman" w:eastAsia="Calibri" w:hAnsi="Times New Roman" w:cs="Times New Roman"/>
          <w:bCs/>
          <w:iCs/>
          <w:sz w:val="24"/>
          <w:szCs w:val="24"/>
        </w:rPr>
        <w:t xml:space="preserve">Pri </w:t>
      </w:r>
      <w:r w:rsidRPr="001E47E5">
        <w:rPr>
          <w:rFonts w:ascii="Times New Roman" w:eastAsia="Calibri" w:hAnsi="Times New Roman" w:cs="Times New Roman"/>
          <w:b/>
          <w:iCs/>
          <w:sz w:val="24"/>
          <w:szCs w:val="24"/>
        </w:rPr>
        <w:t>regulovaných cenách</w:t>
      </w:r>
      <w:r w:rsidRPr="001E47E5">
        <w:rPr>
          <w:rFonts w:ascii="Times New Roman" w:eastAsia="Calibri" w:hAnsi="Times New Roman" w:cs="Times New Roman"/>
          <w:bCs/>
          <w:iCs/>
          <w:sz w:val="24"/>
          <w:szCs w:val="24"/>
        </w:rPr>
        <w:t xml:space="preserve"> odhadnite ročný finančný vplyv na podnikateľské prostredie. </w:t>
      </w:r>
    </w:p>
    <w:p w14:paraId="07BF73D2" w14:textId="77777777" w:rsidR="00C145AA" w:rsidRPr="001E47E5"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E47E5">
        <w:rPr>
          <w:rFonts w:ascii="Times New Roman" w:eastAsia="Calibri" w:hAnsi="Times New Roman" w:cs="Times New Roman"/>
          <w:bCs/>
          <w:iCs/>
          <w:sz w:val="24"/>
          <w:szCs w:val="24"/>
        </w:rPr>
        <w:t xml:space="preserve">Pri </w:t>
      </w:r>
      <w:r w:rsidRPr="001E47E5">
        <w:rPr>
          <w:rFonts w:ascii="Times New Roman" w:eastAsia="Calibri" w:hAnsi="Times New Roman" w:cs="Times New Roman"/>
          <w:b/>
          <w:iCs/>
          <w:sz w:val="24"/>
          <w:szCs w:val="24"/>
        </w:rPr>
        <w:t>iných vplyvoch</w:t>
      </w:r>
      <w:r w:rsidRPr="001E47E5">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r w:rsidR="00C145AA" w:rsidRPr="001E47E5">
        <w:rPr>
          <w:rFonts w:ascii="Times New Roman" w:eastAsia="Calibri" w:hAnsi="Times New Roman" w:cs="Times New Roman"/>
          <w:bCs/>
          <w:iCs/>
          <w:sz w:val="24"/>
          <w:szCs w:val="24"/>
        </w:rPr>
        <w:t>.</w:t>
      </w:r>
    </w:p>
    <w:p w14:paraId="56CB068B" w14:textId="77777777" w:rsidR="001D1083" w:rsidRPr="001E47E5" w:rsidRDefault="00C145AA"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E47E5">
        <w:rPr>
          <w:rFonts w:ascii="Times New Roman" w:eastAsia="Calibri" w:hAnsi="Times New Roman" w:cs="Times New Roman"/>
          <w:sz w:val="24"/>
          <w:szCs w:val="24"/>
        </w:rPr>
        <w:t xml:space="preserve">Iné vplyvy </w:t>
      </w:r>
      <w:r w:rsidRPr="001E47E5">
        <w:rPr>
          <w:rFonts w:ascii="Times New Roman" w:eastAsia="Calibri" w:hAnsi="Times New Roman" w:cs="Times New Roman"/>
          <w:b/>
          <w:sz w:val="24"/>
          <w:szCs w:val="24"/>
        </w:rPr>
        <w:t>goldplatingu</w:t>
      </w:r>
      <w:r w:rsidRPr="001E47E5">
        <w:rPr>
          <w:rFonts w:ascii="Times New Roman" w:eastAsia="Calibri" w:hAnsi="Times New Roman" w:cs="Times New Roman"/>
          <w:sz w:val="24"/>
          <w:szCs w:val="24"/>
        </w:rPr>
        <w:t xml:space="preserve"> (v prípade, že bol v predloženom materiáli identifikovaný goldplating s vplyvom na podnikateľské prostredie)</w:t>
      </w:r>
      <w:r w:rsidR="004A14CD" w:rsidRPr="001E47E5">
        <w:rPr>
          <w:rFonts w:ascii="Times New Roman" w:eastAsia="Calibri" w:hAnsi="Times New Roman" w:cs="Times New Roman"/>
          <w:sz w:val="24"/>
          <w:szCs w:val="24"/>
        </w:rPr>
        <w:t>.</w:t>
      </w:r>
    </w:p>
    <w:p w14:paraId="45C6F8BC" w14:textId="77777777" w:rsidR="00F57702" w:rsidRPr="001E47E5" w:rsidRDefault="00F57702" w:rsidP="00054C41">
      <w:pPr>
        <w:spacing w:after="0"/>
        <w:jc w:val="both"/>
        <w:rPr>
          <w:rFonts w:ascii="Times New Roman" w:eastAsia="Calibri" w:hAnsi="Times New Roman" w:cs="Times New Roman"/>
          <w:bCs/>
          <w:i/>
          <w:iCs/>
        </w:rPr>
      </w:pPr>
    </w:p>
    <w:p w14:paraId="7D410FE5" w14:textId="77777777" w:rsidR="00054C41" w:rsidRPr="001E47E5" w:rsidRDefault="00054C41" w:rsidP="00054C41">
      <w:pPr>
        <w:spacing w:after="0"/>
        <w:jc w:val="both"/>
        <w:rPr>
          <w:rFonts w:ascii="Times New Roman" w:eastAsia="Calibri" w:hAnsi="Times New Roman" w:cs="Times New Roman"/>
          <w:bCs/>
          <w:i/>
          <w:iCs/>
        </w:rPr>
      </w:pPr>
      <w:r w:rsidRPr="001E47E5">
        <w:rPr>
          <w:rFonts w:ascii="Times New Roman" w:eastAsia="Calibri" w:hAnsi="Times New Roman" w:cs="Times New Roman"/>
          <w:bCs/>
          <w:i/>
          <w:iCs/>
        </w:rPr>
        <w:t xml:space="preserve">Príklady: </w:t>
      </w:r>
    </w:p>
    <w:p w14:paraId="440BCEF5" w14:textId="77777777" w:rsidR="008920C3" w:rsidRPr="001E47E5" w:rsidRDefault="007E6815" w:rsidP="00162C6C">
      <w:pPr>
        <w:pStyle w:val="Odsekzoznamu"/>
        <w:numPr>
          <w:ilvl w:val="0"/>
          <w:numId w:val="7"/>
        </w:numPr>
        <w:spacing w:after="0"/>
        <w:jc w:val="both"/>
        <w:rPr>
          <w:rFonts w:ascii="Times New Roman" w:eastAsia="Calibri" w:hAnsi="Times New Roman" w:cs="Times New Roman"/>
          <w:bCs/>
          <w:i/>
          <w:iCs/>
        </w:rPr>
      </w:pPr>
      <w:r w:rsidRPr="001E47E5">
        <w:rPr>
          <w:rFonts w:ascii="Times New Roman" w:eastAsia="Calibri" w:hAnsi="Times New Roman" w:cs="Times New Roman"/>
          <w:bCs/>
          <w:i/>
          <w:iCs/>
        </w:rPr>
        <w:t>predĺženie lehoty na prihlásenie zamestnanca do Sociálnej poisťovne pred nástupom do zamestnania,</w:t>
      </w:r>
    </w:p>
    <w:p w14:paraId="140F7622" w14:textId="77777777" w:rsidR="008920C3" w:rsidRPr="001E47E5" w:rsidRDefault="007E6815" w:rsidP="00162C6C">
      <w:pPr>
        <w:pStyle w:val="Odsekzoznamu"/>
        <w:numPr>
          <w:ilvl w:val="0"/>
          <w:numId w:val="7"/>
        </w:numPr>
        <w:spacing w:after="0"/>
        <w:jc w:val="both"/>
        <w:rPr>
          <w:rFonts w:ascii="Times New Roman" w:eastAsia="Calibri" w:hAnsi="Times New Roman" w:cs="Times New Roman"/>
          <w:bCs/>
          <w:i/>
          <w:iCs/>
        </w:rPr>
      </w:pPr>
      <w:r w:rsidRPr="001E47E5">
        <w:rPr>
          <w:rFonts w:ascii="Times New Roman" w:eastAsia="Calibri" w:hAnsi="Times New Roman" w:cs="Times New Roman"/>
          <w:bCs/>
          <w:i/>
          <w:iCs/>
        </w:rPr>
        <w:t xml:space="preserve">sprísnenie dôvodov pre umožnenie odkladu daňového priznania, </w:t>
      </w:r>
    </w:p>
    <w:p w14:paraId="3033A3C2" w14:textId="77777777" w:rsidR="008920C3" w:rsidRPr="001E47E5" w:rsidRDefault="007E6815" w:rsidP="00162C6C">
      <w:pPr>
        <w:pStyle w:val="Odsekzoznamu"/>
        <w:numPr>
          <w:ilvl w:val="0"/>
          <w:numId w:val="7"/>
        </w:numPr>
        <w:spacing w:after="0"/>
        <w:jc w:val="both"/>
        <w:rPr>
          <w:rFonts w:ascii="Times New Roman" w:eastAsia="Calibri" w:hAnsi="Times New Roman" w:cs="Times New Roman"/>
          <w:bCs/>
          <w:i/>
          <w:iCs/>
        </w:rPr>
      </w:pPr>
      <w:r w:rsidRPr="001E47E5">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481E262A" w14:textId="77777777" w:rsidR="008920C3" w:rsidRPr="001E47E5" w:rsidRDefault="007E6815" w:rsidP="00162C6C">
      <w:pPr>
        <w:pStyle w:val="Odsekzoznamu"/>
        <w:numPr>
          <w:ilvl w:val="0"/>
          <w:numId w:val="7"/>
        </w:numPr>
        <w:spacing w:after="0"/>
        <w:jc w:val="both"/>
        <w:rPr>
          <w:rFonts w:ascii="Times New Roman" w:eastAsia="Calibri" w:hAnsi="Times New Roman" w:cs="Times New Roman"/>
          <w:bCs/>
          <w:i/>
          <w:iCs/>
        </w:rPr>
      </w:pPr>
      <w:r w:rsidRPr="001E47E5">
        <w:rPr>
          <w:rFonts w:ascii="Times New Roman" w:eastAsia="Calibri" w:hAnsi="Times New Roman" w:cs="Times New Roman"/>
          <w:bCs/>
          <w:i/>
          <w:iCs/>
        </w:rPr>
        <w:t>zabezpečenie právnej istoty</w:t>
      </w:r>
    </w:p>
    <w:p w14:paraId="47AAE72F" w14:textId="77777777" w:rsidR="008920C3" w:rsidRPr="001E47E5" w:rsidRDefault="007E6815" w:rsidP="00162C6C">
      <w:pPr>
        <w:pStyle w:val="Odsekzoznamu"/>
        <w:numPr>
          <w:ilvl w:val="0"/>
          <w:numId w:val="7"/>
        </w:numPr>
        <w:spacing w:after="0"/>
        <w:jc w:val="both"/>
        <w:rPr>
          <w:rFonts w:ascii="Times New Roman" w:eastAsia="Calibri" w:hAnsi="Times New Roman" w:cs="Times New Roman"/>
          <w:bCs/>
          <w:i/>
          <w:iCs/>
        </w:rPr>
      </w:pPr>
      <w:r w:rsidRPr="001E47E5">
        <w:rPr>
          <w:rFonts w:ascii="Times New Roman" w:eastAsia="Calibri" w:hAnsi="Times New Roman" w:cs="Times New Roman"/>
          <w:bCs/>
          <w:i/>
          <w:iCs/>
        </w:rPr>
        <w:lastRenderedPageBreak/>
        <w:t>zmeny na tlačivách a v povinných prílohách v rámci žiadostí o dotácie</w:t>
      </w:r>
    </w:p>
    <w:p w14:paraId="0273CC52" w14:textId="77777777" w:rsidR="008920C3" w:rsidRPr="001E47E5" w:rsidRDefault="007E6815" w:rsidP="00162C6C">
      <w:pPr>
        <w:pStyle w:val="Odsekzoznamu"/>
        <w:numPr>
          <w:ilvl w:val="0"/>
          <w:numId w:val="7"/>
        </w:numPr>
        <w:spacing w:after="0"/>
        <w:jc w:val="both"/>
        <w:rPr>
          <w:rFonts w:ascii="Times New Roman" w:eastAsia="Calibri" w:hAnsi="Times New Roman" w:cs="Times New Roman"/>
          <w:bCs/>
          <w:i/>
          <w:iCs/>
        </w:rPr>
      </w:pPr>
      <w:r w:rsidRPr="001E47E5">
        <w:rPr>
          <w:rFonts w:ascii="Times New Roman" w:eastAsia="Calibri" w:hAnsi="Times New Roman" w:cs="Times New Roman"/>
          <w:bCs/>
          <w:i/>
          <w:iCs/>
        </w:rPr>
        <w:t>zmeny regulovaných cien, napríklad v oblasti telekomunikácií, energetiky, financií a iných</w:t>
      </w:r>
    </w:p>
    <w:p w14:paraId="47A4B2DA" w14:textId="77777777" w:rsidR="00142154" w:rsidRPr="001E47E5" w:rsidRDefault="00142154"/>
    <w:sectPr w:rsidR="00142154" w:rsidRPr="001E47E5" w:rsidSect="00231B8F">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FE6F" w14:textId="77777777" w:rsidR="00B703CD" w:rsidRDefault="00B703CD" w:rsidP="00054C41">
      <w:pPr>
        <w:spacing w:after="0" w:line="240" w:lineRule="auto"/>
      </w:pPr>
      <w:r>
        <w:separator/>
      </w:r>
    </w:p>
  </w:endnote>
  <w:endnote w:type="continuationSeparator" w:id="0">
    <w:p w14:paraId="5A929A3D" w14:textId="77777777" w:rsidR="00B703CD" w:rsidRDefault="00B703C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7214234" w:rsidR="00DE024B" w:rsidRPr="006045CB" w:rsidRDefault="00DE024B"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203FA7">
          <w:rPr>
            <w:rFonts w:ascii="Times New Roman" w:hAnsi="Times New Roman" w:cs="Times New Roman"/>
            <w:noProof/>
            <w:sz w:val="24"/>
            <w:szCs w:val="24"/>
          </w:rPr>
          <w:t>15</w:t>
        </w:r>
        <w:r w:rsidRPr="006045CB">
          <w:rPr>
            <w:rFonts w:ascii="Times New Roman" w:hAnsi="Times New Roman" w:cs="Times New Roman"/>
            <w:sz w:val="24"/>
            <w:szCs w:val="24"/>
          </w:rPr>
          <w:fldChar w:fldCharType="end"/>
        </w:r>
      </w:p>
    </w:sdtContent>
  </w:sdt>
  <w:p w14:paraId="4556761F" w14:textId="77777777" w:rsidR="00DE024B" w:rsidRPr="00FF7125" w:rsidRDefault="00DE024B" w:rsidP="00054C41">
    <w:pPr>
      <w:pStyle w:val="Pta"/>
      <w:rPr>
        <w:sz w:val="24"/>
        <w:szCs w:val="24"/>
      </w:rPr>
    </w:pPr>
  </w:p>
  <w:p w14:paraId="20FE6A4A" w14:textId="77777777" w:rsidR="00DE024B" w:rsidRDefault="00DE024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E2EC" w14:textId="6FA36BD3" w:rsidR="00DE024B" w:rsidRPr="008A23FF" w:rsidRDefault="00DE024B" w:rsidP="00DE024B">
    <w:pPr>
      <w:jc w:val="both"/>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5C3B0" w14:textId="77777777" w:rsidR="00B703CD" w:rsidRDefault="00B703CD" w:rsidP="00054C41">
      <w:pPr>
        <w:spacing w:after="0" w:line="240" w:lineRule="auto"/>
      </w:pPr>
      <w:r>
        <w:separator/>
      </w:r>
    </w:p>
  </w:footnote>
  <w:footnote w:type="continuationSeparator" w:id="0">
    <w:p w14:paraId="3F59612C" w14:textId="77777777" w:rsidR="00B703CD" w:rsidRDefault="00B703CD" w:rsidP="00054C41">
      <w:pPr>
        <w:spacing w:after="0" w:line="240" w:lineRule="auto"/>
      </w:pPr>
      <w:r>
        <w:continuationSeparator/>
      </w:r>
    </w:p>
  </w:footnote>
  <w:footnote w:id="1">
    <w:p w14:paraId="6CC680CB" w14:textId="6BF8CDC6" w:rsidR="00DE024B" w:rsidRPr="000A6B7F" w:rsidRDefault="00DE024B"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3BD7907B" w14:textId="596DA542" w:rsidR="00DE024B" w:rsidRDefault="00DE024B" w:rsidP="00655EB5">
      <w:pPr>
        <w:pStyle w:val="Textpoznmkypodiarou"/>
        <w:jc w:val="both"/>
      </w:pPr>
      <w:r>
        <w:rPr>
          <w:rStyle w:val="Odkaznapoznmkupodiarou"/>
        </w:rPr>
        <w:footnoteRef/>
      </w:r>
      <w:r>
        <w:t xml:space="preserve"> Prieskum sa týkal len malých a stredných podnikov, pre veľké podniky používame rovnaké podiely, ako pre stredné podniky, hoci je možné predpokladať, že situácia vo veľkých podnikoch je lepšia ako u stredne veľkých podnikov.</w:t>
      </w:r>
    </w:p>
  </w:footnote>
  <w:footnote w:id="3">
    <w:p w14:paraId="54283935" w14:textId="77777777" w:rsidR="00DE024B" w:rsidRPr="00A527B0" w:rsidRDefault="00DE024B" w:rsidP="00D422AF">
      <w:pPr>
        <w:pStyle w:val="Textpoznmkypodiarou"/>
        <w:rPr>
          <w:rFonts w:ascii="Arial" w:hAnsi="Arial" w:cs="Arial"/>
          <w:sz w:val="18"/>
          <w:szCs w:val="18"/>
        </w:rPr>
      </w:pPr>
      <w:r w:rsidRPr="00A527B0">
        <w:rPr>
          <w:rStyle w:val="Odkaznapoznmkupodiarou"/>
          <w:rFonts w:ascii="Arial" w:hAnsi="Arial" w:cs="Arial"/>
          <w:sz w:val="18"/>
          <w:szCs w:val="18"/>
        </w:rPr>
        <w:footnoteRef/>
      </w:r>
      <w:r w:rsidRPr="00A527B0">
        <w:rPr>
          <w:rFonts w:ascii="Arial" w:hAnsi="Arial" w:cs="Arial"/>
          <w:sz w:val="18"/>
          <w:szCs w:val="18"/>
        </w:rPr>
        <w:t xml:space="preserve"> https://eur-lex.europa.eu/legal-content/SK/TXT/HTML/?uri=CELEX:52020PC0823#footnote8</w:t>
      </w:r>
    </w:p>
  </w:footnote>
  <w:footnote w:id="4">
    <w:p w14:paraId="4A12BE02" w14:textId="3B9C48E8" w:rsidR="00DE024B" w:rsidRPr="005A54DC" w:rsidRDefault="00DE024B" w:rsidP="00E812C3">
      <w:pPr>
        <w:pStyle w:val="Textpoznmkypodiarou"/>
        <w:jc w:val="both"/>
        <w:rPr>
          <w:rFonts w:ascii="Arial" w:hAnsi="Arial" w:cs="Arial"/>
          <w:sz w:val="18"/>
          <w:szCs w:val="18"/>
        </w:rPr>
      </w:pPr>
      <w:r w:rsidRPr="005A54DC">
        <w:rPr>
          <w:rStyle w:val="Odkaznapoznmkupodiarou"/>
          <w:rFonts w:ascii="Arial" w:hAnsi="Arial" w:cs="Arial"/>
          <w:sz w:val="18"/>
          <w:szCs w:val="18"/>
        </w:rPr>
        <w:footnoteRef/>
      </w:r>
      <w:r w:rsidRPr="005A54DC">
        <w:rPr>
          <w:rFonts w:ascii="Arial" w:hAnsi="Arial" w:cs="Arial"/>
          <w:sz w:val="18"/>
          <w:szCs w:val="18"/>
        </w:rPr>
        <w:t xml:space="preserve"> Na celoeurópskej úrovni sa v</w:t>
      </w:r>
      <w:r w:rsidRPr="005A54DC">
        <w:rPr>
          <w:rFonts w:ascii="Arial" w:hAnsi="Arial" w:cs="Arial"/>
          <w:bCs/>
          <w:iCs/>
          <w:noProof/>
          <w:sz w:val="18"/>
          <w:szCs w:val="18"/>
        </w:rPr>
        <w:t xml:space="preserve"> prieskume zameranom na OES a DSP, ktorý sa uskutočnil v rámci revíznej štúdie NIS, sa obe kategórie respondentov domnievali, že najvýznamnejšie náklady na dodržiavanie predpisov vyplývajúce z povinností </w:t>
      </w:r>
      <w:r w:rsidR="009544BD">
        <w:rPr>
          <w:rFonts w:ascii="Arial" w:hAnsi="Arial" w:cs="Arial"/>
          <w:bCs/>
          <w:iCs/>
          <w:noProof/>
          <w:sz w:val="18"/>
          <w:szCs w:val="18"/>
        </w:rPr>
        <w:t>NIS 2</w:t>
      </w:r>
      <w:r w:rsidRPr="005A54DC">
        <w:rPr>
          <w:rFonts w:ascii="Arial" w:hAnsi="Arial" w:cs="Arial"/>
          <w:bCs/>
          <w:iCs/>
          <w:noProof/>
          <w:sz w:val="18"/>
          <w:szCs w:val="18"/>
        </w:rPr>
        <w:t xml:space="preserve"> sú tie, ktoré sa týkajú opatrení na riadenie rizík a prevencie a zmierňovania vplyvu incidentov.  Menej respondentov považovalo za významné náklady na dodržiavanie súladu, ktoré vznikli v súvislosti s oznamovaním incidentov (vrátane cezhraničných). Len 37 % respondentov z radov OES a 22 % respondentov z radov DSP sa domnieva, že ich ovplyvnili dodatočné bezpečnostné požiadavky zavedené smernicou NIS.</w:t>
      </w:r>
    </w:p>
  </w:footnote>
  <w:footnote w:id="5">
    <w:p w14:paraId="1647D7DF" w14:textId="77777777" w:rsidR="00DE024B" w:rsidRPr="00804BC8" w:rsidRDefault="00DE024B"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DE024B" w:rsidRDefault="00DE024B" w:rsidP="00512BA7">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DE024B" w:rsidRPr="006045CB" w:rsidRDefault="00DE024B"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DE024B" w:rsidRPr="006045CB" w:rsidRDefault="00DE024B" w:rsidP="00142154">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AB4A" w14:textId="4255C640" w:rsidR="00DE024B" w:rsidRDefault="00DE02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4433A8"/>
    <w:multiLevelType w:val="hybridMultilevel"/>
    <w:tmpl w:val="F0105B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553839"/>
    <w:multiLevelType w:val="hybridMultilevel"/>
    <w:tmpl w:val="485A0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4835B0"/>
    <w:multiLevelType w:val="hybridMultilevel"/>
    <w:tmpl w:val="B89CE1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91DC8"/>
    <w:multiLevelType w:val="hybridMultilevel"/>
    <w:tmpl w:val="89B08E92"/>
    <w:lvl w:ilvl="0" w:tplc="08090005">
      <w:start w:val="1"/>
      <w:numFmt w:val="bullet"/>
      <w:lvlText w:val=""/>
      <w:lvlJc w:val="left"/>
      <w:pPr>
        <w:ind w:left="1570" w:hanging="360"/>
      </w:pPr>
      <w:rPr>
        <w:rFonts w:ascii="Wingdings" w:hAnsi="Wingding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15:restartNumberingAfterBreak="0">
    <w:nsid w:val="3A190D0E"/>
    <w:multiLevelType w:val="multilevel"/>
    <w:tmpl w:val="28D84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1840016"/>
    <w:multiLevelType w:val="hybridMultilevel"/>
    <w:tmpl w:val="45986648"/>
    <w:lvl w:ilvl="0" w:tplc="3A88005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445F"/>
    <w:multiLevelType w:val="hybridMultilevel"/>
    <w:tmpl w:val="6156A2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BD1627"/>
    <w:multiLevelType w:val="multilevel"/>
    <w:tmpl w:val="A63A7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1BA4B9C"/>
    <w:multiLevelType w:val="hybridMultilevel"/>
    <w:tmpl w:val="745421F6"/>
    <w:lvl w:ilvl="0" w:tplc="4DE0210E">
      <w:start w:val="26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5353F59"/>
    <w:multiLevelType w:val="hybridMultilevel"/>
    <w:tmpl w:val="80AA960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8"/>
  </w:num>
  <w:num w:numId="3">
    <w:abstractNumId w:val="20"/>
  </w:num>
  <w:num w:numId="4">
    <w:abstractNumId w:val="17"/>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10"/>
  </w:num>
  <w:num w:numId="12">
    <w:abstractNumId w:val="0"/>
  </w:num>
  <w:num w:numId="13">
    <w:abstractNumId w:val="22"/>
  </w:num>
  <w:num w:numId="14">
    <w:abstractNumId w:val="13"/>
  </w:num>
  <w:num w:numId="15">
    <w:abstractNumId w:val="6"/>
  </w:num>
  <w:num w:numId="16">
    <w:abstractNumId w:val="7"/>
  </w:num>
  <w:num w:numId="17">
    <w:abstractNumId w:val="4"/>
  </w:num>
  <w:num w:numId="18">
    <w:abstractNumId w:val="1"/>
  </w:num>
  <w:num w:numId="19">
    <w:abstractNumId w:val="15"/>
  </w:num>
  <w:num w:numId="20">
    <w:abstractNumId w:val="9"/>
  </w:num>
  <w:num w:numId="21">
    <w:abstractNumId w:val="8"/>
  </w:num>
  <w:num w:numId="22">
    <w:abstractNumId w:val="19"/>
  </w:num>
  <w:num w:numId="23">
    <w:abstractNumId w:val="11"/>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04EF"/>
    <w:rsid w:val="0002425A"/>
    <w:rsid w:val="00024EE4"/>
    <w:rsid w:val="00047C70"/>
    <w:rsid w:val="00050AAB"/>
    <w:rsid w:val="00054A53"/>
    <w:rsid w:val="00054C41"/>
    <w:rsid w:val="00060DA1"/>
    <w:rsid w:val="00061E85"/>
    <w:rsid w:val="000820E0"/>
    <w:rsid w:val="00091A43"/>
    <w:rsid w:val="0009490E"/>
    <w:rsid w:val="000A1753"/>
    <w:rsid w:val="000A6B7F"/>
    <w:rsid w:val="000B0745"/>
    <w:rsid w:val="000C5419"/>
    <w:rsid w:val="000C5E9A"/>
    <w:rsid w:val="000D15F0"/>
    <w:rsid w:val="000D397E"/>
    <w:rsid w:val="0011003B"/>
    <w:rsid w:val="001133DA"/>
    <w:rsid w:val="00122F04"/>
    <w:rsid w:val="00126A2B"/>
    <w:rsid w:val="00142154"/>
    <w:rsid w:val="0014695A"/>
    <w:rsid w:val="001476A4"/>
    <w:rsid w:val="00162C6C"/>
    <w:rsid w:val="0016512E"/>
    <w:rsid w:val="0018715C"/>
    <w:rsid w:val="001A1561"/>
    <w:rsid w:val="001A2F50"/>
    <w:rsid w:val="001A4738"/>
    <w:rsid w:val="001B4C03"/>
    <w:rsid w:val="001C7B91"/>
    <w:rsid w:val="001D1083"/>
    <w:rsid w:val="001D3FA0"/>
    <w:rsid w:val="001E24E8"/>
    <w:rsid w:val="001E47E5"/>
    <w:rsid w:val="001E53CB"/>
    <w:rsid w:val="001F1F55"/>
    <w:rsid w:val="001F2E4A"/>
    <w:rsid w:val="00203FA7"/>
    <w:rsid w:val="00207F43"/>
    <w:rsid w:val="002228DF"/>
    <w:rsid w:val="002232D3"/>
    <w:rsid w:val="00225A83"/>
    <w:rsid w:val="00231B8F"/>
    <w:rsid w:val="00237C3F"/>
    <w:rsid w:val="00242D45"/>
    <w:rsid w:val="00252F5C"/>
    <w:rsid w:val="00260E02"/>
    <w:rsid w:val="00270EA5"/>
    <w:rsid w:val="002712B9"/>
    <w:rsid w:val="00284B8C"/>
    <w:rsid w:val="0029483F"/>
    <w:rsid w:val="002A52A5"/>
    <w:rsid w:val="002C2FC0"/>
    <w:rsid w:val="002C30D5"/>
    <w:rsid w:val="002C3879"/>
    <w:rsid w:val="002E34D6"/>
    <w:rsid w:val="00302A17"/>
    <w:rsid w:val="00314D25"/>
    <w:rsid w:val="00315BE2"/>
    <w:rsid w:val="003322EE"/>
    <w:rsid w:val="00337630"/>
    <w:rsid w:val="00340CFD"/>
    <w:rsid w:val="003413D5"/>
    <w:rsid w:val="00342621"/>
    <w:rsid w:val="00346D0F"/>
    <w:rsid w:val="00346D89"/>
    <w:rsid w:val="00354F1A"/>
    <w:rsid w:val="00357F22"/>
    <w:rsid w:val="0036748D"/>
    <w:rsid w:val="00376039"/>
    <w:rsid w:val="00381341"/>
    <w:rsid w:val="003818F8"/>
    <w:rsid w:val="0038255E"/>
    <w:rsid w:val="00391648"/>
    <w:rsid w:val="0039304E"/>
    <w:rsid w:val="0039334E"/>
    <w:rsid w:val="00393441"/>
    <w:rsid w:val="00394AD2"/>
    <w:rsid w:val="003A02AF"/>
    <w:rsid w:val="003A3124"/>
    <w:rsid w:val="003A678E"/>
    <w:rsid w:val="003A686F"/>
    <w:rsid w:val="003A6CDD"/>
    <w:rsid w:val="003C1EB2"/>
    <w:rsid w:val="003E39C9"/>
    <w:rsid w:val="003E58B8"/>
    <w:rsid w:val="003F06D7"/>
    <w:rsid w:val="003F1508"/>
    <w:rsid w:val="00400224"/>
    <w:rsid w:val="00400BA5"/>
    <w:rsid w:val="00410E62"/>
    <w:rsid w:val="00414FA7"/>
    <w:rsid w:val="00420090"/>
    <w:rsid w:val="00420C40"/>
    <w:rsid w:val="004239D1"/>
    <w:rsid w:val="00445638"/>
    <w:rsid w:val="00446432"/>
    <w:rsid w:val="00446512"/>
    <w:rsid w:val="00457CBE"/>
    <w:rsid w:val="00466D7A"/>
    <w:rsid w:val="00467FDD"/>
    <w:rsid w:val="0048237B"/>
    <w:rsid w:val="00484D16"/>
    <w:rsid w:val="00491853"/>
    <w:rsid w:val="004A14CD"/>
    <w:rsid w:val="004A2C6B"/>
    <w:rsid w:val="004C4FF0"/>
    <w:rsid w:val="004D20CB"/>
    <w:rsid w:val="004D2403"/>
    <w:rsid w:val="004D65B2"/>
    <w:rsid w:val="004D681D"/>
    <w:rsid w:val="004D6EE7"/>
    <w:rsid w:val="004E2324"/>
    <w:rsid w:val="004F63E6"/>
    <w:rsid w:val="00506555"/>
    <w:rsid w:val="005103DA"/>
    <w:rsid w:val="00511F8F"/>
    <w:rsid w:val="00512BA7"/>
    <w:rsid w:val="00515726"/>
    <w:rsid w:val="00524EAB"/>
    <w:rsid w:val="005401B1"/>
    <w:rsid w:val="00562527"/>
    <w:rsid w:val="00562A1E"/>
    <w:rsid w:val="00563427"/>
    <w:rsid w:val="00581B10"/>
    <w:rsid w:val="00581EB9"/>
    <w:rsid w:val="005A2A4C"/>
    <w:rsid w:val="005A349A"/>
    <w:rsid w:val="005B4E6E"/>
    <w:rsid w:val="005B56E4"/>
    <w:rsid w:val="005C795C"/>
    <w:rsid w:val="005D0E50"/>
    <w:rsid w:val="005D39D8"/>
    <w:rsid w:val="006062B2"/>
    <w:rsid w:val="0061097B"/>
    <w:rsid w:val="0061612F"/>
    <w:rsid w:val="00616382"/>
    <w:rsid w:val="006177C8"/>
    <w:rsid w:val="0062600A"/>
    <w:rsid w:val="0063777D"/>
    <w:rsid w:val="00643358"/>
    <w:rsid w:val="00646084"/>
    <w:rsid w:val="0065353C"/>
    <w:rsid w:val="00653D26"/>
    <w:rsid w:val="00655EB5"/>
    <w:rsid w:val="006564C3"/>
    <w:rsid w:val="006578CB"/>
    <w:rsid w:val="00660454"/>
    <w:rsid w:val="0068367D"/>
    <w:rsid w:val="006A4E85"/>
    <w:rsid w:val="006A60C0"/>
    <w:rsid w:val="006A712F"/>
    <w:rsid w:val="006B5D74"/>
    <w:rsid w:val="006C25BE"/>
    <w:rsid w:val="006D00C3"/>
    <w:rsid w:val="006D34EC"/>
    <w:rsid w:val="006D7AD8"/>
    <w:rsid w:val="006E3BCF"/>
    <w:rsid w:val="006F1D57"/>
    <w:rsid w:val="0070364C"/>
    <w:rsid w:val="00704B55"/>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D022C"/>
    <w:rsid w:val="007D3FA3"/>
    <w:rsid w:val="007E24B2"/>
    <w:rsid w:val="007E2DA4"/>
    <w:rsid w:val="007E31AB"/>
    <w:rsid w:val="007E6815"/>
    <w:rsid w:val="007E7632"/>
    <w:rsid w:val="007F019C"/>
    <w:rsid w:val="007F1C84"/>
    <w:rsid w:val="007F4579"/>
    <w:rsid w:val="007F7B3A"/>
    <w:rsid w:val="00801596"/>
    <w:rsid w:val="00804BC8"/>
    <w:rsid w:val="00806E23"/>
    <w:rsid w:val="00807981"/>
    <w:rsid w:val="00821AFD"/>
    <w:rsid w:val="00823F5A"/>
    <w:rsid w:val="00825192"/>
    <w:rsid w:val="00845D3B"/>
    <w:rsid w:val="008548BB"/>
    <w:rsid w:val="008634E9"/>
    <w:rsid w:val="008801B5"/>
    <w:rsid w:val="00880578"/>
    <w:rsid w:val="00882407"/>
    <w:rsid w:val="008920C3"/>
    <w:rsid w:val="00894052"/>
    <w:rsid w:val="008A7B87"/>
    <w:rsid w:val="008B4AA1"/>
    <w:rsid w:val="008B7A38"/>
    <w:rsid w:val="008C1C71"/>
    <w:rsid w:val="008E1AD0"/>
    <w:rsid w:val="008E315F"/>
    <w:rsid w:val="008E6B82"/>
    <w:rsid w:val="008F571D"/>
    <w:rsid w:val="008F6ADE"/>
    <w:rsid w:val="0091269B"/>
    <w:rsid w:val="00923C0C"/>
    <w:rsid w:val="00925C80"/>
    <w:rsid w:val="009455D1"/>
    <w:rsid w:val="0095170D"/>
    <w:rsid w:val="00952CF6"/>
    <w:rsid w:val="009544BD"/>
    <w:rsid w:val="00960413"/>
    <w:rsid w:val="00981995"/>
    <w:rsid w:val="00981C7F"/>
    <w:rsid w:val="00985515"/>
    <w:rsid w:val="00990813"/>
    <w:rsid w:val="00993901"/>
    <w:rsid w:val="0099544D"/>
    <w:rsid w:val="00997513"/>
    <w:rsid w:val="00997A0A"/>
    <w:rsid w:val="009A0E2C"/>
    <w:rsid w:val="009A174D"/>
    <w:rsid w:val="009A4D56"/>
    <w:rsid w:val="009B1F04"/>
    <w:rsid w:val="009B3E99"/>
    <w:rsid w:val="009E09F7"/>
    <w:rsid w:val="009E2D5C"/>
    <w:rsid w:val="009E3E44"/>
    <w:rsid w:val="009F4175"/>
    <w:rsid w:val="009F539F"/>
    <w:rsid w:val="009F66A4"/>
    <w:rsid w:val="009F6C80"/>
    <w:rsid w:val="009F7D5B"/>
    <w:rsid w:val="00A000DA"/>
    <w:rsid w:val="00A1736E"/>
    <w:rsid w:val="00A216DF"/>
    <w:rsid w:val="00A2779E"/>
    <w:rsid w:val="00A33F2C"/>
    <w:rsid w:val="00A50EE3"/>
    <w:rsid w:val="00A513CD"/>
    <w:rsid w:val="00A52065"/>
    <w:rsid w:val="00A5564C"/>
    <w:rsid w:val="00A83E11"/>
    <w:rsid w:val="00A93C32"/>
    <w:rsid w:val="00A94A0F"/>
    <w:rsid w:val="00AA3C6D"/>
    <w:rsid w:val="00AB57C4"/>
    <w:rsid w:val="00AC1150"/>
    <w:rsid w:val="00B11CF5"/>
    <w:rsid w:val="00B1283B"/>
    <w:rsid w:val="00B173AB"/>
    <w:rsid w:val="00B209FA"/>
    <w:rsid w:val="00B21D1F"/>
    <w:rsid w:val="00B410BA"/>
    <w:rsid w:val="00B429FD"/>
    <w:rsid w:val="00B4368F"/>
    <w:rsid w:val="00B43D68"/>
    <w:rsid w:val="00B44A3A"/>
    <w:rsid w:val="00B5600C"/>
    <w:rsid w:val="00B66E33"/>
    <w:rsid w:val="00B703CD"/>
    <w:rsid w:val="00B72FB1"/>
    <w:rsid w:val="00B87F10"/>
    <w:rsid w:val="00B91AAF"/>
    <w:rsid w:val="00B953DA"/>
    <w:rsid w:val="00BA19B0"/>
    <w:rsid w:val="00BA3E88"/>
    <w:rsid w:val="00BB3870"/>
    <w:rsid w:val="00BB45A7"/>
    <w:rsid w:val="00BC225E"/>
    <w:rsid w:val="00BC438F"/>
    <w:rsid w:val="00BD0EF7"/>
    <w:rsid w:val="00BD350F"/>
    <w:rsid w:val="00BD6778"/>
    <w:rsid w:val="00BD7DDB"/>
    <w:rsid w:val="00BD7E59"/>
    <w:rsid w:val="00C01599"/>
    <w:rsid w:val="00C048D1"/>
    <w:rsid w:val="00C05563"/>
    <w:rsid w:val="00C11132"/>
    <w:rsid w:val="00C115B9"/>
    <w:rsid w:val="00C12FDD"/>
    <w:rsid w:val="00C14281"/>
    <w:rsid w:val="00C145AA"/>
    <w:rsid w:val="00C14655"/>
    <w:rsid w:val="00C14917"/>
    <w:rsid w:val="00C21399"/>
    <w:rsid w:val="00C446E2"/>
    <w:rsid w:val="00C535F5"/>
    <w:rsid w:val="00C560C4"/>
    <w:rsid w:val="00C6748F"/>
    <w:rsid w:val="00C72367"/>
    <w:rsid w:val="00C74337"/>
    <w:rsid w:val="00C75DC8"/>
    <w:rsid w:val="00C85ED2"/>
    <w:rsid w:val="00C929AE"/>
    <w:rsid w:val="00CA4344"/>
    <w:rsid w:val="00CA6348"/>
    <w:rsid w:val="00CA64E4"/>
    <w:rsid w:val="00CB1232"/>
    <w:rsid w:val="00CB17A0"/>
    <w:rsid w:val="00CC3B7D"/>
    <w:rsid w:val="00CD5AE4"/>
    <w:rsid w:val="00CD5E86"/>
    <w:rsid w:val="00CE3B21"/>
    <w:rsid w:val="00CF4D09"/>
    <w:rsid w:val="00D005F2"/>
    <w:rsid w:val="00D02E1B"/>
    <w:rsid w:val="00D03A8E"/>
    <w:rsid w:val="00D03E63"/>
    <w:rsid w:val="00D114ED"/>
    <w:rsid w:val="00D3032C"/>
    <w:rsid w:val="00D3174B"/>
    <w:rsid w:val="00D31A3B"/>
    <w:rsid w:val="00D342C6"/>
    <w:rsid w:val="00D34CA1"/>
    <w:rsid w:val="00D422AF"/>
    <w:rsid w:val="00D5309D"/>
    <w:rsid w:val="00D631FA"/>
    <w:rsid w:val="00D71064"/>
    <w:rsid w:val="00D730C6"/>
    <w:rsid w:val="00D811BB"/>
    <w:rsid w:val="00D82356"/>
    <w:rsid w:val="00D84EEE"/>
    <w:rsid w:val="00D90A61"/>
    <w:rsid w:val="00D92472"/>
    <w:rsid w:val="00D946EF"/>
    <w:rsid w:val="00D95553"/>
    <w:rsid w:val="00DC2165"/>
    <w:rsid w:val="00DC355F"/>
    <w:rsid w:val="00DD1E4C"/>
    <w:rsid w:val="00DD223B"/>
    <w:rsid w:val="00DE024B"/>
    <w:rsid w:val="00DE331A"/>
    <w:rsid w:val="00DE6ACB"/>
    <w:rsid w:val="00DF02CE"/>
    <w:rsid w:val="00DF1462"/>
    <w:rsid w:val="00E00CF2"/>
    <w:rsid w:val="00E030DA"/>
    <w:rsid w:val="00E20F7D"/>
    <w:rsid w:val="00E214C0"/>
    <w:rsid w:val="00E22F8D"/>
    <w:rsid w:val="00E30D85"/>
    <w:rsid w:val="00E444EB"/>
    <w:rsid w:val="00E77A69"/>
    <w:rsid w:val="00E812C3"/>
    <w:rsid w:val="00E81A42"/>
    <w:rsid w:val="00E961E8"/>
    <w:rsid w:val="00E96244"/>
    <w:rsid w:val="00E96DE0"/>
    <w:rsid w:val="00EB2BEC"/>
    <w:rsid w:val="00EB74BF"/>
    <w:rsid w:val="00EC0704"/>
    <w:rsid w:val="00EC1189"/>
    <w:rsid w:val="00EC508B"/>
    <w:rsid w:val="00ED6B5D"/>
    <w:rsid w:val="00EE03E0"/>
    <w:rsid w:val="00EE4C99"/>
    <w:rsid w:val="00EF08E0"/>
    <w:rsid w:val="00EF3642"/>
    <w:rsid w:val="00F153D7"/>
    <w:rsid w:val="00F1599C"/>
    <w:rsid w:val="00F2433F"/>
    <w:rsid w:val="00F244DC"/>
    <w:rsid w:val="00F31C80"/>
    <w:rsid w:val="00F33503"/>
    <w:rsid w:val="00F35D5B"/>
    <w:rsid w:val="00F378F4"/>
    <w:rsid w:val="00F47912"/>
    <w:rsid w:val="00F47D02"/>
    <w:rsid w:val="00F541B6"/>
    <w:rsid w:val="00F57702"/>
    <w:rsid w:val="00F61361"/>
    <w:rsid w:val="00F613E8"/>
    <w:rsid w:val="00F74D3C"/>
    <w:rsid w:val="00F74FC9"/>
    <w:rsid w:val="00F86789"/>
    <w:rsid w:val="00F91F47"/>
    <w:rsid w:val="00FA4F36"/>
    <w:rsid w:val="00FA6FFE"/>
    <w:rsid w:val="00FC121B"/>
    <w:rsid w:val="00FD3DFB"/>
    <w:rsid w:val="00FE245E"/>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paragraph" w:styleId="Nadpis2">
    <w:name w:val="heading 2"/>
    <w:basedOn w:val="Normlny"/>
    <w:next w:val="Normlny"/>
    <w:link w:val="Nadpis2Char"/>
    <w:uiPriority w:val="99"/>
    <w:unhideWhenUsed/>
    <w:qFormat/>
    <w:rsid w:val="001A4738"/>
    <w:pPr>
      <w:keepNext/>
      <w:autoSpaceDE w:val="0"/>
      <w:autoSpaceDN w:val="0"/>
      <w:spacing w:after="0" w:line="240" w:lineRule="auto"/>
      <w:jc w:val="center"/>
      <w:outlineLvl w:val="1"/>
    </w:pPr>
    <w:rPr>
      <w:rFonts w:ascii="Times New Roman" w:eastAsia="Times New Roman" w:hAnsi="Times New Roman" w:cs="Times New Roman"/>
      <w:sz w:val="24"/>
      <w:szCs w:val="24"/>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diel,List Paragraph_Sections,1st level - Bullet List Paragraph,Lettre d'introduction,List Paragraph1,Medium Grid 1 - Accent 21,Bullet OFM,List Paragraph (numbered (a)),Bullet List,Normal bullet 2,Bullet list,Numbered List,Paragraphe EI,EC"/>
    <w:basedOn w:val="Normlny"/>
    <w:link w:val="OdsekzoznamuChar"/>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aliases w:val="Schriftart: 9 pt,Schriftart: 10 pt,Schriftart: 8 pt,Podrozdział,Footnote,o,Footnote text,NBP,fn,WB-Fußnot,Text poznámky pod čiarou 007,_Poznámka pod čiarou,Footnote Text Char Char,Fo Char Char,Fotnot Char Cha,stile 1,ft"/>
    <w:basedOn w:val="Normlny"/>
    <w:link w:val="TextpoznmkypodiarouChar"/>
    <w:uiPriority w:val="99"/>
    <w:unhideWhenUsed/>
    <w:qFormat/>
    <w:rsid w:val="00C929AE"/>
    <w:pPr>
      <w:spacing w:after="0" w:line="240" w:lineRule="auto"/>
    </w:pPr>
    <w:rPr>
      <w:sz w:val="20"/>
      <w:szCs w:val="20"/>
    </w:rPr>
  </w:style>
  <w:style w:type="character" w:customStyle="1" w:styleId="TextpoznmkypodiarouChar">
    <w:name w:val="Text poznámky pod čiarou Char"/>
    <w:aliases w:val="Schriftart: 9 pt Char,Schriftart: 10 pt Char,Schriftart: 8 pt Char,Podrozdział Char,Footnote Char,o Char,Footnote text Char,NBP Char,fn Char,WB-Fußnot Char,Text poznámky pod čiarou 007 Char,_Poznámka pod čiarou Char,ft Char"/>
    <w:basedOn w:val="Predvolenpsmoodseku"/>
    <w:link w:val="Textpoznmkypodiarou"/>
    <w:uiPriority w:val="99"/>
    <w:qFormat/>
    <w:rsid w:val="00C929AE"/>
    <w:rPr>
      <w:sz w:val="20"/>
      <w:szCs w:val="20"/>
    </w:rPr>
  </w:style>
  <w:style w:type="character" w:styleId="Odkaznapoznmkupodiarou">
    <w:name w:val="footnote reference"/>
    <w:aliases w:val="Footnote symbol,Footnote number,fr,Footnotemark,FR,Footnotemark1,Footnotemark2,FR1,Footnotemark3,FR2,Footnotemark4,FR3,Footnotemark5,FR4,Footnotemark6,Footnotemark7,Footnotemark8,FR5,Footnotemark11,Footnotemark21,FR11,Nota"/>
    <w:basedOn w:val="Predvolenpsmoodseku"/>
    <w:link w:val="FootnotesymbolCarZchn"/>
    <w:uiPriority w:val="99"/>
    <w:unhideWhenUsed/>
    <w:qFormat/>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65353C"/>
    <w:rPr>
      <w:color w:val="0000FF"/>
      <w:u w:val="single"/>
    </w:rPr>
  </w:style>
  <w:style w:type="character" w:customStyle="1" w:styleId="UnresolvedMention">
    <w:name w:val="Unresolved Mention"/>
    <w:basedOn w:val="Predvolenpsmoodseku"/>
    <w:uiPriority w:val="99"/>
    <w:semiHidden/>
    <w:unhideWhenUsed/>
    <w:rsid w:val="00B4368F"/>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qFormat/>
    <w:rsid w:val="00D422AF"/>
    <w:pPr>
      <w:spacing w:line="240" w:lineRule="exact"/>
      <w:jc w:val="both"/>
    </w:pPr>
    <w:rPr>
      <w:vertAlign w:val="superscript"/>
    </w:rPr>
  </w:style>
  <w:style w:type="character" w:customStyle="1" w:styleId="OdsekzoznamuChar">
    <w:name w:val="Odsek zoznamu Char"/>
    <w:aliases w:val="diel Char,List Paragraph_Sections Char,1st level - Bullet List Paragraph Char,Lettre d'introduction Char,List Paragraph1 Char,Medium Grid 1 - Accent 21 Char,Bullet OFM Char,List Paragraph (numbered (a)) Char,Bullet List Char,EC Char"/>
    <w:basedOn w:val="Predvolenpsmoodseku"/>
    <w:link w:val="Odsekzoznamu"/>
    <w:uiPriority w:val="34"/>
    <w:qFormat/>
    <w:rsid w:val="00D422AF"/>
  </w:style>
  <w:style w:type="paragraph" w:customStyle="1" w:styleId="Normal1">
    <w:name w:val="Normal1"/>
    <w:basedOn w:val="Normlny"/>
    <w:rsid w:val="00D422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
    <w:name w:val="li"/>
    <w:basedOn w:val="Normlny"/>
    <w:rsid w:val="00D42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redvolenpsmoodseku"/>
    <w:rsid w:val="00D422AF"/>
  </w:style>
  <w:style w:type="character" w:customStyle="1" w:styleId="Nadpis2Char">
    <w:name w:val="Nadpis 2 Char"/>
    <w:basedOn w:val="Predvolenpsmoodseku"/>
    <w:link w:val="Nadpis2"/>
    <w:uiPriority w:val="99"/>
    <w:rsid w:val="001A4738"/>
    <w:rPr>
      <w:rFonts w:ascii="Times New Roman" w:eastAsia="Times New Roman" w:hAnsi="Times New Roman" w:cs="Times New Roman"/>
      <w:sz w:val="24"/>
      <w:szCs w:val="24"/>
      <w:lang w:val="x-none" w:eastAsia="sk-SK"/>
    </w:rPr>
  </w:style>
  <w:style w:type="table" w:customStyle="1" w:styleId="CV11">
    <w:name w:val="CV11"/>
    <w:basedOn w:val="Normlnatabuka"/>
    <w:next w:val="Mriekatabuky"/>
    <w:uiPriority w:val="39"/>
    <w:rsid w:val="001A473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Normlnatabuka"/>
    <w:next w:val="Mriekatabuky"/>
    <w:uiPriority w:val="39"/>
    <w:rsid w:val="001A473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ny"/>
    <w:rsid w:val="001A4738"/>
    <w:pPr>
      <w:autoSpaceDE w:val="0"/>
      <w:autoSpaceDN w:val="0"/>
      <w:spacing w:after="0" w:line="240" w:lineRule="auto"/>
    </w:pPr>
    <w:rPr>
      <w:rFonts w:ascii="Arial" w:eastAsia="Times New Roman" w:hAnsi="Arial" w:cs="Arial"/>
      <w:b/>
      <w:i/>
      <w:sz w:val="24"/>
      <w:szCs w:val="20"/>
      <w:highlight w:val="yellow"/>
      <w:lang w:val="sk" w:eastAsia="en-GB"/>
    </w:rPr>
  </w:style>
  <w:style w:type="paragraph" w:customStyle="1" w:styleId="P68B1DB1-Normal2">
    <w:name w:val="P68B1DB1-Normal2"/>
    <w:basedOn w:val="Normlny"/>
    <w:rsid w:val="001A4738"/>
    <w:pPr>
      <w:autoSpaceDE w:val="0"/>
      <w:autoSpaceDN w:val="0"/>
      <w:spacing w:after="0" w:line="240" w:lineRule="auto"/>
    </w:pPr>
    <w:rPr>
      <w:rFonts w:ascii="Arial" w:eastAsia="Times New Roman" w:hAnsi="Arial" w:cs="Arial"/>
      <w:color w:val="000000" w:themeColor="text1"/>
      <w:sz w:val="24"/>
      <w:szCs w:val="20"/>
      <w:highlight w:val="yellow"/>
      <w:lang w:val="sk" w:eastAsia="en-GB"/>
    </w:rPr>
  </w:style>
  <w:style w:type="paragraph" w:customStyle="1" w:styleId="P68B1DB1-Normal3">
    <w:name w:val="P68B1DB1-Normal3"/>
    <w:basedOn w:val="Normlny"/>
    <w:rsid w:val="001A4738"/>
    <w:pPr>
      <w:autoSpaceDE w:val="0"/>
      <w:autoSpaceDN w:val="0"/>
      <w:spacing w:after="0" w:line="240" w:lineRule="auto"/>
    </w:pPr>
    <w:rPr>
      <w:rFonts w:ascii="Arial" w:eastAsia="Times New Roman" w:hAnsi="Arial" w:cs="Arial"/>
      <w:sz w:val="24"/>
      <w:szCs w:val="20"/>
      <w:highlight w:val="yellow"/>
      <w:lang w:val="sk" w:eastAsia="en-GB"/>
    </w:rPr>
  </w:style>
  <w:style w:type="paragraph" w:customStyle="1" w:styleId="P68B1DB1-ListBullet4">
    <w:name w:val="P68B1DB1-ListBullet4"/>
    <w:basedOn w:val="Zoznamsodrkami"/>
    <w:rsid w:val="001A4738"/>
    <w:pPr>
      <w:numPr>
        <w:numId w:val="0"/>
      </w:numPr>
      <w:tabs>
        <w:tab w:val="num" w:pos="283"/>
      </w:tabs>
      <w:spacing w:after="240" w:line="240" w:lineRule="auto"/>
      <w:ind w:left="283" w:hanging="283"/>
      <w:contextualSpacing w:val="0"/>
      <w:jc w:val="both"/>
    </w:pPr>
    <w:rPr>
      <w:rFonts w:ascii="Arial" w:eastAsia="Times New Roman" w:hAnsi="Arial" w:cs="Arial"/>
      <w:sz w:val="24"/>
      <w:szCs w:val="20"/>
      <w:highlight w:val="yellow"/>
      <w:lang w:val="sk" w:eastAsia="en-GB"/>
    </w:rPr>
  </w:style>
  <w:style w:type="paragraph" w:customStyle="1" w:styleId="P68B1DB1-Normal5">
    <w:name w:val="P68B1DB1-Normal5"/>
    <w:basedOn w:val="Normlny"/>
    <w:rsid w:val="001A4738"/>
    <w:pPr>
      <w:autoSpaceDE w:val="0"/>
      <w:autoSpaceDN w:val="0"/>
      <w:spacing w:after="0" w:line="240" w:lineRule="auto"/>
    </w:pPr>
    <w:rPr>
      <w:rFonts w:ascii="Arial" w:eastAsia="Times New Roman" w:hAnsi="Arial" w:cs="Arial"/>
      <w:b/>
      <w:sz w:val="24"/>
      <w:szCs w:val="20"/>
      <w:highlight w:val="yellow"/>
      <w:lang w:val="sk" w:eastAsia="en-GB"/>
    </w:rPr>
  </w:style>
  <w:style w:type="paragraph" w:customStyle="1" w:styleId="P68B1DB1-Normal6">
    <w:name w:val="P68B1DB1-Normal6"/>
    <w:basedOn w:val="Normlny"/>
    <w:rsid w:val="001A4738"/>
    <w:pPr>
      <w:autoSpaceDE w:val="0"/>
      <w:autoSpaceDN w:val="0"/>
      <w:spacing w:after="0" w:line="240" w:lineRule="auto"/>
    </w:pPr>
    <w:rPr>
      <w:rFonts w:ascii="Arial" w:eastAsia="Times New Roman" w:hAnsi="Arial" w:cs="Arial"/>
      <w:i/>
      <w:sz w:val="24"/>
      <w:szCs w:val="20"/>
      <w:highlight w:val="yellow"/>
      <w:lang w:val="sk" w:eastAsia="en-GB"/>
    </w:rPr>
  </w:style>
  <w:style w:type="paragraph" w:styleId="Zoznamsodrkami">
    <w:name w:val="List Bullet"/>
    <w:basedOn w:val="Normlny"/>
    <w:uiPriority w:val="99"/>
    <w:semiHidden/>
    <w:unhideWhenUsed/>
    <w:rsid w:val="001A4738"/>
    <w:pPr>
      <w:numPr>
        <w:numId w:val="20"/>
      </w:numPr>
      <w:contextualSpacing/>
    </w:pPr>
  </w:style>
  <w:style w:type="character" w:styleId="PouitHypertextovPrepojenie">
    <w:name w:val="FollowedHyperlink"/>
    <w:basedOn w:val="Predvolenpsmoodseku"/>
    <w:uiPriority w:val="99"/>
    <w:semiHidden/>
    <w:unhideWhenUsed/>
    <w:rsid w:val="00821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369839418">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46562927">
      <w:bodyDiv w:val="1"/>
      <w:marLeft w:val="0"/>
      <w:marRight w:val="0"/>
      <w:marTop w:val="0"/>
      <w:marBottom w:val="0"/>
      <w:divBdr>
        <w:top w:val="none" w:sz="0" w:space="0" w:color="auto"/>
        <w:left w:val="none" w:sz="0" w:space="0" w:color="auto"/>
        <w:bottom w:val="none" w:sz="0" w:space="0" w:color="auto"/>
        <w:right w:val="none" w:sz="0" w:space="0" w:color="auto"/>
      </w:divBdr>
    </w:div>
    <w:div w:id="108776808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099521366">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28498057">
      <w:bodyDiv w:val="1"/>
      <w:marLeft w:val="0"/>
      <w:marRight w:val="0"/>
      <w:marTop w:val="0"/>
      <w:marBottom w:val="0"/>
      <w:divBdr>
        <w:top w:val="none" w:sz="0" w:space="0" w:color="auto"/>
        <w:left w:val="none" w:sz="0" w:space="0" w:color="auto"/>
        <w:bottom w:val="none" w:sz="0" w:space="0" w:color="auto"/>
        <w:right w:val="none" w:sz="0" w:space="0" w:color="auto"/>
      </w:divBdr>
    </w:div>
    <w:div w:id="1453938916">
      <w:bodyDiv w:val="1"/>
      <w:marLeft w:val="0"/>
      <w:marRight w:val="0"/>
      <w:marTop w:val="0"/>
      <w:marBottom w:val="0"/>
      <w:divBdr>
        <w:top w:val="none" w:sz="0" w:space="0" w:color="auto"/>
        <w:left w:val="none" w:sz="0" w:space="0" w:color="auto"/>
        <w:bottom w:val="none" w:sz="0" w:space="0" w:color="auto"/>
        <w:right w:val="none" w:sz="0" w:space="0" w:color="auto"/>
      </w:divBdr>
      <w:divsChild>
        <w:div w:id="1068917240">
          <w:marLeft w:val="0"/>
          <w:marRight w:val="0"/>
          <w:marTop w:val="0"/>
          <w:marBottom w:val="0"/>
          <w:divBdr>
            <w:top w:val="none" w:sz="0" w:space="0" w:color="auto"/>
            <w:left w:val="none" w:sz="0" w:space="0" w:color="auto"/>
            <w:bottom w:val="none" w:sz="0" w:space="0" w:color="auto"/>
            <w:right w:val="none" w:sz="0" w:space="0" w:color="auto"/>
          </w:divBdr>
        </w:div>
        <w:div w:id="28919029">
          <w:marLeft w:val="0"/>
          <w:marRight w:val="0"/>
          <w:marTop w:val="0"/>
          <w:marBottom w:val="0"/>
          <w:divBdr>
            <w:top w:val="none" w:sz="0" w:space="0" w:color="auto"/>
            <w:left w:val="none" w:sz="0" w:space="0" w:color="auto"/>
            <w:bottom w:val="none" w:sz="0" w:space="0" w:color="auto"/>
            <w:right w:val="none" w:sz="0" w:space="0" w:color="auto"/>
          </w:divBdr>
        </w:div>
        <w:div w:id="268314321">
          <w:marLeft w:val="0"/>
          <w:marRight w:val="0"/>
          <w:marTop w:val="0"/>
          <w:marBottom w:val="0"/>
          <w:divBdr>
            <w:top w:val="none" w:sz="0" w:space="0" w:color="auto"/>
            <w:left w:val="none" w:sz="0" w:space="0" w:color="auto"/>
            <w:bottom w:val="none" w:sz="0" w:space="0" w:color="auto"/>
            <w:right w:val="none" w:sz="0" w:space="0" w:color="auto"/>
          </w:divBdr>
        </w:div>
        <w:div w:id="1159006731">
          <w:marLeft w:val="0"/>
          <w:marRight w:val="0"/>
          <w:marTop w:val="0"/>
          <w:marBottom w:val="0"/>
          <w:divBdr>
            <w:top w:val="none" w:sz="0" w:space="0" w:color="auto"/>
            <w:left w:val="none" w:sz="0" w:space="0" w:color="auto"/>
            <w:bottom w:val="none" w:sz="0" w:space="0" w:color="auto"/>
            <w:right w:val="none" w:sz="0" w:space="0" w:color="auto"/>
          </w:divBdr>
        </w:div>
      </w:divsChild>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29648954">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competence.sk/wp-content/uploads/dokumenty/na_stiahnutie/letak_KB-prieskum_verejnej_mienky_msp_2023.pdf"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etais.vicepremier.gov.sk/cilist/Projekt?page=1&amp;count=20&amp;filter%5BglobalSearch%5D=%257B%257D" TargetMode="External"/><Relationship Id="rId17" Type="http://schemas.openxmlformats.org/officeDocument/2006/relationships/hyperlink" Target="http://www.nbu.gov.sk" TargetMode="External"/><Relationship Id="rId2" Type="http://schemas.openxmlformats.org/officeDocument/2006/relationships/customXml" Target="../customXml/item2.xml"/><Relationship Id="rId16" Type="http://schemas.openxmlformats.org/officeDocument/2006/relationships/hyperlink" Target="https://cybercompetence.sk/wp-content/uploads/dokumenty/ine/KCCKB-Cenni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itoringmsp.sk/wp-content/uploads/2023/07/MSP_v_cislach_2022.pdf" TargetMode="External"/><Relationship Id="rId5" Type="http://schemas.openxmlformats.org/officeDocument/2006/relationships/settings" Target="settings.xml"/><Relationship Id="rId15" Type="http://schemas.openxmlformats.org/officeDocument/2006/relationships/hyperlink" Target="https://www.nbu.gov.sk/data/att/2758.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bu.gov.sk/data/att/2546.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nbu.gov.sk/data/att/2781.pdf"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FA2DF9-E705-4C86-9964-56422BF5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12207</Words>
  <Characters>69584</Characters>
  <DocSecurity>0</DocSecurity>
  <Lines>579</Lines>
  <Paragraphs>163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2024-05-17T11:59:00Z</dcterms:created>
  <dcterms:modified xsi:type="dcterms:W3CDTF">2024-05-29T10:44:00Z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