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D7" w:rsidRDefault="00BB6AD7" w:rsidP="00BB6AD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bookmarkStart w:id="0" w:name="_GoBack"/>
      <w:bookmarkEnd w:id="0"/>
    </w:p>
    <w:p w:rsidR="00742C97" w:rsidRDefault="00742C97" w:rsidP="00BB6AD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BB6AD7" w:rsidRPr="00AB3555" w:rsidRDefault="00BB6AD7" w:rsidP="00BB6AD7">
      <w:pPr>
        <w:pStyle w:val="Zkladntext"/>
        <w:kinsoku w:val="0"/>
        <w:overflowPunct w:val="0"/>
        <w:spacing w:before="231"/>
        <w:ind w:left="675"/>
        <w:rPr>
          <w:sz w:val="24"/>
          <w:szCs w:val="24"/>
        </w:rPr>
      </w:pPr>
      <w:r w:rsidRPr="00AB3555">
        <w:rPr>
          <w:sz w:val="24"/>
          <w:szCs w:val="24"/>
        </w:rPr>
        <w:t>SPRÁVA O ÚČASTI VEREJNOSTI NA TVORBE PRÁVNEHO PREDPISU</w:t>
      </w:r>
    </w:p>
    <w:p w:rsidR="00742C97" w:rsidRDefault="00742C97" w:rsidP="00BB6AD7">
      <w:pPr>
        <w:pStyle w:val="Zkladntext"/>
        <w:kinsoku w:val="0"/>
        <w:overflowPunct w:val="0"/>
        <w:spacing w:before="120" w:after="42"/>
        <w:rPr>
          <w:b/>
        </w:rPr>
      </w:pPr>
    </w:p>
    <w:p w:rsidR="00BB6AD7" w:rsidRPr="00292909" w:rsidRDefault="00BB6AD7" w:rsidP="00BB6AD7">
      <w:pPr>
        <w:pStyle w:val="Zkladntext"/>
        <w:kinsoku w:val="0"/>
        <w:overflowPunct w:val="0"/>
        <w:spacing w:before="120" w:after="42"/>
        <w:rPr>
          <w:b/>
        </w:rPr>
      </w:pPr>
      <w:r w:rsidRPr="00292909">
        <w:rPr>
          <w:b/>
        </w:rPr>
        <w:t>1.</w:t>
      </w:r>
      <w:r w:rsidRPr="00292909">
        <w:rPr>
          <w:b/>
          <w:spacing w:val="40"/>
        </w:rPr>
        <w:t xml:space="preserve">  </w:t>
      </w:r>
      <w:r w:rsidRPr="00292909">
        <w:rPr>
          <w:b/>
        </w:rPr>
        <w:t>Spôsob zapojenia verejnosti do tvorby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Informovanie – vyplnia sa body 2 a 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Prerokovanie – vyplnia sa body 2 až 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BB6AD7" w:rsidRDefault="00BB6AD7" w:rsidP="00BB6AD7">
      <w:pPr>
        <w:pStyle w:val="Zkladntext"/>
        <w:kinsoku w:val="0"/>
        <w:overflowPunct w:val="0"/>
        <w:rPr>
          <w:b/>
          <w:bCs/>
          <w:spacing w:val="-2"/>
          <w:vertAlign w:val="superscript"/>
        </w:rPr>
      </w:pPr>
      <w:r>
        <w:rPr>
          <w:spacing w:val="-2"/>
        </w:rPr>
        <w:t>Odôvodnenie:</w:t>
      </w:r>
      <w:r>
        <w:rPr>
          <w:b/>
          <w:bCs/>
          <w:spacing w:val="-2"/>
          <w:vertAlign w:val="superscript"/>
        </w:rPr>
        <w:t>1</w:t>
      </w: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2.  </w:t>
      </w:r>
      <w:r w:rsidR="00BB6AD7" w:rsidRPr="00292909">
        <w:rPr>
          <w:b/>
        </w:rPr>
        <w:t>Spôsob informovania verejnosti o začatí tvorby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Predbežná informácia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Legislatívny zámer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2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  <w:p w:rsidR="00B82131" w:rsidRDefault="00B82131" w:rsidP="00D110DD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  <w:rPr>
                <w:spacing w:val="-2"/>
                <w:vertAlign w:val="superscript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7A4A09">
            <w:pPr>
              <w:pStyle w:val="TableParagraph"/>
              <w:kinsoku w:val="0"/>
              <w:overflowPunct w:val="0"/>
              <w:spacing w:line="301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3.  </w:t>
      </w:r>
      <w:r w:rsidR="00BB6AD7" w:rsidRPr="00292909">
        <w:rPr>
          <w:b/>
        </w:rPr>
        <w:t>Informácie poskytnuté verejnosti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O probléme, ktorý má právny predpis riešiť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O spôsobe zapojenia verejnosti do tvorby právneho predpisu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O časovom rámci tvorby právneho predpisu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O procese tvorby právneho predpisu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355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☒</w:t>
            </w:r>
          </w:p>
        </w:tc>
      </w:tr>
      <w:tr w:rsidR="00BB6AD7">
        <w:trPr>
          <w:trHeight w:val="32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3" w:lineRule="exact"/>
            </w:pPr>
            <w:r>
              <w:t>O spôsobe naloženia s vyjadreniami a návrhmi verejnosti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301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31" w:rsidRDefault="00BB6AD7" w:rsidP="00FF0D84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>
              <w:rPr>
                <w:spacing w:val="-2"/>
              </w:rPr>
              <w:t>Iné:</w:t>
            </w:r>
            <w:r w:rsidR="00E645BC">
              <w:rPr>
                <w:spacing w:val="-2"/>
                <w:vertAlign w:val="superscript"/>
              </w:rPr>
              <w:t>1</w:t>
            </w:r>
          </w:p>
          <w:p w:rsidR="003626B0" w:rsidRPr="00E645BC" w:rsidRDefault="003626B0" w:rsidP="00DA5675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line="270" w:lineRule="exact"/>
              <w:rPr>
                <w:spacing w:val="-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DA5675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E3259B" w:rsidRDefault="00E3259B" w:rsidP="00292909">
      <w:pPr>
        <w:pStyle w:val="Zkladntext"/>
        <w:kinsoku w:val="0"/>
        <w:overflowPunct w:val="0"/>
        <w:spacing w:before="120" w:after="42"/>
        <w:rPr>
          <w:b/>
        </w:rPr>
      </w:pP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4.  </w:t>
      </w:r>
      <w:r w:rsidR="00BB6AD7" w:rsidRPr="00292909">
        <w:rPr>
          <w:b/>
        </w:rPr>
        <w:t>Forma prerokovania s verejnosťou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 w:rsidRPr="00C344E7">
              <w:rPr>
                <w:spacing w:val="-2"/>
              </w:rPr>
              <w:t>Osobne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E3259B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2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3" w:lineRule="exact"/>
              <w:rPr>
                <w:spacing w:val="-2"/>
              </w:rPr>
            </w:pPr>
            <w:r w:rsidRPr="00C344E7">
              <w:rPr>
                <w:spacing w:val="-2"/>
              </w:rPr>
              <w:t>Ústne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E3259B">
            <w:pPr>
              <w:pStyle w:val="TableParagraph"/>
              <w:kinsoku w:val="0"/>
              <w:overflowPunct w:val="0"/>
              <w:spacing w:line="301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 w:rsidRPr="00C344E7">
              <w:rPr>
                <w:spacing w:val="-2"/>
              </w:rPr>
              <w:t>Písomne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E3259B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19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1" w:lineRule="exact"/>
              <w:rPr>
                <w:vertAlign w:val="superscript"/>
              </w:rPr>
            </w:pPr>
            <w:r>
              <w:t>Inou formou:</w:t>
            </w:r>
            <w:r>
              <w:rPr>
                <w:vertAlign w:val="super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BB6AD7" w:rsidRPr="00D76E63" w:rsidRDefault="00BB6AD7" w:rsidP="00BB6AD7">
      <w:pPr>
        <w:pStyle w:val="Zkladntext"/>
        <w:kinsoku w:val="0"/>
        <w:overflowPunct w:val="0"/>
        <w:rPr>
          <w:b/>
          <w:bCs/>
          <w:spacing w:val="-2"/>
          <w:vertAlign w:val="superscript"/>
        </w:rPr>
      </w:pPr>
      <w:r w:rsidRPr="00D76E63">
        <w:rPr>
          <w:b/>
          <w:spacing w:val="-2"/>
        </w:rPr>
        <w:t>Odôvodnenie:</w:t>
      </w:r>
      <w:r w:rsidRPr="00D76E63">
        <w:rPr>
          <w:b/>
          <w:bCs/>
          <w:spacing w:val="-2"/>
          <w:vertAlign w:val="superscript"/>
        </w:rPr>
        <w:t>1</w:t>
      </w: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5.  </w:t>
      </w:r>
      <w:r w:rsidR="00BB6AD7" w:rsidRPr="00292909">
        <w:rPr>
          <w:b/>
        </w:rPr>
        <w:t>Spôsoby prerokovania s verejnosťou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4"/>
        <w:gridCol w:w="842"/>
      </w:tblGrid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</w:pPr>
            <w:r w:rsidRPr="00C344E7">
              <w:t>Pracovná skupina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402930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 w:rsidRPr="00C344E7">
              <w:rPr>
                <w:spacing w:val="-2"/>
              </w:rPr>
              <w:t>Konferencia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402930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vertAlign w:val="superscript"/>
              </w:rPr>
            </w:pPr>
            <w:r w:rsidRPr="00C344E7">
              <w:t>Diskusia k legislatívnemu procesu</w:t>
            </w:r>
            <w:r w:rsidRPr="00C344E7">
              <w:rPr>
                <w:vertAlign w:val="superscript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402930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  <w:vertAlign w:val="superscript"/>
              </w:rPr>
            </w:pPr>
            <w:r w:rsidRPr="00C344E7">
              <w:rPr>
                <w:spacing w:val="-2"/>
              </w:rPr>
              <w:t>Konzultácia</w:t>
            </w:r>
            <w:r w:rsidRPr="00C344E7">
              <w:rPr>
                <w:spacing w:val="-2"/>
                <w:vertAlign w:val="superscript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402930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1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</w:rPr>
            </w:pPr>
            <w:r>
              <w:rPr>
                <w:spacing w:val="-2"/>
              </w:rPr>
              <w:t>Pripomienkovanie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BB6AD7">
        <w:trPr>
          <w:trHeight w:val="32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3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301" w:lineRule="exact"/>
              <w:ind w:left="13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6.  </w:t>
      </w:r>
      <w:r w:rsidR="00BB6AD7" w:rsidRPr="00292909">
        <w:rPr>
          <w:b/>
        </w:rPr>
        <w:t>Okruhy subjektov predkladateľom adresne vyzvané na účasť na tvorbe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1836"/>
      </w:tblGrid>
      <w:tr w:rsidR="00BB6AD7">
        <w:trPr>
          <w:trHeight w:val="27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ind w:left="2576" w:right="2567"/>
              <w:jc w:val="center"/>
            </w:pPr>
            <w:r>
              <w:t>Okruh subjektov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Počet subjektov</w:t>
            </w:r>
          </w:p>
        </w:tc>
      </w:tr>
      <w:tr w:rsidR="00BB6AD7">
        <w:trPr>
          <w:trHeight w:val="27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</w:pPr>
            <w:r>
              <w:t>Záujmové združenia subjektov územnej samosprávy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Podnikatelia a záujmové združenia podnikateľov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vertAlign w:val="superscript"/>
              </w:rPr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Akademická a vedecká obec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Cirkvi a náboženské spoločnosti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7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B6AD7" w:rsidRPr="00D76E63" w:rsidRDefault="00BB6AD7" w:rsidP="00BB6AD7">
      <w:pPr>
        <w:pStyle w:val="Zkladntext"/>
        <w:kinsoku w:val="0"/>
        <w:overflowPunct w:val="0"/>
        <w:rPr>
          <w:b/>
          <w:bCs/>
          <w:spacing w:val="-2"/>
          <w:vertAlign w:val="superscript"/>
        </w:rPr>
      </w:pPr>
      <w:r w:rsidRPr="00D76E63">
        <w:rPr>
          <w:b/>
          <w:spacing w:val="-2"/>
        </w:rPr>
        <w:t>Odôvodnenie:</w:t>
      </w:r>
      <w:r w:rsidRPr="00D76E63">
        <w:rPr>
          <w:b/>
          <w:bCs/>
          <w:spacing w:val="-2"/>
          <w:vertAlign w:val="superscript"/>
        </w:rPr>
        <w:t>1</w:t>
      </w:r>
    </w:p>
    <w:p w:rsidR="00BB6AD7" w:rsidRDefault="00BB6AD7" w:rsidP="00BB6AD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7.  </w:t>
      </w:r>
      <w:r w:rsidR="00BB6AD7" w:rsidRPr="00292909">
        <w:rPr>
          <w:b/>
        </w:rPr>
        <w:t>Okruhy adresne vyzvaných subjektov aktívne zúčastnených na tvorbe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1836"/>
      </w:tblGrid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ind w:left="2576" w:right="2567"/>
              <w:jc w:val="center"/>
            </w:pPr>
            <w:r>
              <w:t>Okruh subjektov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Počet subjektov</w:t>
            </w:r>
          </w:p>
        </w:tc>
      </w:tr>
      <w:tr w:rsidR="00BB6AD7">
        <w:trPr>
          <w:trHeight w:val="277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</w:pPr>
            <w:r>
              <w:t>Záujmové združenia subjektov územnej samosprávy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Podnikatelia a záujmové združenia podnikateľov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vertAlign w:val="superscript"/>
              </w:rPr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Akademická a vedecká obec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Cirkvi a náboženské spoločnosti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742C97" w:rsidRDefault="00742C97" w:rsidP="00292909">
      <w:pPr>
        <w:pStyle w:val="Zkladntext"/>
        <w:kinsoku w:val="0"/>
        <w:overflowPunct w:val="0"/>
        <w:spacing w:before="120" w:after="42"/>
        <w:rPr>
          <w:b/>
        </w:rPr>
      </w:pPr>
    </w:p>
    <w:p w:rsidR="00BB6AD7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8.  </w:t>
      </w:r>
      <w:r w:rsidR="00BB6AD7" w:rsidRPr="00292909">
        <w:rPr>
          <w:b/>
        </w:rPr>
        <w:t>Okruhy subjektov, ktoré prejavili záujem zúčastniť sa na tvorbe právneho predpisu z vlastnej iniciatívy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1836"/>
      </w:tblGrid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ind w:left="2576" w:right="2567"/>
              <w:jc w:val="center"/>
            </w:pPr>
            <w:r>
              <w:t>Okruh subjektov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Počet subjektov</w:t>
            </w: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Záujmové združenia subjektov územnej samosprávy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9" w:lineRule="exact"/>
            </w:pPr>
            <w:r>
              <w:t>Podnikatelia a záujmové združenia podnikateľov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vertAlign w:val="superscript"/>
              </w:rPr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Akademická a vedecká obec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Cirkvi a náboženské spoločnosti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9.  </w:t>
      </w:r>
      <w:r w:rsidR="00BB6AD7" w:rsidRPr="00292909">
        <w:rPr>
          <w:b/>
        </w:rPr>
        <w:t>Okruhy iniciatívnych subjektov aktívne zúčastnených na tvorbe právneho predpisu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  <w:gridCol w:w="1836"/>
      </w:tblGrid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ind w:left="2576" w:right="2567"/>
              <w:jc w:val="center"/>
            </w:pPr>
            <w:r>
              <w:t>Okruh subjektov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Počet subjektov</w:t>
            </w: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Záujmové združenia subjektov územnej samosprávy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Podnikatelia a záujmové združenia podnikateľov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rPr>
                <w:vertAlign w:val="superscript"/>
              </w:rPr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Akademická a vedecká obec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</w:pPr>
            <w:r>
              <w:t>Cirkvi a náboženské spoločnosti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B6AD7">
        <w:trPr>
          <w:trHeight w:val="27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58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10.  </w:t>
      </w:r>
      <w:r w:rsidR="00BB6AD7" w:rsidRPr="00292909">
        <w:rPr>
          <w:b/>
        </w:rPr>
        <w:t>Spôsob naloženia s vyjadreniami a návrhmi zapojených subjektov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7"/>
        <w:gridCol w:w="2969"/>
      </w:tblGrid>
      <w:tr w:rsidR="00BB6AD7">
        <w:trPr>
          <w:trHeight w:val="551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before="114" w:line="240" w:lineRule="auto"/>
              <w:ind w:left="2006" w:right="2003"/>
              <w:jc w:val="center"/>
            </w:pPr>
            <w:r>
              <w:t>Okruh subjektov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  <w:ind w:left="141" w:right="133"/>
              <w:jc w:val="center"/>
              <w:rPr>
                <w:spacing w:val="-2"/>
              </w:rPr>
            </w:pPr>
            <w:r>
              <w:rPr>
                <w:spacing w:val="-2"/>
              </w:rPr>
              <w:t>Prevažne</w:t>
            </w:r>
          </w:p>
          <w:p w:rsidR="00BB6AD7" w:rsidRDefault="00BB6AD7">
            <w:pPr>
              <w:pStyle w:val="TableParagraph"/>
              <w:kinsoku w:val="0"/>
              <w:overflowPunct w:val="0"/>
              <w:spacing w:line="261" w:lineRule="exact"/>
              <w:ind w:left="141" w:right="136"/>
              <w:jc w:val="center"/>
              <w:rPr>
                <w:spacing w:val="-2"/>
              </w:rPr>
            </w:pPr>
            <w:r>
              <w:rPr>
                <w:spacing w:val="-2"/>
              </w:rPr>
              <w:t>akceptované/neakceptované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</w:pPr>
            <w:r w:rsidRPr="00C344E7">
              <w:t>Orgány verejnej správy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6B52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BB6AD7">
              <w:rPr>
                <w:rFonts w:ascii="Segoe UI Symbol" w:hAnsi="Segoe UI Symbol" w:cs="Segoe UI Symbol"/>
                <w:spacing w:val="-4"/>
              </w:rPr>
              <w:t>/☐</w:t>
            </w:r>
          </w:p>
        </w:tc>
      </w:tr>
      <w:tr w:rsidR="00BB6AD7">
        <w:trPr>
          <w:trHeight w:val="321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3" w:lineRule="exact"/>
            </w:pPr>
            <w:r w:rsidRPr="00C344E7">
              <w:t>Záujmové združenia subjektov územnej samosprávy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301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  <w:spacing w:val="-4"/>
              </w:rPr>
              <w:t>☐/☐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</w:pPr>
            <w:r w:rsidRPr="00C344E7">
              <w:t>Podnikatelia a záujmové združenia podnikateľov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6B52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BB6AD7">
              <w:rPr>
                <w:rFonts w:ascii="Segoe UI Symbol" w:hAnsi="Segoe UI Symbol" w:cs="Segoe UI Symbol"/>
                <w:spacing w:val="-4"/>
              </w:rPr>
              <w:t>/☐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  <w:rPr>
                <w:vertAlign w:val="superscript"/>
              </w:rPr>
            </w:pPr>
            <w:r w:rsidRPr="00C344E7">
              <w:t>Mimovládne neziskové organizácie</w:t>
            </w:r>
            <w:r w:rsidRPr="00C344E7">
              <w:rPr>
                <w:vertAlign w:val="superscript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  <w:spacing w:val="-4"/>
              </w:rPr>
              <w:t>☐/☐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Pr="00C344E7" w:rsidRDefault="00BB6AD7">
            <w:pPr>
              <w:pStyle w:val="TableParagraph"/>
              <w:kinsoku w:val="0"/>
              <w:overflowPunct w:val="0"/>
              <w:spacing w:line="270" w:lineRule="exact"/>
            </w:pPr>
            <w:r w:rsidRPr="00C344E7">
              <w:t>Akademická a vedecká obec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AB6B52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BB6AD7">
              <w:rPr>
                <w:rFonts w:ascii="Segoe UI Symbol" w:hAnsi="Segoe UI Symbol" w:cs="Segoe UI Symbol"/>
                <w:spacing w:val="-4"/>
              </w:rPr>
              <w:t>/☐</w:t>
            </w:r>
          </w:p>
        </w:tc>
      </w:tr>
      <w:tr w:rsidR="00BB6AD7">
        <w:trPr>
          <w:trHeight w:val="318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</w:pPr>
            <w:r>
              <w:t>Cirkvi a náboženské spoločnosti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99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  <w:spacing w:val="-4"/>
              </w:rPr>
              <w:t>☐/☐</w:t>
            </w:r>
          </w:p>
        </w:tc>
      </w:tr>
      <w:tr w:rsidR="00BB6AD7">
        <w:trPr>
          <w:trHeight w:val="321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270" w:lineRule="exact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Iné: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D7" w:rsidRDefault="00BB6AD7">
            <w:pPr>
              <w:pStyle w:val="TableParagraph"/>
              <w:kinsoku w:val="0"/>
              <w:overflowPunct w:val="0"/>
              <w:spacing w:line="301" w:lineRule="exact"/>
              <w:ind w:left="1228"/>
              <w:rPr>
                <w:rFonts w:ascii="Segoe UI Symbol" w:hAnsi="Segoe UI Symbol" w:cs="Segoe UI Symbol"/>
                <w:spacing w:val="-4"/>
              </w:rPr>
            </w:pPr>
            <w:r>
              <w:rPr>
                <w:rFonts w:ascii="Segoe UI Symbol" w:hAnsi="Segoe UI Symbol" w:cs="Segoe UI Symbol"/>
                <w:spacing w:val="-4"/>
              </w:rPr>
              <w:t>☐/☐</w:t>
            </w:r>
          </w:p>
        </w:tc>
      </w:tr>
    </w:tbl>
    <w:p w:rsidR="00BB6AD7" w:rsidRPr="00D76E63" w:rsidRDefault="00BB6AD7" w:rsidP="00BB6AD7">
      <w:pPr>
        <w:pStyle w:val="Zkladntext"/>
        <w:kinsoku w:val="0"/>
        <w:overflowPunct w:val="0"/>
        <w:rPr>
          <w:b/>
          <w:bCs/>
          <w:spacing w:val="-2"/>
          <w:vertAlign w:val="superscript"/>
        </w:rPr>
      </w:pPr>
      <w:r w:rsidRPr="00D76E63">
        <w:rPr>
          <w:b/>
          <w:spacing w:val="-2"/>
        </w:rPr>
        <w:t>Odôvodnenie:</w:t>
      </w:r>
      <w:r w:rsidRPr="00D76E63">
        <w:rPr>
          <w:b/>
          <w:bCs/>
          <w:spacing w:val="-2"/>
          <w:vertAlign w:val="superscript"/>
        </w:rPr>
        <w:t>1</w:t>
      </w:r>
    </w:p>
    <w:p w:rsidR="00BB6AD7" w:rsidRPr="00292909" w:rsidRDefault="00292909" w:rsidP="00292909">
      <w:pPr>
        <w:pStyle w:val="Zkladntext"/>
        <w:kinsoku w:val="0"/>
        <w:overflowPunct w:val="0"/>
        <w:spacing w:before="120" w:after="42"/>
        <w:rPr>
          <w:b/>
        </w:rPr>
      </w:pPr>
      <w:r>
        <w:rPr>
          <w:b/>
        </w:rPr>
        <w:t xml:space="preserve">11.  </w:t>
      </w:r>
      <w:r w:rsidR="00BB6AD7" w:rsidRPr="00292909">
        <w:rPr>
          <w:b/>
        </w:rPr>
        <w:t>Vyhodnotenie účasti verejnosti na tvorbe právneho predpisu predkladateľom:</w:t>
      </w:r>
      <w:r w:rsidR="00BB6AD7" w:rsidRPr="00292909">
        <w:rPr>
          <w:vertAlign w:val="superscript"/>
        </w:rPr>
        <w:t>1</w:t>
      </w:r>
    </w:p>
    <w:p w:rsidR="00A402EA" w:rsidRDefault="00A402EA" w:rsidP="00B67A48">
      <w:pPr>
        <w:pStyle w:val="Zkladntext"/>
        <w:kinsoku w:val="0"/>
        <w:overflowPunct w:val="0"/>
        <w:ind w:left="0"/>
        <w:jc w:val="both"/>
        <w:rPr>
          <w:bCs/>
          <w:sz w:val="24"/>
          <w:szCs w:val="24"/>
        </w:rPr>
      </w:pPr>
    </w:p>
    <w:p w:rsidR="00C5689E" w:rsidRDefault="00A7600C" w:rsidP="00B67A48">
      <w:pPr>
        <w:pStyle w:val="Zkladntext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Verejnosť sa mohla zapojiť do prípravy návrhu zákona</w:t>
      </w:r>
      <w:r w:rsidR="00C84E46" w:rsidRPr="00C84E46">
        <w:rPr>
          <w:sz w:val="24"/>
          <w:szCs w:val="24"/>
        </w:rPr>
        <w:t>, k</w:t>
      </w:r>
      <w:r w:rsidR="00C84E46">
        <w:rPr>
          <w:sz w:val="24"/>
          <w:szCs w:val="24"/>
        </w:rPr>
        <w:t>torým sa mení a dopĺňa zákon č. </w:t>
      </w:r>
      <w:r w:rsidR="00C84E46" w:rsidRPr="00C84E46">
        <w:rPr>
          <w:sz w:val="24"/>
          <w:szCs w:val="24"/>
        </w:rPr>
        <w:t>272/2016 Z. z. o dôveryhodných službách pre elektronické t</w:t>
      </w:r>
      <w:r w:rsidR="00C84E46">
        <w:rPr>
          <w:sz w:val="24"/>
          <w:szCs w:val="24"/>
        </w:rPr>
        <w:t>ransakcie na vnútornom trhu a o </w:t>
      </w:r>
      <w:r w:rsidR="00C84E46" w:rsidRPr="00C84E46">
        <w:rPr>
          <w:sz w:val="24"/>
          <w:szCs w:val="24"/>
        </w:rPr>
        <w:t>zmene a doplnení niektorých zákonov (zákon o dôveryhodn</w:t>
      </w:r>
      <w:r w:rsidR="00C84E46">
        <w:rPr>
          <w:sz w:val="24"/>
          <w:szCs w:val="24"/>
        </w:rPr>
        <w:t>ých službách) v znení zákona č. </w:t>
      </w:r>
      <w:r w:rsidR="00C84E46" w:rsidRPr="00C84E46">
        <w:rPr>
          <w:sz w:val="24"/>
          <w:szCs w:val="24"/>
        </w:rPr>
        <w:t>211/2019 Z. z.</w:t>
      </w:r>
      <w:r w:rsidR="00C84E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formou zaslania podnetov a návrhov v rámci </w:t>
      </w:r>
      <w:r w:rsidR="0086085E">
        <w:rPr>
          <w:sz w:val="24"/>
          <w:szCs w:val="24"/>
        </w:rPr>
        <w:t xml:space="preserve">zverejnenej </w:t>
      </w:r>
      <w:r>
        <w:rPr>
          <w:sz w:val="24"/>
          <w:szCs w:val="24"/>
        </w:rPr>
        <w:t xml:space="preserve">predbežnej informácie </w:t>
      </w:r>
      <w:r w:rsidR="001A47D7">
        <w:rPr>
          <w:sz w:val="24"/>
          <w:szCs w:val="24"/>
        </w:rPr>
        <w:t xml:space="preserve">na právnom a informačnom portáli Slov-Lex </w:t>
      </w:r>
      <w:r w:rsidR="001C4364">
        <w:rPr>
          <w:sz w:val="24"/>
          <w:szCs w:val="24"/>
        </w:rPr>
        <w:t xml:space="preserve">(ďalej len „portál“) </w:t>
      </w:r>
      <w:r w:rsidR="001A47D7">
        <w:rPr>
          <w:sz w:val="24"/>
          <w:szCs w:val="24"/>
        </w:rPr>
        <w:t xml:space="preserve">- </w:t>
      </w:r>
      <w:r>
        <w:rPr>
          <w:sz w:val="24"/>
          <w:szCs w:val="24"/>
        </w:rPr>
        <w:t>PI/2024/</w:t>
      </w:r>
      <w:r w:rsidR="001A47D7">
        <w:rPr>
          <w:sz w:val="24"/>
          <w:szCs w:val="24"/>
        </w:rPr>
        <w:t>136</w:t>
      </w:r>
      <w:r w:rsidR="001C436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od </w:t>
      </w:r>
      <w:r w:rsidR="00C37185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C37185">
        <w:rPr>
          <w:sz w:val="24"/>
          <w:szCs w:val="24"/>
        </w:rPr>
        <w:t>6</w:t>
      </w:r>
      <w:r>
        <w:rPr>
          <w:sz w:val="24"/>
          <w:szCs w:val="24"/>
        </w:rPr>
        <w:t>.2024 do 1</w:t>
      </w:r>
      <w:r w:rsidR="00C37185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C37185">
        <w:rPr>
          <w:sz w:val="24"/>
          <w:szCs w:val="24"/>
        </w:rPr>
        <w:t>6</w:t>
      </w:r>
      <w:r w:rsidR="001C4364">
        <w:rPr>
          <w:sz w:val="24"/>
          <w:szCs w:val="24"/>
        </w:rPr>
        <w:t>.2024</w:t>
      </w:r>
      <w:r>
        <w:rPr>
          <w:sz w:val="24"/>
          <w:szCs w:val="24"/>
        </w:rPr>
        <w:t xml:space="preserve">. </w:t>
      </w:r>
    </w:p>
    <w:p w:rsidR="00C344E7" w:rsidRDefault="00E9704C" w:rsidP="00B67A48">
      <w:pPr>
        <w:pStyle w:val="Zkladntext"/>
        <w:kinsoku w:val="0"/>
        <w:overflowPunct w:val="0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Prostredníctvom portálu neboli uplatnené pripomienky resp. v</w:t>
      </w:r>
      <w:r w:rsidR="0086085E">
        <w:rPr>
          <w:sz w:val="24"/>
          <w:szCs w:val="24"/>
        </w:rPr>
        <w:t>yjadreni</w:t>
      </w:r>
      <w:r>
        <w:rPr>
          <w:sz w:val="24"/>
          <w:szCs w:val="24"/>
        </w:rPr>
        <w:t>a</w:t>
      </w:r>
      <w:r w:rsidR="0086085E">
        <w:rPr>
          <w:sz w:val="24"/>
          <w:szCs w:val="24"/>
        </w:rPr>
        <w:t xml:space="preserve"> k predbežnej informácii</w:t>
      </w:r>
      <w:r w:rsidR="00A7600C">
        <w:rPr>
          <w:sz w:val="24"/>
          <w:szCs w:val="24"/>
        </w:rPr>
        <w:t>.</w:t>
      </w:r>
    </w:p>
    <w:p w:rsidR="00A402EA" w:rsidRDefault="00A402EA" w:rsidP="00BB6AD7">
      <w:pPr>
        <w:pStyle w:val="Zkladntext"/>
        <w:kinsoku w:val="0"/>
        <w:overflowPunct w:val="0"/>
        <w:spacing w:line="250" w:lineRule="exact"/>
        <w:rPr>
          <w:spacing w:val="-2"/>
          <w:sz w:val="22"/>
          <w:szCs w:val="22"/>
        </w:rPr>
      </w:pPr>
    </w:p>
    <w:p w:rsidR="00A402EA" w:rsidRDefault="00A402EA" w:rsidP="00C344E7">
      <w:pPr>
        <w:pStyle w:val="Zkladntext"/>
        <w:kinsoku w:val="0"/>
        <w:overflowPunct w:val="0"/>
        <w:spacing w:line="250" w:lineRule="exact"/>
        <w:ind w:left="0"/>
        <w:rPr>
          <w:spacing w:val="-2"/>
          <w:sz w:val="22"/>
          <w:szCs w:val="22"/>
        </w:rPr>
      </w:pPr>
    </w:p>
    <w:p w:rsidR="00BB6AD7" w:rsidRDefault="00BB6AD7" w:rsidP="00BB6AD7">
      <w:pPr>
        <w:pStyle w:val="Zkladntext"/>
        <w:kinsoku w:val="0"/>
        <w:overflowPunct w:val="0"/>
        <w:spacing w:line="250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Vysvetlivky:</w:t>
      </w:r>
    </w:p>
    <w:p w:rsidR="00BB6AD7" w:rsidRDefault="00BB6AD7" w:rsidP="00BB6AD7">
      <w:pPr>
        <w:pStyle w:val="Odsekzoznamu"/>
        <w:numPr>
          <w:ilvl w:val="0"/>
          <w:numId w:val="2"/>
        </w:numPr>
        <w:tabs>
          <w:tab w:val="left" w:pos="285"/>
        </w:tabs>
        <w:kinsoku w:val="0"/>
        <w:overflowPunct w:val="0"/>
        <w:spacing w:line="250" w:lineRule="exact"/>
        <w:ind w:left="284" w:hanging="167"/>
        <w:rPr>
          <w:sz w:val="22"/>
          <w:szCs w:val="22"/>
        </w:rPr>
      </w:pPr>
      <w:r>
        <w:rPr>
          <w:sz w:val="22"/>
          <w:szCs w:val="22"/>
        </w:rPr>
        <w:t>Vypĺňa sa nepovinne, ak sa predkladateľ rozhodne nepovinné údaje vyplniť, uvedie ich slovne.</w:t>
      </w:r>
    </w:p>
    <w:p w:rsidR="00BB6AD7" w:rsidRDefault="00BB6AD7" w:rsidP="00BB6AD7">
      <w:pPr>
        <w:pStyle w:val="Odsekzoznamu"/>
        <w:numPr>
          <w:ilvl w:val="0"/>
          <w:numId w:val="2"/>
        </w:numPr>
        <w:tabs>
          <w:tab w:val="left" w:pos="285"/>
        </w:tabs>
        <w:kinsoku w:val="0"/>
        <w:overflowPunct w:val="0"/>
        <w:spacing w:line="252" w:lineRule="exact"/>
        <w:ind w:left="284" w:hanging="167"/>
        <w:rPr>
          <w:sz w:val="22"/>
          <w:szCs w:val="22"/>
        </w:rPr>
      </w:pPr>
      <w:r>
        <w:rPr>
          <w:sz w:val="22"/>
          <w:szCs w:val="22"/>
        </w:rPr>
        <w:t>Prostredníctvom právneho a informačného portálu Slov-Lex.</w:t>
      </w:r>
    </w:p>
    <w:p w:rsidR="00BB6AD7" w:rsidRDefault="00BB6AD7" w:rsidP="00BB6AD7">
      <w:pPr>
        <w:pStyle w:val="Odsekzoznamu"/>
        <w:numPr>
          <w:ilvl w:val="0"/>
          <w:numId w:val="2"/>
        </w:numPr>
        <w:tabs>
          <w:tab w:val="left" w:pos="285"/>
        </w:tabs>
        <w:kinsoku w:val="0"/>
        <w:overflowPunct w:val="0"/>
        <w:spacing w:before="1" w:line="252" w:lineRule="exact"/>
        <w:ind w:left="284" w:hanging="167"/>
        <w:rPr>
          <w:sz w:val="22"/>
          <w:szCs w:val="22"/>
        </w:rPr>
      </w:pPr>
      <w:r>
        <w:rPr>
          <w:sz w:val="22"/>
          <w:szCs w:val="22"/>
        </w:rPr>
        <w:t>Podľa Jednotnej metodiky na posudzovanie vybraných vplyvov a podľa § 2 zákona o tripartite.</w:t>
      </w:r>
    </w:p>
    <w:p w:rsidR="00BB6AD7" w:rsidRPr="00BB6AD7" w:rsidRDefault="00BB6AD7" w:rsidP="00BB6AD7">
      <w:pPr>
        <w:pStyle w:val="Odsekzoznamu"/>
        <w:numPr>
          <w:ilvl w:val="0"/>
          <w:numId w:val="2"/>
        </w:numPr>
        <w:tabs>
          <w:tab w:val="left" w:pos="285"/>
        </w:tabs>
        <w:kinsoku w:val="0"/>
        <w:overflowPunct w:val="0"/>
        <w:spacing w:line="252" w:lineRule="exact"/>
        <w:ind w:left="284" w:hanging="167"/>
        <w:rPr>
          <w:sz w:val="22"/>
          <w:szCs w:val="22"/>
        </w:rPr>
      </w:pPr>
      <w:r>
        <w:rPr>
          <w:sz w:val="22"/>
          <w:szCs w:val="22"/>
        </w:rPr>
        <w:t>Vrátane odborových organizácií a ich združení.</w:t>
      </w:r>
    </w:p>
    <w:p w:rsidR="007712D9" w:rsidRPr="00BB6AD7" w:rsidRDefault="007712D9" w:rsidP="00BB6AD7"/>
    <w:sectPr w:rsidR="007712D9" w:rsidRPr="00BB6AD7" w:rsidSect="008F5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0" w:right="1300" w:bottom="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BD" w:rsidRDefault="00ED06BD" w:rsidP="00ED06BD">
      <w:pPr>
        <w:spacing w:after="0" w:line="240" w:lineRule="auto"/>
      </w:pPr>
      <w:r>
        <w:separator/>
      </w:r>
    </w:p>
  </w:endnote>
  <w:endnote w:type="continuationSeparator" w:id="0">
    <w:p w:rsidR="00ED06BD" w:rsidRDefault="00ED06BD" w:rsidP="00ED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BD" w:rsidRDefault="00ED06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BD" w:rsidRDefault="00ED06B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BD" w:rsidRDefault="00ED06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BD" w:rsidRDefault="00ED06BD" w:rsidP="00ED06BD">
      <w:pPr>
        <w:spacing w:after="0" w:line="240" w:lineRule="auto"/>
      </w:pPr>
      <w:r>
        <w:separator/>
      </w:r>
    </w:p>
  </w:footnote>
  <w:footnote w:type="continuationSeparator" w:id="0">
    <w:p w:rsidR="00ED06BD" w:rsidRDefault="00ED06BD" w:rsidP="00ED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BD" w:rsidRDefault="00ED06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BD" w:rsidRDefault="00ED06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BD" w:rsidRDefault="00ED06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68" w:hanging="25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54" w:hanging="250"/>
      </w:pPr>
    </w:lvl>
    <w:lvl w:ilvl="2">
      <w:numFmt w:val="bullet"/>
      <w:lvlText w:val="•"/>
      <w:lvlJc w:val="left"/>
      <w:pPr>
        <w:ind w:left="2149" w:hanging="250"/>
      </w:pPr>
    </w:lvl>
    <w:lvl w:ilvl="3">
      <w:numFmt w:val="bullet"/>
      <w:lvlText w:val="•"/>
      <w:lvlJc w:val="left"/>
      <w:pPr>
        <w:ind w:left="3043" w:hanging="250"/>
      </w:pPr>
    </w:lvl>
    <w:lvl w:ilvl="4">
      <w:numFmt w:val="bullet"/>
      <w:lvlText w:val="•"/>
      <w:lvlJc w:val="left"/>
      <w:pPr>
        <w:ind w:left="3938" w:hanging="250"/>
      </w:pPr>
    </w:lvl>
    <w:lvl w:ilvl="5">
      <w:numFmt w:val="bullet"/>
      <w:lvlText w:val="•"/>
      <w:lvlJc w:val="left"/>
      <w:pPr>
        <w:ind w:left="4833" w:hanging="250"/>
      </w:pPr>
    </w:lvl>
    <w:lvl w:ilvl="6">
      <w:numFmt w:val="bullet"/>
      <w:lvlText w:val="•"/>
      <w:lvlJc w:val="left"/>
      <w:pPr>
        <w:ind w:left="5727" w:hanging="250"/>
      </w:pPr>
    </w:lvl>
    <w:lvl w:ilvl="7">
      <w:numFmt w:val="bullet"/>
      <w:lvlText w:val="•"/>
      <w:lvlJc w:val="left"/>
      <w:pPr>
        <w:ind w:left="6622" w:hanging="250"/>
      </w:pPr>
    </w:lvl>
    <w:lvl w:ilvl="8">
      <w:numFmt w:val="bullet"/>
      <w:lvlText w:val="•"/>
      <w:lvlJc w:val="left"/>
      <w:pPr>
        <w:ind w:left="7517" w:hanging="25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402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lowerLetter"/>
      <w:lvlText w:val="%1)"/>
      <w:lvlJc w:val="left"/>
      <w:pPr>
        <w:ind w:left="402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3" w15:restartNumberingAfterBreak="0">
    <w:nsid w:val="00000405"/>
    <w:multiLevelType w:val="multilevel"/>
    <w:tmpl w:val="61CC6872"/>
    <w:lvl w:ilvl="0">
      <w:start w:val="1"/>
      <w:numFmt w:val="decimal"/>
      <w:lvlText w:val="%1."/>
      <w:lvlJc w:val="left"/>
      <w:pPr>
        <w:ind w:left="546" w:hanging="360"/>
      </w:pPr>
      <w:rPr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-"/>
      <w:lvlJc w:val="left"/>
      <w:pPr>
        <w:ind w:left="826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762" w:hanging="281"/>
      </w:pPr>
    </w:lvl>
    <w:lvl w:ilvl="3">
      <w:numFmt w:val="bullet"/>
      <w:lvlText w:val="•"/>
      <w:lvlJc w:val="left"/>
      <w:pPr>
        <w:ind w:left="2705" w:hanging="281"/>
      </w:pPr>
    </w:lvl>
    <w:lvl w:ilvl="4">
      <w:numFmt w:val="bullet"/>
      <w:lvlText w:val="•"/>
      <w:lvlJc w:val="left"/>
      <w:pPr>
        <w:ind w:left="3648" w:hanging="281"/>
      </w:pPr>
    </w:lvl>
    <w:lvl w:ilvl="5">
      <w:numFmt w:val="bullet"/>
      <w:lvlText w:val="•"/>
      <w:lvlJc w:val="left"/>
      <w:pPr>
        <w:ind w:left="4591" w:hanging="281"/>
      </w:pPr>
    </w:lvl>
    <w:lvl w:ilvl="6">
      <w:numFmt w:val="bullet"/>
      <w:lvlText w:val="•"/>
      <w:lvlJc w:val="left"/>
      <w:pPr>
        <w:ind w:left="5534" w:hanging="281"/>
      </w:pPr>
    </w:lvl>
    <w:lvl w:ilvl="7">
      <w:numFmt w:val="bullet"/>
      <w:lvlText w:val="•"/>
      <w:lvlJc w:val="left"/>
      <w:pPr>
        <w:ind w:left="6477" w:hanging="281"/>
      </w:pPr>
    </w:lvl>
    <w:lvl w:ilvl="8">
      <w:numFmt w:val="bullet"/>
      <w:lvlText w:val="•"/>
      <w:lvlJc w:val="left"/>
      <w:pPr>
        <w:ind w:left="7420" w:hanging="28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018" w:hanging="47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848" w:hanging="473"/>
      </w:pPr>
    </w:lvl>
    <w:lvl w:ilvl="2">
      <w:numFmt w:val="bullet"/>
      <w:lvlText w:val="•"/>
      <w:lvlJc w:val="left"/>
      <w:pPr>
        <w:ind w:left="2677" w:hanging="473"/>
      </w:pPr>
    </w:lvl>
    <w:lvl w:ilvl="3">
      <w:numFmt w:val="bullet"/>
      <w:lvlText w:val="•"/>
      <w:lvlJc w:val="left"/>
      <w:pPr>
        <w:ind w:left="3505" w:hanging="473"/>
      </w:pPr>
    </w:lvl>
    <w:lvl w:ilvl="4">
      <w:numFmt w:val="bullet"/>
      <w:lvlText w:val="•"/>
      <w:lvlJc w:val="left"/>
      <w:pPr>
        <w:ind w:left="4334" w:hanging="473"/>
      </w:pPr>
    </w:lvl>
    <w:lvl w:ilvl="5">
      <w:numFmt w:val="bullet"/>
      <w:lvlText w:val="•"/>
      <w:lvlJc w:val="left"/>
      <w:pPr>
        <w:ind w:left="5163" w:hanging="473"/>
      </w:pPr>
    </w:lvl>
    <w:lvl w:ilvl="6">
      <w:numFmt w:val="bullet"/>
      <w:lvlText w:val="•"/>
      <w:lvlJc w:val="left"/>
      <w:pPr>
        <w:ind w:left="5991" w:hanging="473"/>
      </w:pPr>
    </w:lvl>
    <w:lvl w:ilvl="7">
      <w:numFmt w:val="bullet"/>
      <w:lvlText w:val="•"/>
      <w:lvlJc w:val="left"/>
      <w:pPr>
        <w:ind w:left="6820" w:hanging="473"/>
      </w:pPr>
    </w:lvl>
    <w:lvl w:ilvl="8">
      <w:numFmt w:val="bullet"/>
      <w:lvlText w:val="•"/>
      <w:lvlJc w:val="left"/>
      <w:pPr>
        <w:ind w:left="7649" w:hanging="473"/>
      </w:pPr>
    </w:lvl>
  </w:abstractNum>
  <w:abstractNum w:abstractNumId="5" w15:restartNumberingAfterBreak="0">
    <w:nsid w:val="0D604C31"/>
    <w:multiLevelType w:val="hybridMultilevel"/>
    <w:tmpl w:val="611AB842"/>
    <w:lvl w:ilvl="0" w:tplc="E8F47C5C">
      <w:start w:val="8"/>
      <w:numFmt w:val="bullet"/>
      <w:lvlText w:val="-"/>
      <w:lvlJc w:val="left"/>
      <w:pPr>
        <w:ind w:left="46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36"/>
    <w:rsid w:val="000F2764"/>
    <w:rsid w:val="001A47D7"/>
    <w:rsid w:val="001C4364"/>
    <w:rsid w:val="001D57C2"/>
    <w:rsid w:val="001D7FB3"/>
    <w:rsid w:val="002761E4"/>
    <w:rsid w:val="00281CAB"/>
    <w:rsid w:val="00292909"/>
    <w:rsid w:val="002B0C5F"/>
    <w:rsid w:val="002F0357"/>
    <w:rsid w:val="003458B8"/>
    <w:rsid w:val="003626B0"/>
    <w:rsid w:val="00402930"/>
    <w:rsid w:val="004D1198"/>
    <w:rsid w:val="006A6B22"/>
    <w:rsid w:val="006A78C4"/>
    <w:rsid w:val="006D3DD9"/>
    <w:rsid w:val="006D59F5"/>
    <w:rsid w:val="00742C97"/>
    <w:rsid w:val="007712D9"/>
    <w:rsid w:val="007A4A09"/>
    <w:rsid w:val="0086085E"/>
    <w:rsid w:val="008C795C"/>
    <w:rsid w:val="00A402EA"/>
    <w:rsid w:val="00A7600C"/>
    <w:rsid w:val="00AB3555"/>
    <w:rsid w:val="00AB6B52"/>
    <w:rsid w:val="00B52436"/>
    <w:rsid w:val="00B67A48"/>
    <w:rsid w:val="00B82131"/>
    <w:rsid w:val="00B82DB1"/>
    <w:rsid w:val="00BB6AD7"/>
    <w:rsid w:val="00BD0465"/>
    <w:rsid w:val="00C344E7"/>
    <w:rsid w:val="00C37185"/>
    <w:rsid w:val="00C4146A"/>
    <w:rsid w:val="00C5689E"/>
    <w:rsid w:val="00C84E46"/>
    <w:rsid w:val="00D110DD"/>
    <w:rsid w:val="00D76E63"/>
    <w:rsid w:val="00DA5675"/>
    <w:rsid w:val="00E3259B"/>
    <w:rsid w:val="00E3643E"/>
    <w:rsid w:val="00E645BC"/>
    <w:rsid w:val="00E94E69"/>
    <w:rsid w:val="00E9704C"/>
    <w:rsid w:val="00ED06BD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1"/>
    <w:qFormat/>
    <w:rsid w:val="00BB6AD7"/>
    <w:pPr>
      <w:autoSpaceDE w:val="0"/>
      <w:autoSpaceDN w:val="0"/>
      <w:adjustRightInd w:val="0"/>
      <w:spacing w:before="50" w:after="0" w:line="240" w:lineRule="auto"/>
      <w:ind w:left="4521" w:right="4521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B6AD7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BB6AD7"/>
    <w:pPr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3"/>
      <w:szCs w:val="23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6AD7"/>
    <w:rPr>
      <w:rFonts w:ascii="Times New Roman" w:hAnsi="Times New Roman" w:cs="Times New Roman"/>
      <w:sz w:val="23"/>
      <w:szCs w:val="23"/>
    </w:rPr>
  </w:style>
  <w:style w:type="paragraph" w:styleId="Odsekzoznamu">
    <w:name w:val="List Paragraph"/>
    <w:basedOn w:val="Normlny"/>
    <w:uiPriority w:val="1"/>
    <w:qFormat/>
    <w:rsid w:val="00BB6AD7"/>
    <w:pPr>
      <w:autoSpaceDE w:val="0"/>
      <w:autoSpaceDN w:val="0"/>
      <w:adjustRightInd w:val="0"/>
      <w:spacing w:after="0" w:line="240" w:lineRule="auto"/>
      <w:ind w:left="402" w:hanging="281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BB6AD7"/>
    <w:pPr>
      <w:autoSpaceDE w:val="0"/>
      <w:autoSpaceDN w:val="0"/>
      <w:adjustRightInd w:val="0"/>
      <w:spacing w:after="0" w:line="256" w:lineRule="exact"/>
      <w:ind w:left="107"/>
    </w:pPr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F0D8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06BD"/>
  </w:style>
  <w:style w:type="paragraph" w:styleId="Pta">
    <w:name w:val="footer"/>
    <w:basedOn w:val="Normlny"/>
    <w:link w:val="PtaChar"/>
    <w:uiPriority w:val="99"/>
    <w:unhideWhenUsed/>
    <w:rsid w:val="00ED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ráva o účasti verejnosti" edit="true"/>
    <f:field ref="objsubject" par="" text="" edit="true"/>
    <f:field ref="objcreatedby" par="" text="Šnirc, Dalibor, pplk. JUDr."/>
    <f:field ref="objcreatedat" par="" date="2024-05-30T10:58:30" text="30.5.2024 10:58:30"/>
    <f:field ref="objchangedby" par="" text="Šnirc, Dalibor, pplk. JUDr."/>
    <f:field ref="objmodifiedat" par="" date="2024-05-31T08:56:20" text="31.5.2024 8:56:20"/>
    <f:field ref="doc_FSCFOLIO_1_1001_FieldDocumentNumber" par="" text=""/>
    <f:field ref="doc_FSCFOLIO_1_1001_FieldSubject" par="" text="" edit="true"/>
    <f:field ref="FSCFOLIO_1_1001_FieldCurrentUser" par="" text="por. PhDr. Ľubomír Klačko"/>
    <f:field ref="CCAPRECONFIG_15_1001_Objektname" par="" text="správa o účasti verejn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2024-09-19T07:01:00Z</dcterms:created>
  <dcterms:modified xsi:type="dcterms:W3CDTF">2024-09-19T07:01:00Z</dcterms:modified>
</cp:coreProperties>
</file>