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1ACAA"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18E9A2DE"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5619DF76"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1311C88A" w14:textId="77777777" w:rsidTr="0007791A">
        <w:tc>
          <w:tcPr>
            <w:tcW w:w="9180" w:type="dxa"/>
            <w:gridSpan w:val="11"/>
            <w:tcBorders>
              <w:bottom w:val="single" w:sz="4" w:space="0" w:color="FFFFFF"/>
            </w:tcBorders>
            <w:shd w:val="clear" w:color="auto" w:fill="E2E2E2"/>
          </w:tcPr>
          <w:p w14:paraId="399E9047"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3EC97A81" w14:textId="77777777" w:rsidTr="0007791A">
        <w:tc>
          <w:tcPr>
            <w:tcW w:w="9180" w:type="dxa"/>
            <w:gridSpan w:val="11"/>
            <w:tcBorders>
              <w:bottom w:val="single" w:sz="4" w:space="0" w:color="FFFFFF"/>
            </w:tcBorders>
            <w:shd w:val="clear" w:color="auto" w:fill="E2E2E2"/>
          </w:tcPr>
          <w:p w14:paraId="2C471A52" w14:textId="77777777" w:rsidR="001B23B7" w:rsidRPr="00612E08" w:rsidRDefault="001B23B7" w:rsidP="0007791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3B4AB290" w14:textId="77777777" w:rsidTr="0007791A">
        <w:tc>
          <w:tcPr>
            <w:tcW w:w="9180" w:type="dxa"/>
            <w:gridSpan w:val="11"/>
            <w:tcBorders>
              <w:top w:val="single" w:sz="4" w:space="0" w:color="FFFFFF"/>
              <w:bottom w:val="single" w:sz="4" w:space="0" w:color="auto"/>
            </w:tcBorders>
          </w:tcPr>
          <w:p w14:paraId="526D81FA" w14:textId="77777777" w:rsidR="00AE280C" w:rsidRDefault="00AE280C" w:rsidP="00424094">
            <w:pPr>
              <w:jc w:val="both"/>
              <w:rPr>
                <w:rFonts w:ascii="Times New Roman" w:eastAsia="Times New Roman" w:hAnsi="Times New Roman" w:cs="Times New Roman"/>
                <w:sz w:val="20"/>
                <w:szCs w:val="20"/>
                <w:lang w:eastAsia="sk-SK"/>
              </w:rPr>
            </w:pPr>
          </w:p>
          <w:p w14:paraId="4E2028DD" w14:textId="747773DC" w:rsidR="001B23B7" w:rsidRPr="00612E08" w:rsidRDefault="002B661B" w:rsidP="00CA501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Pr="002B661B">
              <w:rPr>
                <w:rFonts w:ascii="Times New Roman" w:eastAsia="Times New Roman" w:hAnsi="Times New Roman" w:cs="Times New Roman"/>
                <w:sz w:val="20"/>
                <w:szCs w:val="20"/>
                <w:lang w:eastAsia="sk-SK"/>
              </w:rPr>
              <w:t>ávrh zákona</w:t>
            </w:r>
            <w:r w:rsidR="00DA51CC">
              <w:rPr>
                <w:rFonts w:ascii="Times New Roman" w:eastAsia="Times New Roman" w:hAnsi="Times New Roman" w:cs="Times New Roman"/>
                <w:sz w:val="20"/>
                <w:szCs w:val="20"/>
                <w:lang w:eastAsia="sk-SK"/>
              </w:rPr>
              <w:t xml:space="preserve">, </w:t>
            </w:r>
            <w:r w:rsidR="00CA501C" w:rsidRPr="00CA501C">
              <w:rPr>
                <w:rFonts w:ascii="Times New Roman" w:eastAsia="Times New Roman" w:hAnsi="Times New Roman" w:cs="Times New Roman"/>
                <w:sz w:val="20"/>
                <w:szCs w:val="20"/>
                <w:lang w:eastAsia="sk-SK"/>
              </w:rPr>
              <w:t xml:space="preserve">ktorým sa mení a dopĺňa zákon č. 272/2016 Z. z. o dôveryhodných službách pre elektronické transakcie na vnútornom trhu a o zmene a doplnení niektorých zákonov (zákon o dôveryhodných službách) v znení zákona č. </w:t>
            </w:r>
            <w:r w:rsidR="00201C7C">
              <w:rPr>
                <w:rFonts w:ascii="Times New Roman" w:eastAsia="Times New Roman" w:hAnsi="Times New Roman" w:cs="Times New Roman"/>
                <w:sz w:val="20"/>
                <w:szCs w:val="20"/>
                <w:lang w:eastAsia="sk-SK"/>
              </w:rPr>
              <w:t>211/2019 Z. z. a ktorým sa mení</w:t>
            </w:r>
            <w:r w:rsidR="00CA501C" w:rsidRPr="00CA501C">
              <w:rPr>
                <w:rFonts w:ascii="Times New Roman" w:eastAsia="Times New Roman" w:hAnsi="Times New Roman" w:cs="Times New Roman"/>
                <w:sz w:val="20"/>
                <w:szCs w:val="20"/>
                <w:lang w:eastAsia="sk-SK"/>
              </w:rPr>
              <w:t xml:space="preserve"> zákon č. 305/2013 Z. z. o elektronickej podobe výkonu pôsobnosti orgánov verejnej moci a o zmene a doplnení niektorých zákonov (zákon o e-Governmente) v znení neskorších predpisov</w:t>
            </w:r>
          </w:p>
          <w:p w14:paraId="42CC8658" w14:textId="77777777" w:rsidR="001B23B7" w:rsidRPr="00612E08" w:rsidRDefault="001B23B7" w:rsidP="0007791A">
            <w:pPr>
              <w:rPr>
                <w:rFonts w:ascii="Times New Roman" w:eastAsia="Times New Roman" w:hAnsi="Times New Roman" w:cs="Times New Roman"/>
                <w:sz w:val="20"/>
                <w:szCs w:val="20"/>
                <w:lang w:eastAsia="sk-SK"/>
              </w:rPr>
            </w:pPr>
          </w:p>
        </w:tc>
      </w:tr>
      <w:tr w:rsidR="00612E08" w:rsidRPr="00612E08" w14:paraId="1462BD0F" w14:textId="77777777" w:rsidTr="0007791A">
        <w:tc>
          <w:tcPr>
            <w:tcW w:w="9180" w:type="dxa"/>
            <w:gridSpan w:val="11"/>
            <w:tcBorders>
              <w:top w:val="single" w:sz="4" w:space="0" w:color="auto"/>
              <w:left w:val="single" w:sz="4" w:space="0" w:color="auto"/>
              <w:bottom w:val="single" w:sz="4" w:space="0" w:color="FFFFFF"/>
            </w:tcBorders>
            <w:shd w:val="clear" w:color="auto" w:fill="E2E2E2"/>
          </w:tcPr>
          <w:p w14:paraId="3BB11AED" w14:textId="77777777" w:rsidR="001B23B7" w:rsidRPr="00612E08" w:rsidRDefault="001B23B7" w:rsidP="0007791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7655A0A5" w14:textId="77777777" w:rsidTr="0007791A">
        <w:tc>
          <w:tcPr>
            <w:tcW w:w="9180" w:type="dxa"/>
            <w:gridSpan w:val="11"/>
            <w:tcBorders>
              <w:top w:val="single" w:sz="4" w:space="0" w:color="FFFFFF"/>
              <w:left w:val="single" w:sz="4" w:space="0" w:color="auto"/>
              <w:bottom w:val="single" w:sz="4" w:space="0" w:color="auto"/>
            </w:tcBorders>
            <w:shd w:val="clear" w:color="auto" w:fill="FFFFFF"/>
          </w:tcPr>
          <w:p w14:paraId="2AFB9C73" w14:textId="77777777" w:rsidR="000C374F" w:rsidRDefault="000C374F" w:rsidP="0007791A">
            <w:pPr>
              <w:rPr>
                <w:rFonts w:ascii="Times New Roman" w:eastAsia="Times New Roman" w:hAnsi="Times New Roman" w:cs="Times New Roman"/>
                <w:sz w:val="20"/>
                <w:szCs w:val="20"/>
                <w:lang w:eastAsia="sk-SK"/>
              </w:rPr>
            </w:pPr>
          </w:p>
          <w:p w14:paraId="11ADC3DE" w14:textId="77777777" w:rsidR="001B23B7" w:rsidRPr="00612E08" w:rsidRDefault="002B661B" w:rsidP="000779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Národný bezpečnostný úrad</w:t>
            </w:r>
            <w:r w:rsidR="00064E1E">
              <w:rPr>
                <w:rFonts w:ascii="Times New Roman" w:eastAsia="Times New Roman" w:hAnsi="Times New Roman" w:cs="Times New Roman"/>
                <w:sz w:val="20"/>
                <w:szCs w:val="20"/>
                <w:lang w:eastAsia="sk-SK"/>
              </w:rPr>
              <w:t xml:space="preserve"> </w:t>
            </w:r>
          </w:p>
          <w:p w14:paraId="523FD831" w14:textId="77777777" w:rsidR="001B23B7" w:rsidRPr="00612E08" w:rsidRDefault="001B23B7" w:rsidP="0007791A">
            <w:pPr>
              <w:rPr>
                <w:rFonts w:ascii="Times New Roman" w:eastAsia="Times New Roman" w:hAnsi="Times New Roman" w:cs="Times New Roman"/>
                <w:sz w:val="20"/>
                <w:szCs w:val="20"/>
                <w:lang w:eastAsia="sk-SK"/>
              </w:rPr>
            </w:pPr>
          </w:p>
        </w:tc>
      </w:tr>
      <w:tr w:rsidR="00612E08" w:rsidRPr="00612E08" w14:paraId="5B2CA917" w14:textId="77777777" w:rsidTr="0007791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E00D9C5" w14:textId="77777777" w:rsidR="001B23B7" w:rsidRPr="00612E08" w:rsidRDefault="001B23B7" w:rsidP="0007791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11AF2FEA" w14:textId="77777777" w:rsidR="001B23B7" w:rsidRPr="00612E08" w:rsidRDefault="000013C3" w:rsidP="0007791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8CDD337" w14:textId="77777777" w:rsidR="001B23B7" w:rsidRPr="00612E08" w:rsidRDefault="001B23B7" w:rsidP="0007791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01AE9D24" w14:textId="77777777" w:rsidTr="0007791A">
        <w:tc>
          <w:tcPr>
            <w:tcW w:w="4212" w:type="dxa"/>
            <w:gridSpan w:val="2"/>
            <w:vMerge/>
            <w:tcBorders>
              <w:top w:val="nil"/>
              <w:left w:val="single" w:sz="4" w:space="0" w:color="auto"/>
              <w:bottom w:val="single" w:sz="4" w:space="0" w:color="FFFFFF"/>
            </w:tcBorders>
            <w:shd w:val="clear" w:color="auto" w:fill="E2E2E2"/>
          </w:tcPr>
          <w:p w14:paraId="5B5FB577" w14:textId="77777777" w:rsidR="001B23B7" w:rsidRPr="00612E08" w:rsidRDefault="001B23B7" w:rsidP="0007791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01C17578" w14:textId="77777777" w:rsidR="001B23B7" w:rsidRPr="00612E08" w:rsidRDefault="002B661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5C42AE5" w14:textId="77777777" w:rsidR="001B23B7" w:rsidRPr="00612E08" w:rsidRDefault="001B23B7" w:rsidP="0007791A">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29EC4BAC" w14:textId="77777777" w:rsidTr="0007791A">
        <w:tc>
          <w:tcPr>
            <w:tcW w:w="4212" w:type="dxa"/>
            <w:gridSpan w:val="2"/>
            <w:vMerge/>
            <w:tcBorders>
              <w:top w:val="nil"/>
              <w:left w:val="single" w:sz="4" w:space="0" w:color="auto"/>
              <w:bottom w:val="single" w:sz="4" w:space="0" w:color="auto"/>
            </w:tcBorders>
            <w:shd w:val="clear" w:color="auto" w:fill="E2E2E2"/>
          </w:tcPr>
          <w:p w14:paraId="22CF218E" w14:textId="77777777" w:rsidR="001B23B7" w:rsidRPr="00612E08" w:rsidRDefault="001B23B7" w:rsidP="0007791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7F471642" w14:textId="77777777" w:rsidR="001B23B7" w:rsidRPr="00612E08" w:rsidRDefault="002B661B" w:rsidP="000779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52DD25E"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595121">
              <w:rPr>
                <w:rFonts w:ascii="Times New Roman" w:eastAsia="Times New Roman" w:hAnsi="Times New Roman" w:cs="Times New Roman"/>
                <w:sz w:val="20"/>
                <w:szCs w:val="20"/>
                <w:lang w:eastAsia="sk-SK"/>
              </w:rPr>
              <w:t xml:space="preserve"> </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77EAFC54" w14:textId="77777777" w:rsidTr="0007791A">
        <w:tc>
          <w:tcPr>
            <w:tcW w:w="9180" w:type="dxa"/>
            <w:gridSpan w:val="11"/>
            <w:tcBorders>
              <w:top w:val="single" w:sz="4" w:space="0" w:color="auto"/>
              <w:left w:val="single" w:sz="4" w:space="0" w:color="auto"/>
              <w:bottom w:val="single" w:sz="4" w:space="0" w:color="FFFFFF"/>
            </w:tcBorders>
            <w:shd w:val="clear" w:color="auto" w:fill="FFFFFF"/>
          </w:tcPr>
          <w:p w14:paraId="691FD20F" w14:textId="77777777" w:rsidR="00CC0261" w:rsidRDefault="00CC0261" w:rsidP="0060274F">
            <w:pPr>
              <w:jc w:val="both"/>
              <w:rPr>
                <w:rFonts w:ascii="Times New Roman" w:eastAsia="Times New Roman" w:hAnsi="Times New Roman" w:cs="Times New Roman"/>
                <w:sz w:val="20"/>
                <w:szCs w:val="20"/>
                <w:lang w:eastAsia="sk-SK"/>
              </w:rPr>
            </w:pPr>
          </w:p>
          <w:p w14:paraId="04CA7BB8" w14:textId="77777777" w:rsidR="002B661B" w:rsidRDefault="0060274F" w:rsidP="0060274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Pr="00BA5790">
              <w:rPr>
                <w:rFonts w:ascii="Times New Roman" w:eastAsia="Times New Roman" w:hAnsi="Times New Roman" w:cs="Times New Roman"/>
                <w:sz w:val="20"/>
                <w:szCs w:val="20"/>
                <w:lang w:eastAsia="sk-SK"/>
              </w:rPr>
              <w:t>ariadeni</w:t>
            </w:r>
            <w:r>
              <w:rPr>
                <w:rFonts w:ascii="Times New Roman" w:eastAsia="Times New Roman" w:hAnsi="Times New Roman" w:cs="Times New Roman"/>
                <w:sz w:val="20"/>
                <w:szCs w:val="20"/>
                <w:lang w:eastAsia="sk-SK"/>
              </w:rPr>
              <w:t>e</w:t>
            </w:r>
            <w:r w:rsidRPr="00BA5790">
              <w:rPr>
                <w:rFonts w:ascii="Times New Roman" w:eastAsia="Times New Roman" w:hAnsi="Times New Roman" w:cs="Times New Roman"/>
                <w:sz w:val="20"/>
                <w:szCs w:val="20"/>
                <w:lang w:eastAsia="sk-SK"/>
              </w:rPr>
              <w:t xml:space="preserve"> Európskeho parlamentu a Rady (EÚ) 2024/1183 z 11. apríla 2024, ktorým sa mení </w:t>
            </w:r>
            <w:r w:rsidRPr="00694DE3">
              <w:rPr>
                <w:rFonts w:ascii="Times New Roman" w:eastAsia="Times New Roman" w:hAnsi="Times New Roman" w:cs="Times New Roman"/>
                <w:sz w:val="20"/>
                <w:szCs w:val="20"/>
                <w:lang w:eastAsia="sk-SK"/>
              </w:rPr>
              <w:t>nariaden</w:t>
            </w:r>
            <w:r w:rsidR="001D54D4">
              <w:rPr>
                <w:rFonts w:ascii="Times New Roman" w:eastAsia="Times New Roman" w:hAnsi="Times New Roman" w:cs="Times New Roman"/>
                <w:sz w:val="20"/>
                <w:szCs w:val="20"/>
                <w:lang w:eastAsia="sk-SK"/>
              </w:rPr>
              <w:t>ie</w:t>
            </w:r>
            <w:r w:rsidRPr="00694DE3">
              <w:rPr>
                <w:rFonts w:ascii="Times New Roman" w:eastAsia="Times New Roman" w:hAnsi="Times New Roman" w:cs="Times New Roman"/>
                <w:sz w:val="20"/>
                <w:szCs w:val="20"/>
                <w:lang w:eastAsia="sk-SK"/>
              </w:rPr>
              <w:t xml:space="preserve"> Európskeho parlamentu a rady (EÚ) č. 910/2014 </w:t>
            </w:r>
            <w:r w:rsidR="001D54D4">
              <w:rPr>
                <w:rFonts w:ascii="Times New Roman" w:eastAsia="Times New Roman" w:hAnsi="Times New Roman" w:cs="Times New Roman"/>
                <w:sz w:val="20"/>
                <w:szCs w:val="20"/>
                <w:lang w:eastAsia="sk-SK"/>
              </w:rPr>
              <w:t>pokiaľ ide o zriadenie európskeho rámca digitálnej identity</w:t>
            </w:r>
            <w:r w:rsidR="00F16CB1">
              <w:rPr>
                <w:rFonts w:ascii="Times New Roman" w:eastAsia="Times New Roman" w:hAnsi="Times New Roman" w:cs="Times New Roman"/>
                <w:sz w:val="20"/>
                <w:szCs w:val="20"/>
                <w:lang w:eastAsia="sk-SK"/>
              </w:rPr>
              <w:t xml:space="preserve"> (Ú. v. EÚ L 2024/1183, 30.4.2024)</w:t>
            </w:r>
            <w:r w:rsidR="00B25B30">
              <w:rPr>
                <w:rFonts w:ascii="Times New Roman" w:eastAsia="Times New Roman" w:hAnsi="Times New Roman" w:cs="Times New Roman"/>
                <w:sz w:val="20"/>
                <w:szCs w:val="20"/>
                <w:lang w:eastAsia="sk-SK"/>
              </w:rPr>
              <w:t>.</w:t>
            </w:r>
          </w:p>
          <w:p w14:paraId="66F8F564" w14:textId="77777777" w:rsidR="0060274F" w:rsidRPr="00612E08" w:rsidRDefault="0060274F" w:rsidP="0060274F">
            <w:pPr>
              <w:jc w:val="both"/>
              <w:rPr>
                <w:rFonts w:ascii="Times New Roman" w:eastAsia="Times New Roman" w:hAnsi="Times New Roman" w:cs="Times New Roman"/>
                <w:sz w:val="20"/>
                <w:szCs w:val="20"/>
                <w:lang w:eastAsia="sk-SK"/>
              </w:rPr>
            </w:pPr>
          </w:p>
        </w:tc>
      </w:tr>
      <w:tr w:rsidR="00612E08" w:rsidRPr="00612E08" w14:paraId="662F2BC0" w14:textId="77777777" w:rsidTr="0007791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CDF1E27" w14:textId="77777777" w:rsidR="001B23B7" w:rsidRPr="00612E08" w:rsidRDefault="001B23B7" w:rsidP="0007791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694668D" w14:textId="77777777" w:rsidR="001B23B7" w:rsidRPr="001915F3" w:rsidRDefault="001B23B7" w:rsidP="0007791A">
            <w:pPr>
              <w:rPr>
                <w:rFonts w:ascii="Times New Roman" w:eastAsia="Times New Roman" w:hAnsi="Times New Roman" w:cs="Times New Roman"/>
                <w:sz w:val="20"/>
                <w:szCs w:val="20"/>
                <w:lang w:eastAsia="sk-SK"/>
              </w:rPr>
            </w:pPr>
          </w:p>
        </w:tc>
      </w:tr>
      <w:tr w:rsidR="00612E08" w:rsidRPr="00612E08" w14:paraId="4361F6CB" w14:textId="77777777" w:rsidTr="0007791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AAE609B"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EBCFDD0" w14:textId="77777777" w:rsidR="001B23B7" w:rsidRPr="001915F3" w:rsidRDefault="00E41F20" w:rsidP="00AD20C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júl</w:t>
            </w:r>
            <w:r w:rsidR="001915F3" w:rsidRPr="001915F3">
              <w:rPr>
                <w:rFonts w:ascii="Times New Roman" w:eastAsia="Times New Roman" w:hAnsi="Times New Roman" w:cs="Times New Roman"/>
                <w:sz w:val="20"/>
                <w:szCs w:val="20"/>
                <w:lang w:eastAsia="sk-SK"/>
              </w:rPr>
              <w:t xml:space="preserve"> 2024 </w:t>
            </w:r>
          </w:p>
        </w:tc>
      </w:tr>
      <w:tr w:rsidR="00612E08" w:rsidRPr="00612E08" w14:paraId="6D9F7252"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045A89C"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B621A80" w14:textId="207738A4" w:rsidR="001B23B7" w:rsidRPr="001915F3" w:rsidRDefault="0004388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september</w:t>
            </w:r>
            <w:r w:rsidR="00882441">
              <w:rPr>
                <w:rFonts w:ascii="Times New Roman" w:eastAsia="Times New Roman" w:hAnsi="Times New Roman" w:cs="Times New Roman"/>
                <w:sz w:val="20"/>
                <w:szCs w:val="20"/>
                <w:lang w:eastAsia="sk-SK"/>
              </w:rPr>
              <w:t xml:space="preserve"> 2024</w:t>
            </w:r>
          </w:p>
        </w:tc>
      </w:tr>
      <w:tr w:rsidR="00612E08" w:rsidRPr="00612E08" w14:paraId="1AB0F17A" w14:textId="77777777" w:rsidTr="0007791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8F19B1E" w14:textId="77777777" w:rsidR="001B23B7" w:rsidRPr="00612E08" w:rsidRDefault="001B23B7" w:rsidP="0007791A">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7D893F6" w14:textId="010DEA4F" w:rsidR="001B23B7" w:rsidRPr="001915F3" w:rsidRDefault="0043367E" w:rsidP="000779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október 2024</w:t>
            </w:r>
          </w:p>
        </w:tc>
      </w:tr>
      <w:tr w:rsidR="00612E08" w:rsidRPr="00612E08" w14:paraId="768874C2" w14:textId="77777777" w:rsidTr="0007791A">
        <w:tc>
          <w:tcPr>
            <w:tcW w:w="9180" w:type="dxa"/>
            <w:gridSpan w:val="11"/>
            <w:tcBorders>
              <w:top w:val="single" w:sz="4" w:space="0" w:color="auto"/>
              <w:left w:val="nil"/>
              <w:bottom w:val="single" w:sz="4" w:space="0" w:color="auto"/>
              <w:right w:val="nil"/>
            </w:tcBorders>
            <w:shd w:val="clear" w:color="auto" w:fill="FFFFFF"/>
          </w:tcPr>
          <w:p w14:paraId="112C9623" w14:textId="77777777" w:rsidR="001B23B7" w:rsidRPr="00612E08" w:rsidRDefault="001B23B7" w:rsidP="0007791A">
            <w:pPr>
              <w:rPr>
                <w:rFonts w:ascii="Times New Roman" w:eastAsia="Times New Roman" w:hAnsi="Times New Roman" w:cs="Times New Roman"/>
                <w:sz w:val="20"/>
                <w:szCs w:val="20"/>
                <w:lang w:eastAsia="sk-SK"/>
              </w:rPr>
            </w:pPr>
          </w:p>
        </w:tc>
      </w:tr>
      <w:tr w:rsidR="00612E08" w:rsidRPr="00612E08" w14:paraId="121F0BC1" w14:textId="77777777" w:rsidTr="000779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BF43195"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304E79C1" w14:textId="77777777" w:rsidTr="00EE1B13">
        <w:trPr>
          <w:trHeight w:val="3227"/>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C12B0DF" w14:textId="77777777" w:rsidR="00CC0261" w:rsidRDefault="00CC0261" w:rsidP="0007791A">
            <w:pPr>
              <w:rPr>
                <w:rFonts w:ascii="Times New Roman" w:eastAsia="Times New Roman" w:hAnsi="Times New Roman" w:cs="Times New Roman"/>
                <w:sz w:val="20"/>
                <w:szCs w:val="20"/>
                <w:lang w:eastAsia="sk-SK"/>
              </w:rPr>
            </w:pPr>
          </w:p>
          <w:p w14:paraId="041838FA" w14:textId="77777777" w:rsidR="00CC0261" w:rsidRPr="00612E08" w:rsidRDefault="00CC0261" w:rsidP="00AB0145">
            <w:pPr>
              <w:jc w:val="both"/>
              <w:rPr>
                <w:rFonts w:ascii="Times New Roman" w:eastAsia="Times New Roman" w:hAnsi="Times New Roman" w:cs="Times New Roman"/>
                <w:b/>
                <w:sz w:val="20"/>
                <w:szCs w:val="20"/>
                <w:lang w:eastAsia="sk-SK"/>
              </w:rPr>
            </w:pPr>
            <w:r w:rsidRPr="00CC0261">
              <w:rPr>
                <w:rFonts w:ascii="Times New Roman" w:eastAsia="Times New Roman" w:hAnsi="Times New Roman" w:cs="Times New Roman"/>
                <w:sz w:val="20"/>
                <w:szCs w:val="20"/>
                <w:lang w:eastAsia="sk-SK"/>
              </w:rPr>
              <w:t xml:space="preserve">Zákonom č. </w:t>
            </w:r>
            <w:r w:rsidR="00204BDE" w:rsidRPr="00E41F20">
              <w:rPr>
                <w:rFonts w:ascii="Times New Roman" w:eastAsia="Times New Roman" w:hAnsi="Times New Roman" w:cs="Times New Roman"/>
                <w:sz w:val="20"/>
                <w:szCs w:val="20"/>
                <w:lang w:eastAsia="sk-SK"/>
              </w:rPr>
              <w:t xml:space="preserve">272/2016 Z. z. o dôveryhodných službách pre elektronické transakcie na vnútornom trhu a o zmene a doplnení niektorých zákonov (zákon o dôveryhodných službách) </w:t>
            </w:r>
            <w:r w:rsidR="00B25B30">
              <w:rPr>
                <w:rFonts w:ascii="Times New Roman" w:eastAsia="Times New Roman" w:hAnsi="Times New Roman" w:cs="Times New Roman"/>
                <w:sz w:val="20"/>
                <w:szCs w:val="20"/>
                <w:lang w:eastAsia="sk-SK"/>
              </w:rPr>
              <w:t xml:space="preserve">(ďalej len „zákon o dôveryhodných službách“) </w:t>
            </w:r>
            <w:r w:rsidR="00AA7E69">
              <w:rPr>
                <w:rFonts w:ascii="Times New Roman" w:eastAsia="Times New Roman" w:hAnsi="Times New Roman" w:cs="Times New Roman"/>
                <w:sz w:val="20"/>
                <w:szCs w:val="20"/>
                <w:lang w:eastAsia="sk-SK"/>
              </w:rPr>
              <w:t>bol</w:t>
            </w:r>
            <w:r w:rsidR="00065625">
              <w:rPr>
                <w:rFonts w:ascii="Times New Roman" w:eastAsia="Times New Roman" w:hAnsi="Times New Roman" w:cs="Times New Roman"/>
                <w:sz w:val="20"/>
                <w:szCs w:val="20"/>
                <w:lang w:eastAsia="sk-SK"/>
              </w:rPr>
              <w:t>o</w:t>
            </w:r>
            <w:r w:rsidRPr="00CC0261">
              <w:rPr>
                <w:rFonts w:ascii="Times New Roman" w:eastAsia="Times New Roman" w:hAnsi="Times New Roman" w:cs="Times New Roman"/>
                <w:sz w:val="20"/>
                <w:szCs w:val="20"/>
                <w:lang w:eastAsia="sk-SK"/>
              </w:rPr>
              <w:t xml:space="preserve"> do právneho poriadku Slov</w:t>
            </w:r>
            <w:r w:rsidR="007F5771">
              <w:rPr>
                <w:rFonts w:ascii="Times New Roman" w:eastAsia="Times New Roman" w:hAnsi="Times New Roman" w:cs="Times New Roman"/>
                <w:sz w:val="20"/>
                <w:szCs w:val="20"/>
                <w:lang w:eastAsia="sk-SK"/>
              </w:rPr>
              <w:t xml:space="preserve">enskej republiky </w:t>
            </w:r>
            <w:r w:rsidR="00065625">
              <w:rPr>
                <w:rFonts w:ascii="Times New Roman" w:eastAsia="Times New Roman" w:hAnsi="Times New Roman" w:cs="Times New Roman"/>
                <w:sz w:val="20"/>
                <w:szCs w:val="20"/>
                <w:lang w:eastAsia="sk-SK"/>
              </w:rPr>
              <w:t>implementované</w:t>
            </w:r>
            <w:r w:rsidR="00694DE3" w:rsidRPr="00694DE3">
              <w:rPr>
                <w:rFonts w:ascii="Times New Roman" w:eastAsia="Times New Roman" w:hAnsi="Times New Roman" w:cs="Times New Roman"/>
                <w:sz w:val="20"/>
                <w:szCs w:val="20"/>
                <w:lang w:eastAsia="sk-SK"/>
              </w:rPr>
              <w:t xml:space="preserve"> </w:t>
            </w:r>
            <w:r w:rsidR="00065625">
              <w:rPr>
                <w:rFonts w:ascii="Times New Roman" w:eastAsia="Times New Roman" w:hAnsi="Times New Roman" w:cs="Times New Roman"/>
                <w:sz w:val="20"/>
                <w:szCs w:val="20"/>
                <w:lang w:eastAsia="sk-SK"/>
              </w:rPr>
              <w:t>nariadenie</w:t>
            </w:r>
            <w:r w:rsidR="00694DE3" w:rsidRPr="00694DE3">
              <w:rPr>
                <w:rFonts w:ascii="Times New Roman" w:eastAsia="Times New Roman" w:hAnsi="Times New Roman" w:cs="Times New Roman"/>
                <w:sz w:val="20"/>
                <w:szCs w:val="20"/>
                <w:lang w:eastAsia="sk-SK"/>
              </w:rPr>
              <w:t xml:space="preserve"> Európskeho parlamentu a rady (EÚ) č. 910/2014 z 23. júla 2014 </w:t>
            </w:r>
            <w:r w:rsidR="00B25B30">
              <w:rPr>
                <w:rFonts w:ascii="Times New Roman" w:eastAsia="Times New Roman" w:hAnsi="Times New Roman" w:cs="Times New Roman"/>
                <w:sz w:val="20"/>
                <w:szCs w:val="20"/>
                <w:lang w:eastAsia="sk-SK"/>
              </w:rPr>
              <w:t>o elektronickej identifikácii a </w:t>
            </w:r>
            <w:r w:rsidR="00694DE3" w:rsidRPr="00694DE3">
              <w:rPr>
                <w:rFonts w:ascii="Times New Roman" w:eastAsia="Times New Roman" w:hAnsi="Times New Roman" w:cs="Times New Roman"/>
                <w:sz w:val="20"/>
                <w:szCs w:val="20"/>
                <w:lang w:eastAsia="sk-SK"/>
              </w:rPr>
              <w:t xml:space="preserve">dôveryhodných službách pre elektronické transakcie na vnútornom trhu a o zrušení </w:t>
            </w:r>
            <w:r w:rsidR="00E01C80">
              <w:rPr>
                <w:rFonts w:ascii="Times New Roman" w:eastAsia="Times New Roman" w:hAnsi="Times New Roman" w:cs="Times New Roman"/>
                <w:sz w:val="20"/>
                <w:szCs w:val="20"/>
                <w:lang w:eastAsia="sk-SK"/>
              </w:rPr>
              <w:t xml:space="preserve">smernice 1999/93/ES </w:t>
            </w:r>
            <w:r w:rsidR="00CA5353">
              <w:rPr>
                <w:rFonts w:ascii="Times New Roman" w:eastAsia="Times New Roman" w:hAnsi="Times New Roman" w:cs="Times New Roman"/>
                <w:sz w:val="20"/>
                <w:szCs w:val="20"/>
                <w:lang w:eastAsia="sk-SK"/>
              </w:rPr>
              <w:t>(Ú. v. EÚ L 257, 28.8.2014) [</w:t>
            </w:r>
            <w:r w:rsidR="00E01C80">
              <w:rPr>
                <w:rFonts w:ascii="Times New Roman" w:eastAsia="Times New Roman" w:hAnsi="Times New Roman" w:cs="Times New Roman"/>
                <w:sz w:val="20"/>
                <w:szCs w:val="20"/>
                <w:lang w:eastAsia="sk-SK"/>
              </w:rPr>
              <w:t xml:space="preserve">ďalej len „nariadenie </w:t>
            </w:r>
            <w:r w:rsidR="003476AD">
              <w:rPr>
                <w:rFonts w:ascii="Times New Roman" w:eastAsia="Times New Roman" w:hAnsi="Times New Roman" w:cs="Times New Roman"/>
                <w:sz w:val="20"/>
                <w:szCs w:val="20"/>
                <w:lang w:eastAsia="sk-SK"/>
              </w:rPr>
              <w:t>(EÚ) č. 910/2014</w:t>
            </w:r>
            <w:r w:rsidR="00E01C80">
              <w:rPr>
                <w:rFonts w:ascii="Times New Roman" w:eastAsia="Times New Roman" w:hAnsi="Times New Roman" w:cs="Times New Roman"/>
                <w:sz w:val="20"/>
                <w:szCs w:val="20"/>
                <w:lang w:eastAsia="sk-SK"/>
              </w:rPr>
              <w:t>“</w:t>
            </w:r>
            <w:r w:rsidR="003476AD">
              <w:rPr>
                <w:rFonts w:ascii="Times New Roman" w:eastAsia="Times New Roman" w:hAnsi="Times New Roman" w:cs="Times New Roman"/>
                <w:sz w:val="20"/>
                <w:szCs w:val="20"/>
                <w:lang w:eastAsia="sk-SK"/>
              </w:rPr>
              <w:t>]</w:t>
            </w:r>
            <w:r w:rsidR="00694DE3" w:rsidRPr="00694DE3">
              <w:rPr>
                <w:rFonts w:ascii="Times New Roman" w:eastAsia="Times New Roman" w:hAnsi="Times New Roman" w:cs="Times New Roman"/>
                <w:sz w:val="20"/>
                <w:szCs w:val="20"/>
                <w:lang w:eastAsia="sk-SK"/>
              </w:rPr>
              <w:t>.</w:t>
            </w:r>
            <w:r w:rsidR="00694DE3">
              <w:rPr>
                <w:rFonts w:ascii="Times New Roman" w:eastAsia="Times New Roman" w:hAnsi="Times New Roman" w:cs="Times New Roman"/>
                <w:sz w:val="20"/>
                <w:szCs w:val="20"/>
                <w:lang w:eastAsia="sk-SK"/>
              </w:rPr>
              <w:t xml:space="preserve"> </w:t>
            </w:r>
            <w:r w:rsidR="00FB4352" w:rsidRPr="00FB4352">
              <w:rPr>
                <w:rFonts w:ascii="Times New Roman" w:eastAsia="Times New Roman" w:hAnsi="Times New Roman" w:cs="Times New Roman"/>
                <w:sz w:val="20"/>
                <w:szCs w:val="20"/>
                <w:lang w:eastAsia="sk-SK"/>
              </w:rPr>
              <w:t xml:space="preserve">Cieľom nariadenia </w:t>
            </w:r>
            <w:r w:rsidR="00BD11E1">
              <w:rPr>
                <w:rFonts w:ascii="Times New Roman" w:eastAsia="Times New Roman" w:hAnsi="Times New Roman" w:cs="Times New Roman"/>
                <w:sz w:val="20"/>
                <w:szCs w:val="20"/>
                <w:lang w:eastAsia="sk-SK"/>
              </w:rPr>
              <w:t xml:space="preserve">(EÚ) č. 910/2014 </w:t>
            </w:r>
            <w:r w:rsidR="00E01C80">
              <w:rPr>
                <w:rFonts w:ascii="Times New Roman" w:eastAsia="Times New Roman" w:hAnsi="Times New Roman" w:cs="Times New Roman"/>
                <w:sz w:val="20"/>
                <w:szCs w:val="20"/>
                <w:lang w:eastAsia="sk-SK"/>
              </w:rPr>
              <w:t>je</w:t>
            </w:r>
            <w:r w:rsidR="00FB4352" w:rsidRPr="00FB4352">
              <w:rPr>
                <w:rFonts w:ascii="Times New Roman" w:eastAsia="Times New Roman" w:hAnsi="Times New Roman" w:cs="Times New Roman"/>
                <w:sz w:val="20"/>
                <w:szCs w:val="20"/>
                <w:lang w:eastAsia="sk-SK"/>
              </w:rPr>
              <w:t xml:space="preserve"> posilniť dôveru pri elektronických transakciách na vnútornom trhu vytvorením spoločného základu pre bezpečné elektronické interakcie medzi občanmi, podnikmi a orgánmi verejnej </w:t>
            </w:r>
            <w:r w:rsidR="00BD11E1">
              <w:rPr>
                <w:rFonts w:ascii="Times New Roman" w:eastAsia="Times New Roman" w:hAnsi="Times New Roman" w:cs="Times New Roman"/>
                <w:sz w:val="20"/>
                <w:szCs w:val="20"/>
                <w:lang w:eastAsia="sk-SK"/>
              </w:rPr>
              <w:t>moci</w:t>
            </w:r>
            <w:r w:rsidR="00FB4352" w:rsidRPr="00FB4352">
              <w:rPr>
                <w:rFonts w:ascii="Times New Roman" w:eastAsia="Times New Roman" w:hAnsi="Times New Roman" w:cs="Times New Roman"/>
                <w:sz w:val="20"/>
                <w:szCs w:val="20"/>
                <w:lang w:eastAsia="sk-SK"/>
              </w:rPr>
              <w:t>, čím sa zvýši účinnosť verejných a súkromných on-line služieb, elektronického podnikania a elektronického obchodu v E</w:t>
            </w:r>
            <w:r w:rsidR="006A0981">
              <w:rPr>
                <w:rFonts w:ascii="Times New Roman" w:eastAsia="Times New Roman" w:hAnsi="Times New Roman" w:cs="Times New Roman"/>
                <w:sz w:val="20"/>
                <w:szCs w:val="20"/>
                <w:lang w:eastAsia="sk-SK"/>
              </w:rPr>
              <w:t>urópskej únii (ďalej len „Únia“</w:t>
            </w:r>
            <w:r w:rsidR="00830327">
              <w:rPr>
                <w:rFonts w:ascii="Times New Roman" w:eastAsia="Times New Roman" w:hAnsi="Times New Roman" w:cs="Times New Roman"/>
                <w:sz w:val="20"/>
                <w:szCs w:val="20"/>
                <w:lang w:eastAsia="sk-SK"/>
              </w:rPr>
              <w:t>).</w:t>
            </w:r>
            <w:r w:rsidR="00FB4352" w:rsidRPr="00FB4352">
              <w:rPr>
                <w:rFonts w:ascii="Times New Roman" w:eastAsia="Times New Roman" w:hAnsi="Times New Roman" w:cs="Times New Roman"/>
                <w:sz w:val="20"/>
                <w:szCs w:val="20"/>
                <w:lang w:eastAsia="sk-SK"/>
              </w:rPr>
              <w:t xml:space="preserve"> Pre dosiahnutie predmetného cieľa nariadenie </w:t>
            </w:r>
            <w:r w:rsidR="00BD11E1">
              <w:rPr>
                <w:rFonts w:ascii="Times New Roman" w:eastAsia="Times New Roman" w:hAnsi="Times New Roman" w:cs="Times New Roman"/>
                <w:sz w:val="20"/>
                <w:szCs w:val="20"/>
                <w:lang w:eastAsia="sk-SK"/>
              </w:rPr>
              <w:t>(EÚ) č. 910/2014</w:t>
            </w:r>
            <w:r w:rsidR="00FB4352" w:rsidRPr="00FB4352">
              <w:rPr>
                <w:rFonts w:ascii="Times New Roman" w:eastAsia="Times New Roman" w:hAnsi="Times New Roman" w:cs="Times New Roman"/>
                <w:sz w:val="20"/>
                <w:szCs w:val="20"/>
                <w:lang w:eastAsia="sk-SK"/>
              </w:rPr>
              <w:t xml:space="preserve"> vytvára podmienky pre vzájomné uznávanie kľúčových cezhraničných prostriedkov komunikácie ako sú elektronická identifikácia, elektronické dokumenty, elektronické podpisy a elektronické doručovacie služby.</w:t>
            </w:r>
          </w:p>
        </w:tc>
      </w:tr>
      <w:tr w:rsidR="00612E08" w:rsidRPr="00612E08" w14:paraId="5103CF02" w14:textId="77777777" w:rsidTr="0007791A">
        <w:tc>
          <w:tcPr>
            <w:tcW w:w="9180" w:type="dxa"/>
            <w:gridSpan w:val="11"/>
            <w:tcBorders>
              <w:top w:val="single" w:sz="4" w:space="0" w:color="auto"/>
              <w:left w:val="single" w:sz="4" w:space="0" w:color="auto"/>
              <w:bottom w:val="nil"/>
              <w:right w:val="single" w:sz="4" w:space="0" w:color="auto"/>
            </w:tcBorders>
            <w:shd w:val="clear" w:color="auto" w:fill="E2E2E2"/>
          </w:tcPr>
          <w:p w14:paraId="4DA1BE06"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34688145" w14:textId="77777777" w:rsidTr="0007791A">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A296FF9" w14:textId="77777777" w:rsidR="00CC0261" w:rsidRDefault="00CC0261" w:rsidP="0007791A">
            <w:pPr>
              <w:rPr>
                <w:rFonts w:ascii="Times New Roman" w:eastAsia="Times New Roman" w:hAnsi="Times New Roman" w:cs="Times New Roman"/>
                <w:sz w:val="20"/>
                <w:szCs w:val="20"/>
                <w:lang w:eastAsia="sk-SK"/>
              </w:rPr>
            </w:pPr>
          </w:p>
          <w:p w14:paraId="42B95AAE" w14:textId="4C8D7F51" w:rsidR="001B23B7" w:rsidRDefault="00CC0261" w:rsidP="00CC0261">
            <w:pPr>
              <w:jc w:val="both"/>
              <w:rPr>
                <w:rFonts w:ascii="Times New Roman" w:eastAsia="Times New Roman" w:hAnsi="Times New Roman" w:cs="Times New Roman"/>
                <w:sz w:val="20"/>
                <w:szCs w:val="20"/>
                <w:lang w:eastAsia="sk-SK"/>
              </w:rPr>
            </w:pPr>
            <w:r w:rsidRPr="00CC0261">
              <w:rPr>
                <w:rFonts w:ascii="Times New Roman" w:eastAsia="Times New Roman" w:hAnsi="Times New Roman" w:cs="Times New Roman"/>
                <w:sz w:val="20"/>
                <w:szCs w:val="20"/>
                <w:lang w:eastAsia="sk-SK"/>
              </w:rPr>
              <w:t>Cieľ</w:t>
            </w:r>
            <w:r w:rsidR="00AB5A67">
              <w:rPr>
                <w:rFonts w:ascii="Times New Roman" w:eastAsia="Times New Roman" w:hAnsi="Times New Roman" w:cs="Times New Roman"/>
                <w:sz w:val="20"/>
                <w:szCs w:val="20"/>
                <w:lang w:eastAsia="sk-SK"/>
              </w:rPr>
              <w:t xml:space="preserve">om </w:t>
            </w:r>
            <w:r w:rsidR="00AB3C62">
              <w:rPr>
                <w:rFonts w:ascii="Times New Roman" w:eastAsia="Times New Roman" w:hAnsi="Times New Roman" w:cs="Times New Roman"/>
                <w:sz w:val="20"/>
                <w:szCs w:val="20"/>
                <w:lang w:eastAsia="sk-SK"/>
              </w:rPr>
              <w:t>n</w:t>
            </w:r>
            <w:r w:rsidR="00AB3C62" w:rsidRPr="00AB3C62">
              <w:rPr>
                <w:rFonts w:ascii="Times New Roman" w:eastAsia="Times New Roman" w:hAnsi="Times New Roman" w:cs="Times New Roman"/>
                <w:sz w:val="20"/>
                <w:szCs w:val="20"/>
                <w:lang w:eastAsia="sk-SK"/>
              </w:rPr>
              <w:t>ávrh</w:t>
            </w:r>
            <w:r w:rsidR="00AB3C62">
              <w:rPr>
                <w:rFonts w:ascii="Times New Roman" w:eastAsia="Times New Roman" w:hAnsi="Times New Roman" w:cs="Times New Roman"/>
                <w:sz w:val="20"/>
                <w:szCs w:val="20"/>
                <w:lang w:eastAsia="sk-SK"/>
              </w:rPr>
              <w:t>u</w:t>
            </w:r>
            <w:r w:rsidR="00AB3C62" w:rsidRPr="00AB3C62">
              <w:rPr>
                <w:rFonts w:ascii="Times New Roman" w:eastAsia="Times New Roman" w:hAnsi="Times New Roman" w:cs="Times New Roman"/>
                <w:sz w:val="20"/>
                <w:szCs w:val="20"/>
                <w:lang w:eastAsia="sk-SK"/>
              </w:rPr>
              <w:t xml:space="preserve"> zákona, </w:t>
            </w:r>
            <w:r w:rsidR="00F557E0" w:rsidRPr="00F557E0">
              <w:rPr>
                <w:rFonts w:ascii="Times New Roman" w:hAnsi="Times New Roman" w:cs="Times New Roman"/>
                <w:sz w:val="20"/>
              </w:rPr>
              <w:t xml:space="preserve">ktorým sa mení a dopĺňa zákon č. 272/2016 Z. z. o dôveryhodných službách pre elektronické transakcie na vnútornom trhu a o zmene a doplnení niektorých zákonov (zákon o dôveryhodných službách) v znení zákona č. 211/2019 Z. z. a ktorým sa mení </w:t>
            </w:r>
            <w:r w:rsidR="00E93972">
              <w:rPr>
                <w:rFonts w:ascii="Times New Roman" w:hAnsi="Times New Roman" w:cs="Times New Roman"/>
                <w:sz w:val="20"/>
              </w:rPr>
              <w:t xml:space="preserve">a dopĺňa </w:t>
            </w:r>
            <w:r w:rsidR="00F557E0" w:rsidRPr="00F557E0">
              <w:rPr>
                <w:rFonts w:ascii="Times New Roman" w:hAnsi="Times New Roman" w:cs="Times New Roman"/>
                <w:sz w:val="20"/>
              </w:rPr>
              <w:t>zákon č. 305/2013 Z. z. o elektronickej podobe výkonu pôsobnosti orgánov verejnej moci a o zmene a doplnení niektorých zákonov (zákon o e- Governmente) v znení neskorších predpisov</w:t>
            </w:r>
            <w:r w:rsidR="00F557E0" w:rsidRPr="00F557E0">
              <w:rPr>
                <w:rFonts w:ascii="Times New Roman" w:hAnsi="Times New Roman" w:cs="Times New Roman"/>
                <w:b/>
                <w:sz w:val="20"/>
              </w:rPr>
              <w:t xml:space="preserve"> </w:t>
            </w:r>
            <w:r w:rsidR="00AB5A67">
              <w:rPr>
                <w:rFonts w:ascii="Times New Roman" w:eastAsia="Times New Roman" w:hAnsi="Times New Roman" w:cs="Times New Roman"/>
                <w:sz w:val="20"/>
                <w:szCs w:val="20"/>
                <w:lang w:eastAsia="sk-SK"/>
              </w:rPr>
              <w:t xml:space="preserve">je </w:t>
            </w:r>
            <w:r w:rsidR="005E32B1">
              <w:rPr>
                <w:rFonts w:ascii="Times New Roman" w:eastAsia="Times New Roman" w:hAnsi="Times New Roman" w:cs="Times New Roman"/>
                <w:sz w:val="20"/>
                <w:szCs w:val="20"/>
                <w:lang w:eastAsia="sk-SK"/>
              </w:rPr>
              <w:t>implementovať</w:t>
            </w:r>
            <w:r w:rsidRPr="00CC0261">
              <w:rPr>
                <w:rFonts w:ascii="Times New Roman" w:eastAsia="Times New Roman" w:hAnsi="Times New Roman" w:cs="Times New Roman"/>
                <w:sz w:val="20"/>
                <w:szCs w:val="20"/>
                <w:lang w:eastAsia="sk-SK"/>
              </w:rPr>
              <w:t xml:space="preserve"> </w:t>
            </w:r>
            <w:r w:rsidR="00BA5790">
              <w:rPr>
                <w:rFonts w:ascii="Times New Roman" w:eastAsia="Times New Roman" w:hAnsi="Times New Roman" w:cs="Times New Roman"/>
                <w:sz w:val="20"/>
                <w:szCs w:val="20"/>
                <w:lang w:eastAsia="sk-SK"/>
              </w:rPr>
              <w:t>n</w:t>
            </w:r>
            <w:r w:rsidR="00BA5790" w:rsidRPr="00BA5790">
              <w:rPr>
                <w:rFonts w:ascii="Times New Roman" w:eastAsia="Times New Roman" w:hAnsi="Times New Roman" w:cs="Times New Roman"/>
                <w:sz w:val="20"/>
                <w:szCs w:val="20"/>
                <w:lang w:eastAsia="sk-SK"/>
              </w:rPr>
              <w:t>ariadeni</w:t>
            </w:r>
            <w:r w:rsidR="00BA5790">
              <w:rPr>
                <w:rFonts w:ascii="Times New Roman" w:eastAsia="Times New Roman" w:hAnsi="Times New Roman" w:cs="Times New Roman"/>
                <w:sz w:val="20"/>
                <w:szCs w:val="20"/>
                <w:lang w:eastAsia="sk-SK"/>
              </w:rPr>
              <w:t>e</w:t>
            </w:r>
            <w:r w:rsidR="00BA5790" w:rsidRPr="00BA5790">
              <w:rPr>
                <w:rFonts w:ascii="Times New Roman" w:eastAsia="Times New Roman" w:hAnsi="Times New Roman" w:cs="Times New Roman"/>
                <w:sz w:val="20"/>
                <w:szCs w:val="20"/>
                <w:lang w:eastAsia="sk-SK"/>
              </w:rPr>
              <w:t xml:space="preserve"> Európskeho parlamentu a Rady (EÚ) 2024/1183 z 11. apríla 2024, ktorým sa mení </w:t>
            </w:r>
            <w:r w:rsidR="004F60E3">
              <w:rPr>
                <w:rFonts w:ascii="Times New Roman" w:eastAsia="Times New Roman" w:hAnsi="Times New Roman" w:cs="Times New Roman"/>
                <w:sz w:val="20"/>
                <w:szCs w:val="20"/>
                <w:lang w:eastAsia="sk-SK"/>
              </w:rPr>
              <w:t>nariadenie (EÚ) č. 910/2014</w:t>
            </w:r>
            <w:r w:rsidR="00BA5790" w:rsidRPr="00BA5790">
              <w:rPr>
                <w:rFonts w:ascii="Times New Roman" w:eastAsia="Times New Roman" w:hAnsi="Times New Roman" w:cs="Times New Roman"/>
                <w:sz w:val="20"/>
                <w:szCs w:val="20"/>
                <w:lang w:eastAsia="sk-SK"/>
              </w:rPr>
              <w:t xml:space="preserve">, pokiaľ ide o zriadenie európskeho rámca digitálnej identity </w:t>
            </w:r>
            <w:r w:rsidR="0022491E">
              <w:rPr>
                <w:rFonts w:ascii="Times New Roman" w:eastAsia="Times New Roman" w:hAnsi="Times New Roman" w:cs="Times New Roman"/>
                <w:sz w:val="20"/>
                <w:szCs w:val="20"/>
                <w:lang w:eastAsia="sk-SK"/>
              </w:rPr>
              <w:t>[</w:t>
            </w:r>
            <w:r w:rsidR="009A3C95">
              <w:rPr>
                <w:rFonts w:ascii="Times New Roman" w:eastAsia="Times New Roman" w:hAnsi="Times New Roman" w:cs="Times New Roman"/>
                <w:sz w:val="20"/>
                <w:szCs w:val="20"/>
                <w:lang w:eastAsia="sk-SK"/>
              </w:rPr>
              <w:t xml:space="preserve">ďalej len „nariadenie </w:t>
            </w:r>
            <w:r w:rsidR="0022491E">
              <w:rPr>
                <w:rFonts w:ascii="Times New Roman" w:eastAsia="Times New Roman" w:hAnsi="Times New Roman" w:cs="Times New Roman"/>
                <w:sz w:val="20"/>
                <w:szCs w:val="20"/>
                <w:lang w:eastAsia="sk-SK"/>
              </w:rPr>
              <w:t>(EÚ) č. 910/2014</w:t>
            </w:r>
            <w:r w:rsidR="007C2E9B">
              <w:rPr>
                <w:rFonts w:ascii="Times New Roman" w:eastAsia="Times New Roman" w:hAnsi="Times New Roman" w:cs="Times New Roman"/>
                <w:sz w:val="20"/>
                <w:szCs w:val="20"/>
                <w:lang w:eastAsia="sk-SK"/>
              </w:rPr>
              <w:t xml:space="preserve"> v platnom znení“</w:t>
            </w:r>
            <w:r w:rsidR="0022491E">
              <w:rPr>
                <w:rFonts w:ascii="Times New Roman" w:eastAsia="Times New Roman" w:hAnsi="Times New Roman" w:cs="Times New Roman"/>
                <w:sz w:val="20"/>
                <w:szCs w:val="20"/>
                <w:lang w:eastAsia="sk-SK"/>
              </w:rPr>
              <w:t>]</w:t>
            </w:r>
            <w:r w:rsidR="007C2E9B">
              <w:rPr>
                <w:rFonts w:ascii="Times New Roman" w:eastAsia="Times New Roman" w:hAnsi="Times New Roman" w:cs="Times New Roman"/>
                <w:sz w:val="20"/>
                <w:szCs w:val="20"/>
                <w:lang w:eastAsia="sk-SK"/>
              </w:rPr>
              <w:t xml:space="preserve"> </w:t>
            </w:r>
            <w:r w:rsidR="00BA5790" w:rsidRPr="00BA5790">
              <w:rPr>
                <w:rFonts w:ascii="Times New Roman" w:eastAsia="Times New Roman" w:hAnsi="Times New Roman" w:cs="Times New Roman"/>
                <w:sz w:val="20"/>
                <w:szCs w:val="20"/>
                <w:lang w:eastAsia="sk-SK"/>
              </w:rPr>
              <w:t xml:space="preserve">do právneho </w:t>
            </w:r>
            <w:r w:rsidR="003A13F6">
              <w:rPr>
                <w:rFonts w:ascii="Times New Roman" w:eastAsia="Times New Roman" w:hAnsi="Times New Roman" w:cs="Times New Roman"/>
                <w:sz w:val="20"/>
                <w:szCs w:val="20"/>
                <w:lang w:eastAsia="sk-SK"/>
              </w:rPr>
              <w:t>poriadku Slovenskej republiky a</w:t>
            </w:r>
            <w:r w:rsidR="00AB3C62">
              <w:rPr>
                <w:rFonts w:ascii="Times New Roman" w:eastAsia="Times New Roman" w:hAnsi="Times New Roman" w:cs="Times New Roman"/>
                <w:sz w:val="20"/>
                <w:szCs w:val="20"/>
                <w:lang w:eastAsia="sk-SK"/>
              </w:rPr>
              <w:t xml:space="preserve"> zároveň </w:t>
            </w:r>
            <w:r w:rsidR="00BA5790" w:rsidRPr="00BA5790">
              <w:rPr>
                <w:rFonts w:ascii="Times New Roman" w:eastAsia="Times New Roman" w:hAnsi="Times New Roman" w:cs="Times New Roman"/>
                <w:sz w:val="20"/>
                <w:szCs w:val="20"/>
                <w:lang w:eastAsia="sk-SK"/>
              </w:rPr>
              <w:t>zabezpeč</w:t>
            </w:r>
            <w:r w:rsidR="003A13F6">
              <w:rPr>
                <w:rFonts w:ascii="Times New Roman" w:eastAsia="Times New Roman" w:hAnsi="Times New Roman" w:cs="Times New Roman"/>
                <w:sz w:val="20"/>
                <w:szCs w:val="20"/>
                <w:lang w:eastAsia="sk-SK"/>
              </w:rPr>
              <w:t>iť nevyhnutnú</w:t>
            </w:r>
            <w:r w:rsidR="00BA5790" w:rsidRPr="00BA5790">
              <w:rPr>
                <w:rFonts w:ascii="Times New Roman" w:eastAsia="Times New Roman" w:hAnsi="Times New Roman" w:cs="Times New Roman"/>
                <w:sz w:val="20"/>
                <w:szCs w:val="20"/>
                <w:lang w:eastAsia="sk-SK"/>
              </w:rPr>
              <w:t xml:space="preserve"> právn</w:t>
            </w:r>
            <w:r w:rsidR="003A13F6">
              <w:rPr>
                <w:rFonts w:ascii="Times New Roman" w:eastAsia="Times New Roman" w:hAnsi="Times New Roman" w:cs="Times New Roman"/>
                <w:sz w:val="20"/>
                <w:szCs w:val="20"/>
                <w:lang w:eastAsia="sk-SK"/>
              </w:rPr>
              <w:t xml:space="preserve">u úpravu </w:t>
            </w:r>
            <w:r w:rsidR="00BA5790" w:rsidRPr="00BA5790">
              <w:rPr>
                <w:rFonts w:ascii="Times New Roman" w:eastAsia="Times New Roman" w:hAnsi="Times New Roman" w:cs="Times New Roman"/>
                <w:sz w:val="20"/>
                <w:szCs w:val="20"/>
                <w:lang w:eastAsia="sk-SK"/>
              </w:rPr>
              <w:t>vyplývajúc</w:t>
            </w:r>
            <w:r w:rsidR="003A13F6">
              <w:rPr>
                <w:rFonts w:ascii="Times New Roman" w:eastAsia="Times New Roman" w:hAnsi="Times New Roman" w:cs="Times New Roman"/>
                <w:sz w:val="20"/>
                <w:szCs w:val="20"/>
                <w:lang w:eastAsia="sk-SK"/>
              </w:rPr>
              <w:t>u</w:t>
            </w:r>
            <w:r w:rsidR="00BA5790" w:rsidRPr="00BA5790">
              <w:rPr>
                <w:rFonts w:ascii="Times New Roman" w:eastAsia="Times New Roman" w:hAnsi="Times New Roman" w:cs="Times New Roman"/>
                <w:sz w:val="20"/>
                <w:szCs w:val="20"/>
                <w:lang w:eastAsia="sk-SK"/>
              </w:rPr>
              <w:t xml:space="preserve"> z</w:t>
            </w:r>
            <w:r w:rsidR="00C34B9E">
              <w:rPr>
                <w:rFonts w:ascii="Times New Roman" w:eastAsia="Times New Roman" w:hAnsi="Times New Roman" w:cs="Times New Roman"/>
                <w:sz w:val="20"/>
                <w:szCs w:val="20"/>
                <w:lang w:eastAsia="sk-SK"/>
              </w:rPr>
              <w:t xml:space="preserve"> aplikačnej </w:t>
            </w:r>
            <w:r w:rsidR="00BA5790" w:rsidRPr="00BA5790">
              <w:rPr>
                <w:rFonts w:ascii="Times New Roman" w:eastAsia="Times New Roman" w:hAnsi="Times New Roman" w:cs="Times New Roman"/>
                <w:sz w:val="20"/>
                <w:szCs w:val="20"/>
                <w:lang w:eastAsia="sk-SK"/>
              </w:rPr>
              <w:t>praxe.</w:t>
            </w:r>
          </w:p>
          <w:p w14:paraId="5BD89A07" w14:textId="77777777" w:rsidR="00CC0261" w:rsidRDefault="00CC0261" w:rsidP="0007791A">
            <w:pPr>
              <w:rPr>
                <w:rFonts w:ascii="Times New Roman" w:eastAsia="Times New Roman" w:hAnsi="Times New Roman" w:cs="Times New Roman"/>
                <w:sz w:val="20"/>
                <w:szCs w:val="20"/>
                <w:lang w:eastAsia="sk-SK"/>
              </w:rPr>
            </w:pPr>
          </w:p>
          <w:p w14:paraId="1F99F010" w14:textId="3BE97264" w:rsidR="000531AB" w:rsidRDefault="004F60E3" w:rsidP="003A178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Návrh zákona</w:t>
            </w:r>
            <w:r w:rsidR="000F763C" w:rsidRPr="000F763C">
              <w:rPr>
                <w:rFonts w:ascii="Times New Roman" w:eastAsia="Times New Roman" w:hAnsi="Times New Roman" w:cs="Times New Roman"/>
                <w:sz w:val="20"/>
                <w:szCs w:val="20"/>
                <w:lang w:eastAsia="sk-SK"/>
              </w:rPr>
              <w:t xml:space="preserve"> upravuje podmienky posk</w:t>
            </w:r>
            <w:r w:rsidR="003A1782">
              <w:rPr>
                <w:rFonts w:ascii="Times New Roman" w:eastAsia="Times New Roman" w:hAnsi="Times New Roman" w:cs="Times New Roman"/>
                <w:sz w:val="20"/>
                <w:szCs w:val="20"/>
                <w:lang w:eastAsia="sk-SK"/>
              </w:rPr>
              <w:t>ytovania dôveryhodných služieb,</w:t>
            </w:r>
            <w:r w:rsidR="000F763C" w:rsidRPr="000F763C">
              <w:rPr>
                <w:rFonts w:ascii="Times New Roman" w:eastAsia="Times New Roman" w:hAnsi="Times New Roman" w:cs="Times New Roman"/>
                <w:sz w:val="20"/>
                <w:szCs w:val="20"/>
                <w:lang w:eastAsia="sk-SK"/>
              </w:rPr>
              <w:t xml:space="preserve"> povinnosti poskyto</w:t>
            </w:r>
            <w:r w:rsidR="000F763C">
              <w:rPr>
                <w:rFonts w:ascii="Times New Roman" w:eastAsia="Times New Roman" w:hAnsi="Times New Roman" w:cs="Times New Roman"/>
                <w:sz w:val="20"/>
                <w:szCs w:val="20"/>
                <w:lang w:eastAsia="sk-SK"/>
              </w:rPr>
              <w:t>vateľov dôveryhodných služieb,</w:t>
            </w:r>
            <w:r w:rsidR="000F763C" w:rsidRPr="000F763C">
              <w:rPr>
                <w:rFonts w:ascii="Times New Roman" w:eastAsia="Times New Roman" w:hAnsi="Times New Roman" w:cs="Times New Roman"/>
                <w:sz w:val="20"/>
                <w:szCs w:val="20"/>
                <w:lang w:eastAsia="sk-SK"/>
              </w:rPr>
              <w:t xml:space="preserve"> pôsobnosť</w:t>
            </w:r>
            <w:r w:rsidR="00395D97">
              <w:rPr>
                <w:rFonts w:ascii="Times New Roman" w:eastAsia="Times New Roman" w:hAnsi="Times New Roman" w:cs="Times New Roman"/>
                <w:sz w:val="20"/>
                <w:szCs w:val="20"/>
                <w:lang w:eastAsia="sk-SK"/>
              </w:rPr>
              <w:t xml:space="preserve"> Ministerstva vnútra SR,</w:t>
            </w:r>
            <w:r w:rsidR="000F763C" w:rsidRPr="000F763C">
              <w:rPr>
                <w:rFonts w:ascii="Times New Roman" w:eastAsia="Times New Roman" w:hAnsi="Times New Roman" w:cs="Times New Roman"/>
                <w:sz w:val="20"/>
                <w:szCs w:val="20"/>
                <w:lang w:eastAsia="sk-SK"/>
              </w:rPr>
              <w:t xml:space="preserve"> Národného bezpečnostného úradu (ďalej len „úrad“) v oblasti dôveryhodných služieb, v oblast</w:t>
            </w:r>
            <w:r w:rsidR="000F763C">
              <w:rPr>
                <w:rFonts w:ascii="Times New Roman" w:eastAsia="Times New Roman" w:hAnsi="Times New Roman" w:cs="Times New Roman"/>
                <w:sz w:val="20"/>
                <w:szCs w:val="20"/>
                <w:lang w:eastAsia="sk-SK"/>
              </w:rPr>
              <w:t>i elektronickej identifikácie,</w:t>
            </w:r>
            <w:r w:rsidR="000F763C" w:rsidRPr="000F763C">
              <w:rPr>
                <w:rFonts w:ascii="Times New Roman" w:eastAsia="Times New Roman" w:hAnsi="Times New Roman" w:cs="Times New Roman"/>
                <w:sz w:val="20"/>
                <w:szCs w:val="20"/>
                <w:lang w:eastAsia="sk-SK"/>
              </w:rPr>
              <w:t xml:space="preserve"> podmienky poskytovania európskych pe</w:t>
            </w:r>
            <w:r w:rsidR="000F763C">
              <w:rPr>
                <w:rFonts w:ascii="Times New Roman" w:eastAsia="Times New Roman" w:hAnsi="Times New Roman" w:cs="Times New Roman"/>
                <w:sz w:val="20"/>
                <w:szCs w:val="20"/>
                <w:lang w:eastAsia="sk-SK"/>
              </w:rPr>
              <w:t>ňaženiek digitálnej identity,</w:t>
            </w:r>
            <w:r w:rsidR="000F763C" w:rsidRPr="000F763C">
              <w:rPr>
                <w:rFonts w:ascii="Times New Roman" w:eastAsia="Times New Roman" w:hAnsi="Times New Roman" w:cs="Times New Roman"/>
                <w:sz w:val="20"/>
                <w:szCs w:val="20"/>
                <w:lang w:eastAsia="sk-SK"/>
              </w:rPr>
              <w:t xml:space="preserve"> povinnosti poskytovateľov európskych peňaženiek digitálnej identity a sankcie za porušenie povinn</w:t>
            </w:r>
            <w:r w:rsidR="000F763C">
              <w:rPr>
                <w:rFonts w:ascii="Times New Roman" w:eastAsia="Times New Roman" w:hAnsi="Times New Roman" w:cs="Times New Roman"/>
                <w:sz w:val="20"/>
                <w:szCs w:val="20"/>
                <w:lang w:eastAsia="sk-SK"/>
              </w:rPr>
              <w:t>ostí podľa osobitného predpisu</w:t>
            </w:r>
            <w:r w:rsidR="00B9611D">
              <w:rPr>
                <w:rFonts w:ascii="Times New Roman" w:eastAsia="Times New Roman" w:hAnsi="Times New Roman" w:cs="Times New Roman"/>
                <w:sz w:val="20"/>
                <w:szCs w:val="20"/>
                <w:lang w:eastAsia="sk-SK"/>
              </w:rPr>
              <w:t xml:space="preserve"> a tohto zákona.</w:t>
            </w:r>
          </w:p>
          <w:p w14:paraId="6F9B5067" w14:textId="77777777" w:rsidR="00CE4D14" w:rsidRPr="00612E08" w:rsidRDefault="00CE4D14" w:rsidP="003A1782">
            <w:pPr>
              <w:jc w:val="both"/>
              <w:rPr>
                <w:rFonts w:ascii="Times New Roman" w:eastAsia="Times New Roman" w:hAnsi="Times New Roman" w:cs="Times New Roman"/>
                <w:sz w:val="20"/>
                <w:szCs w:val="20"/>
                <w:lang w:eastAsia="sk-SK"/>
              </w:rPr>
            </w:pPr>
          </w:p>
        </w:tc>
      </w:tr>
      <w:tr w:rsidR="00612E08" w:rsidRPr="00612E08" w14:paraId="6ECA1D2D" w14:textId="77777777" w:rsidTr="0007791A">
        <w:tc>
          <w:tcPr>
            <w:tcW w:w="9180" w:type="dxa"/>
            <w:gridSpan w:val="11"/>
            <w:tcBorders>
              <w:top w:val="single" w:sz="4" w:space="0" w:color="auto"/>
              <w:left w:val="single" w:sz="4" w:space="0" w:color="auto"/>
              <w:bottom w:val="nil"/>
              <w:right w:val="single" w:sz="4" w:space="0" w:color="auto"/>
            </w:tcBorders>
            <w:shd w:val="clear" w:color="auto" w:fill="E2E2E2"/>
          </w:tcPr>
          <w:p w14:paraId="283405AA"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14:paraId="18675337" w14:textId="77777777" w:rsidTr="0007791A">
        <w:tc>
          <w:tcPr>
            <w:tcW w:w="9180" w:type="dxa"/>
            <w:gridSpan w:val="11"/>
            <w:tcBorders>
              <w:top w:val="nil"/>
              <w:left w:val="single" w:sz="4" w:space="0" w:color="auto"/>
              <w:bottom w:val="single" w:sz="4" w:space="0" w:color="auto"/>
              <w:right w:val="single" w:sz="4" w:space="0" w:color="auto"/>
            </w:tcBorders>
            <w:shd w:val="clear" w:color="auto" w:fill="FFFFFF"/>
          </w:tcPr>
          <w:p w14:paraId="5ACE400E" w14:textId="77777777" w:rsidR="000531AB" w:rsidRDefault="000531AB" w:rsidP="0007791A">
            <w:pPr>
              <w:rPr>
                <w:rFonts w:ascii="Times New Roman" w:eastAsia="Times New Roman" w:hAnsi="Times New Roman" w:cs="Times New Roman"/>
                <w:sz w:val="20"/>
                <w:szCs w:val="20"/>
                <w:lang w:eastAsia="sk-SK"/>
              </w:rPr>
            </w:pPr>
          </w:p>
          <w:p w14:paraId="357C4AE7" w14:textId="77777777" w:rsidR="001B23B7" w:rsidRDefault="007E11CF" w:rsidP="000779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orgány verejnej moci</w:t>
            </w:r>
          </w:p>
          <w:p w14:paraId="7C525662" w14:textId="77777777" w:rsidR="007E11CF" w:rsidRDefault="007E11CF" w:rsidP="000779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ústredné orgány štátne</w:t>
            </w:r>
            <w:r w:rsidR="00681473">
              <w:rPr>
                <w:rFonts w:ascii="Times New Roman" w:eastAsia="Times New Roman" w:hAnsi="Times New Roman" w:cs="Times New Roman"/>
                <w:sz w:val="20"/>
                <w:szCs w:val="20"/>
                <w:lang w:eastAsia="sk-SK"/>
              </w:rPr>
              <w:t>j</w:t>
            </w:r>
            <w:r>
              <w:rPr>
                <w:rFonts w:ascii="Times New Roman" w:eastAsia="Times New Roman" w:hAnsi="Times New Roman" w:cs="Times New Roman"/>
                <w:sz w:val="20"/>
                <w:szCs w:val="20"/>
                <w:lang w:eastAsia="sk-SK"/>
              </w:rPr>
              <w:t xml:space="preserve"> správy</w:t>
            </w:r>
          </w:p>
          <w:p w14:paraId="7DC8DEF7" w14:textId="77777777" w:rsidR="007E11CF" w:rsidRPr="007E11CF" w:rsidRDefault="00C809C3" w:rsidP="000779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poskytovatelia dôveryhodných služieb</w:t>
            </w:r>
          </w:p>
          <w:p w14:paraId="1E1EA331" w14:textId="77777777" w:rsidR="001B23B7" w:rsidRPr="00612E08" w:rsidRDefault="001B23B7" w:rsidP="0007791A">
            <w:pPr>
              <w:rPr>
                <w:rFonts w:ascii="Times New Roman" w:eastAsia="Times New Roman" w:hAnsi="Times New Roman" w:cs="Times New Roman"/>
                <w:i/>
                <w:sz w:val="20"/>
                <w:szCs w:val="20"/>
                <w:lang w:eastAsia="sk-SK"/>
              </w:rPr>
            </w:pPr>
          </w:p>
        </w:tc>
      </w:tr>
      <w:tr w:rsidR="00612E08" w:rsidRPr="00612E08" w14:paraId="6AF87CE8" w14:textId="77777777" w:rsidTr="0007791A">
        <w:tc>
          <w:tcPr>
            <w:tcW w:w="9180" w:type="dxa"/>
            <w:gridSpan w:val="11"/>
            <w:tcBorders>
              <w:top w:val="single" w:sz="4" w:space="0" w:color="auto"/>
              <w:left w:val="single" w:sz="4" w:space="0" w:color="auto"/>
              <w:bottom w:val="nil"/>
              <w:right w:val="single" w:sz="4" w:space="0" w:color="auto"/>
            </w:tcBorders>
            <w:shd w:val="clear" w:color="auto" w:fill="E2E2E2"/>
          </w:tcPr>
          <w:p w14:paraId="4EF0123D"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0F8CF2A8" w14:textId="77777777" w:rsidTr="0007791A">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9DCCCD0" w14:textId="77777777" w:rsidR="00B5616F" w:rsidRDefault="00B5616F" w:rsidP="0007791A">
            <w:pPr>
              <w:jc w:val="both"/>
              <w:rPr>
                <w:rFonts w:ascii="Times New Roman" w:eastAsia="Times New Roman" w:hAnsi="Times New Roman" w:cs="Times New Roman"/>
                <w:sz w:val="20"/>
                <w:szCs w:val="20"/>
                <w:lang w:eastAsia="sk-SK"/>
              </w:rPr>
            </w:pPr>
          </w:p>
          <w:p w14:paraId="06AA1D36" w14:textId="77777777" w:rsidR="001B23B7" w:rsidRDefault="00B5616F" w:rsidP="0007791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Neboli identifikované žiadne alternatívne riešenia.</w:t>
            </w:r>
          </w:p>
          <w:p w14:paraId="472F4555" w14:textId="77777777" w:rsidR="001B23B7" w:rsidRPr="00612E08" w:rsidRDefault="001B23B7" w:rsidP="0007791A">
            <w:pPr>
              <w:rPr>
                <w:rFonts w:ascii="Times New Roman" w:eastAsia="Times New Roman" w:hAnsi="Times New Roman" w:cs="Times New Roman"/>
                <w:i/>
                <w:sz w:val="20"/>
                <w:szCs w:val="20"/>
                <w:lang w:eastAsia="sk-SK"/>
              </w:rPr>
            </w:pPr>
          </w:p>
          <w:p w14:paraId="7B83A7DD" w14:textId="77777777" w:rsidR="007B6B2A" w:rsidRDefault="001B23B7" w:rsidP="000531AB">
            <w:pPr>
              <w:jc w:val="both"/>
              <w:rPr>
                <w:rFonts w:ascii="Times New Roman" w:eastAsia="Times New Roman" w:hAnsi="Times New Roman" w:cs="Times New Roman"/>
                <w:sz w:val="20"/>
                <w:szCs w:val="20"/>
                <w:lang w:eastAsia="sk-SK"/>
              </w:rPr>
            </w:pPr>
            <w:r w:rsidRPr="000531AB">
              <w:rPr>
                <w:rFonts w:ascii="Times New Roman" w:eastAsia="Times New Roman" w:hAnsi="Times New Roman" w:cs="Times New Roman"/>
                <w:i/>
                <w:sz w:val="20"/>
                <w:szCs w:val="20"/>
                <w:lang w:eastAsia="sk-SK"/>
              </w:rPr>
              <w:t>Nulový variant</w:t>
            </w:r>
          </w:p>
          <w:p w14:paraId="04CBCF43" w14:textId="77777777" w:rsidR="007B6B2A" w:rsidRDefault="007B6B2A" w:rsidP="000531AB">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Nariadenia Únie sa automaticky stávajú záväznými vo všetkých členských štátoch Únie odo dňa ich uplatňovania, avšak vzhľadom na rozsah </w:t>
            </w:r>
            <w:r w:rsidR="0072478B">
              <w:rPr>
                <w:rFonts w:ascii="Times New Roman" w:eastAsia="Times New Roman" w:hAnsi="Times New Roman" w:cs="Times New Roman"/>
                <w:sz w:val="20"/>
                <w:szCs w:val="20"/>
                <w:lang w:eastAsia="sk-SK"/>
              </w:rPr>
              <w:t>nariadenia (EÚ) č. 910/2014</w:t>
            </w:r>
            <w:r w:rsidR="00B9611D">
              <w:rPr>
                <w:rFonts w:ascii="Times New Roman" w:eastAsia="Times New Roman" w:hAnsi="Times New Roman" w:cs="Times New Roman"/>
                <w:sz w:val="20"/>
                <w:szCs w:val="20"/>
                <w:lang w:eastAsia="sk-SK"/>
              </w:rPr>
              <w:t xml:space="preserve">  v platnom znení </w:t>
            </w:r>
            <w:r>
              <w:rPr>
                <w:rFonts w:ascii="Times New Roman" w:eastAsia="Times New Roman" w:hAnsi="Times New Roman" w:cs="Times New Roman"/>
                <w:sz w:val="20"/>
                <w:szCs w:val="20"/>
                <w:lang w:eastAsia="sk-SK"/>
              </w:rPr>
              <w:t xml:space="preserve">je potrebná aj úprava vnútroštátnych právnych predpisov. Úrad ako orgán dohľadu návrhom zákona upravuje </w:t>
            </w:r>
            <w:r w:rsidRPr="00D56B2B">
              <w:rPr>
                <w:rFonts w:ascii="Times New Roman" w:eastAsia="Times New Roman" w:hAnsi="Times New Roman" w:cs="Times New Roman"/>
                <w:sz w:val="20"/>
                <w:szCs w:val="20"/>
                <w:lang w:eastAsia="sk-SK"/>
              </w:rPr>
              <w:t>ne</w:t>
            </w:r>
            <w:r w:rsidR="00B9611D">
              <w:rPr>
                <w:rFonts w:ascii="Times New Roman" w:eastAsia="Times New Roman" w:hAnsi="Times New Roman" w:cs="Times New Roman"/>
                <w:sz w:val="20"/>
                <w:szCs w:val="20"/>
                <w:lang w:eastAsia="sk-SK"/>
              </w:rPr>
              <w:t>vyhnut</w:t>
            </w:r>
            <w:r w:rsidR="00FD7A67">
              <w:rPr>
                <w:rFonts w:ascii="Times New Roman" w:eastAsia="Times New Roman" w:hAnsi="Times New Roman" w:cs="Times New Roman"/>
                <w:sz w:val="20"/>
                <w:szCs w:val="20"/>
                <w:lang w:eastAsia="sk-SK"/>
              </w:rPr>
              <w:t>n</w:t>
            </w:r>
            <w:r w:rsidR="00B9611D">
              <w:rPr>
                <w:rFonts w:ascii="Times New Roman" w:eastAsia="Times New Roman" w:hAnsi="Times New Roman" w:cs="Times New Roman"/>
                <w:sz w:val="20"/>
                <w:szCs w:val="20"/>
                <w:lang w:eastAsia="sk-SK"/>
              </w:rPr>
              <w:t>é ustanovenia v zákone o  d</w:t>
            </w:r>
            <w:r w:rsidRPr="00D56B2B">
              <w:rPr>
                <w:rFonts w:ascii="Times New Roman" w:eastAsia="Times New Roman" w:hAnsi="Times New Roman" w:cs="Times New Roman"/>
                <w:sz w:val="20"/>
                <w:szCs w:val="20"/>
                <w:lang w:eastAsia="sk-SK"/>
              </w:rPr>
              <w:t>ôveryhodných službách</w:t>
            </w:r>
            <w:r>
              <w:rPr>
                <w:rFonts w:ascii="Times New Roman" w:eastAsia="Times New Roman" w:hAnsi="Times New Roman" w:cs="Times New Roman"/>
                <w:sz w:val="20"/>
                <w:szCs w:val="20"/>
                <w:lang w:eastAsia="sk-SK"/>
              </w:rPr>
              <w:t xml:space="preserve"> vyplývajúce z </w:t>
            </w:r>
            <w:r w:rsidR="0072478B">
              <w:rPr>
                <w:rFonts w:ascii="Times New Roman" w:eastAsia="Times New Roman" w:hAnsi="Times New Roman" w:cs="Times New Roman"/>
                <w:sz w:val="20"/>
                <w:szCs w:val="20"/>
                <w:lang w:eastAsia="sk-SK"/>
              </w:rPr>
              <w:t>nariadenia (EÚ) č. 910/2014</w:t>
            </w:r>
            <w:r w:rsidR="00B9611D">
              <w:rPr>
                <w:rFonts w:ascii="Times New Roman" w:eastAsia="Times New Roman" w:hAnsi="Times New Roman" w:cs="Times New Roman"/>
                <w:sz w:val="20"/>
                <w:szCs w:val="20"/>
                <w:lang w:eastAsia="sk-SK"/>
              </w:rPr>
              <w:t xml:space="preserve"> v platnom znení</w:t>
            </w:r>
            <w:r w:rsidR="0072478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ako aj ustanovenia, ktoré sú z hľadiska aplikačnej </w:t>
            </w:r>
            <w:r w:rsidR="00DA4AAB">
              <w:rPr>
                <w:rFonts w:ascii="Times New Roman" w:eastAsia="Times New Roman" w:hAnsi="Times New Roman" w:cs="Times New Roman"/>
                <w:sz w:val="20"/>
                <w:szCs w:val="20"/>
                <w:lang w:eastAsia="sk-SK"/>
              </w:rPr>
              <w:t>praxe problematické.</w:t>
            </w:r>
          </w:p>
          <w:p w14:paraId="19DAE820" w14:textId="77777777" w:rsidR="00C47E1A" w:rsidRDefault="00EB0995" w:rsidP="000531AB">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Neschválením </w:t>
            </w:r>
            <w:r w:rsidR="007B6B2A">
              <w:rPr>
                <w:rFonts w:ascii="Times New Roman" w:eastAsia="Times New Roman" w:hAnsi="Times New Roman" w:cs="Times New Roman"/>
                <w:sz w:val="20"/>
                <w:szCs w:val="20"/>
                <w:lang w:eastAsia="sk-SK"/>
              </w:rPr>
              <w:t>návrhu</w:t>
            </w:r>
            <w:r>
              <w:rPr>
                <w:rFonts w:ascii="Times New Roman" w:eastAsia="Times New Roman" w:hAnsi="Times New Roman" w:cs="Times New Roman"/>
                <w:sz w:val="20"/>
                <w:szCs w:val="20"/>
                <w:lang w:eastAsia="sk-SK"/>
              </w:rPr>
              <w:t xml:space="preserve"> zákona </w:t>
            </w:r>
            <w:r w:rsidR="00411ACB">
              <w:rPr>
                <w:rFonts w:ascii="Times New Roman" w:eastAsia="Times New Roman" w:hAnsi="Times New Roman" w:cs="Times New Roman"/>
                <w:sz w:val="20"/>
                <w:szCs w:val="20"/>
                <w:lang w:eastAsia="sk-SK"/>
              </w:rPr>
              <w:t>budú pretrvá</w:t>
            </w:r>
            <w:r w:rsidR="00292182">
              <w:rPr>
                <w:rFonts w:ascii="Times New Roman" w:eastAsia="Times New Roman" w:hAnsi="Times New Roman" w:cs="Times New Roman"/>
                <w:sz w:val="20"/>
                <w:szCs w:val="20"/>
                <w:lang w:eastAsia="sk-SK"/>
              </w:rPr>
              <w:t xml:space="preserve">vať problémy aplikačnej praxe nielen na strane poskytovateľov dôveryhodných služieb, ale aj na strane regulačných </w:t>
            </w:r>
            <w:r w:rsidR="0072478B">
              <w:rPr>
                <w:rFonts w:ascii="Times New Roman" w:eastAsia="Times New Roman" w:hAnsi="Times New Roman" w:cs="Times New Roman"/>
                <w:sz w:val="20"/>
                <w:szCs w:val="20"/>
                <w:lang w:eastAsia="sk-SK"/>
              </w:rPr>
              <w:t xml:space="preserve">a kontrolných </w:t>
            </w:r>
            <w:r w:rsidR="00292182">
              <w:rPr>
                <w:rFonts w:ascii="Times New Roman" w:eastAsia="Times New Roman" w:hAnsi="Times New Roman" w:cs="Times New Roman"/>
                <w:sz w:val="20"/>
                <w:szCs w:val="20"/>
                <w:lang w:eastAsia="sk-SK"/>
              </w:rPr>
              <w:t>orgánov.</w:t>
            </w:r>
          </w:p>
          <w:p w14:paraId="7E07E299" w14:textId="77777777" w:rsidR="000531AB" w:rsidRPr="00B5616F" w:rsidRDefault="000531AB" w:rsidP="00064E1E">
            <w:pPr>
              <w:jc w:val="both"/>
              <w:rPr>
                <w:rFonts w:ascii="Times New Roman" w:eastAsia="Times New Roman" w:hAnsi="Times New Roman" w:cs="Times New Roman"/>
                <w:sz w:val="20"/>
                <w:szCs w:val="20"/>
                <w:lang w:eastAsia="sk-SK"/>
              </w:rPr>
            </w:pPr>
          </w:p>
        </w:tc>
      </w:tr>
      <w:tr w:rsidR="00612E08" w:rsidRPr="00612E08" w14:paraId="6CB84964" w14:textId="77777777" w:rsidTr="000779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D45E03D"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202CFC10" w14:textId="77777777" w:rsidTr="0007791A">
        <w:tc>
          <w:tcPr>
            <w:tcW w:w="6203" w:type="dxa"/>
            <w:gridSpan w:val="7"/>
            <w:tcBorders>
              <w:top w:val="single" w:sz="4" w:space="0" w:color="FFFFFF"/>
              <w:left w:val="single" w:sz="4" w:space="0" w:color="auto"/>
              <w:bottom w:val="nil"/>
              <w:right w:val="nil"/>
            </w:tcBorders>
            <w:shd w:val="clear" w:color="auto" w:fill="FFFFFF"/>
          </w:tcPr>
          <w:p w14:paraId="74E47B3C" w14:textId="77777777" w:rsidR="001B23B7" w:rsidRPr="00612E08" w:rsidRDefault="001B23B7" w:rsidP="0007791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C589B03" w14:textId="77777777" w:rsidR="001B23B7" w:rsidRPr="00612E08" w:rsidRDefault="00F51CC7" w:rsidP="0007791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Content>
                <w:r w:rsidR="00EC60AA">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E3FC9C8" w14:textId="77777777" w:rsidR="001B23B7" w:rsidRPr="00612E08" w:rsidRDefault="00F51CC7"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Content>
                <w:r w:rsidR="00EC60AA">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192AB360" w14:textId="77777777" w:rsidTr="0007791A">
        <w:tc>
          <w:tcPr>
            <w:tcW w:w="9180" w:type="dxa"/>
            <w:gridSpan w:val="11"/>
            <w:tcBorders>
              <w:top w:val="nil"/>
              <w:left w:val="single" w:sz="4" w:space="0" w:color="auto"/>
              <w:bottom w:val="single" w:sz="4" w:space="0" w:color="auto"/>
              <w:right w:val="single" w:sz="4" w:space="0" w:color="auto"/>
            </w:tcBorders>
            <w:shd w:val="clear" w:color="auto" w:fill="FFFFFF"/>
          </w:tcPr>
          <w:p w14:paraId="78CEB5C5" w14:textId="77777777" w:rsidR="001B23B7" w:rsidRPr="00612E08" w:rsidRDefault="001B23B7" w:rsidP="0007791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2D203D1B" w14:textId="77777777" w:rsidR="001B23B7" w:rsidRDefault="001B23B7" w:rsidP="0007791A">
            <w:pPr>
              <w:rPr>
                <w:rFonts w:ascii="Times New Roman" w:eastAsia="Times New Roman" w:hAnsi="Times New Roman" w:cs="Times New Roman"/>
                <w:sz w:val="20"/>
                <w:szCs w:val="20"/>
                <w:lang w:eastAsia="sk-SK"/>
              </w:rPr>
            </w:pPr>
          </w:p>
          <w:p w14:paraId="48D4F612" w14:textId="77777777" w:rsidR="00D96093" w:rsidRPr="003A4283" w:rsidRDefault="003A4283" w:rsidP="0007791A">
            <w:pPr>
              <w:pStyle w:val="Odsekzoznamu"/>
              <w:numPr>
                <w:ilvl w:val="0"/>
                <w:numId w:val="2"/>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certifikačné politiky a </w:t>
            </w:r>
            <w:r w:rsidR="00DA4AAB">
              <w:rPr>
                <w:rFonts w:ascii="Times New Roman" w:eastAsia="Times New Roman" w:hAnsi="Times New Roman" w:cs="Times New Roman"/>
                <w:sz w:val="20"/>
                <w:szCs w:val="20"/>
                <w:lang w:eastAsia="sk-SK"/>
              </w:rPr>
              <w:t>podpisové politiky,</w:t>
            </w:r>
          </w:p>
          <w:p w14:paraId="2CF0F266" w14:textId="77777777" w:rsidR="00D96093" w:rsidRDefault="00DA4AAB" w:rsidP="00D96093">
            <w:pPr>
              <w:pStyle w:val="Odsekzoznamu"/>
              <w:numPr>
                <w:ilvl w:val="0"/>
                <w:numId w:val="2"/>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schéma dohľadu,</w:t>
            </w:r>
          </w:p>
          <w:p w14:paraId="328FEF13" w14:textId="77777777" w:rsidR="00D96093" w:rsidRDefault="00D96093" w:rsidP="00D96093">
            <w:pPr>
              <w:pStyle w:val="Odsekzoznamu"/>
              <w:numPr>
                <w:ilvl w:val="0"/>
                <w:numId w:val="2"/>
              </w:numPr>
              <w:rPr>
                <w:rFonts w:ascii="Times New Roman" w:eastAsia="Times New Roman" w:hAnsi="Times New Roman" w:cs="Times New Roman"/>
                <w:sz w:val="20"/>
                <w:szCs w:val="20"/>
                <w:lang w:eastAsia="sk-SK"/>
              </w:rPr>
            </w:pPr>
            <w:r w:rsidRPr="00D96093">
              <w:rPr>
                <w:rFonts w:ascii="Times New Roman" w:eastAsia="Times New Roman" w:hAnsi="Times New Roman" w:cs="Times New Roman"/>
                <w:sz w:val="20"/>
                <w:szCs w:val="20"/>
                <w:lang w:eastAsia="sk-SK"/>
              </w:rPr>
              <w:t>schéma certifikácie európskych peňaženiek digitálnej identity a schéma elektronickej identifikácie a</w:t>
            </w:r>
            <w:r w:rsidR="003A4283">
              <w:rPr>
                <w:rFonts w:ascii="Times New Roman" w:eastAsia="Times New Roman" w:hAnsi="Times New Roman" w:cs="Times New Roman"/>
                <w:sz w:val="20"/>
                <w:szCs w:val="20"/>
                <w:lang w:eastAsia="sk-SK"/>
              </w:rPr>
              <w:t xml:space="preserve"> schémy, </w:t>
            </w:r>
            <w:r w:rsidRPr="00D96093">
              <w:rPr>
                <w:rFonts w:ascii="Times New Roman" w:eastAsia="Times New Roman" w:hAnsi="Times New Roman" w:cs="Times New Roman"/>
                <w:sz w:val="20"/>
                <w:szCs w:val="20"/>
                <w:lang w:eastAsia="sk-SK"/>
              </w:rPr>
              <w:t>ktorým</w:t>
            </w:r>
            <w:r w:rsidR="003A4283">
              <w:rPr>
                <w:rFonts w:ascii="Times New Roman" w:eastAsia="Times New Roman" w:hAnsi="Times New Roman" w:cs="Times New Roman"/>
                <w:sz w:val="20"/>
                <w:szCs w:val="20"/>
                <w:lang w:eastAsia="sk-SK"/>
              </w:rPr>
              <w:t>i sa určia technické postupy,</w:t>
            </w:r>
          </w:p>
          <w:p w14:paraId="56D37255" w14:textId="77777777" w:rsidR="00C01BD1" w:rsidRDefault="00D96093" w:rsidP="0072478B">
            <w:pPr>
              <w:pStyle w:val="Odsekzoznamu"/>
              <w:numPr>
                <w:ilvl w:val="0"/>
                <w:numId w:val="2"/>
              </w:numPr>
              <w:jc w:val="both"/>
              <w:rPr>
                <w:rFonts w:ascii="Times New Roman" w:eastAsia="Times New Roman" w:hAnsi="Times New Roman" w:cs="Times New Roman"/>
                <w:sz w:val="20"/>
                <w:szCs w:val="20"/>
                <w:lang w:eastAsia="sk-SK"/>
              </w:rPr>
            </w:pPr>
            <w:r w:rsidRPr="00D96093">
              <w:rPr>
                <w:rFonts w:ascii="Times New Roman" w:eastAsia="Times New Roman" w:hAnsi="Times New Roman" w:cs="Times New Roman"/>
                <w:sz w:val="20"/>
                <w:szCs w:val="20"/>
                <w:lang w:eastAsia="sk-SK"/>
              </w:rPr>
              <w:t>podrobnosti pre kvalifikovan</w:t>
            </w:r>
            <w:r w:rsidR="0072478B">
              <w:rPr>
                <w:rFonts w:ascii="Times New Roman" w:eastAsia="Times New Roman" w:hAnsi="Times New Roman" w:cs="Times New Roman"/>
                <w:sz w:val="20"/>
                <w:szCs w:val="20"/>
                <w:lang w:eastAsia="sk-SK"/>
              </w:rPr>
              <w:t>é dôveryhodné služby a európske</w:t>
            </w:r>
            <w:r w:rsidRPr="00D96093">
              <w:rPr>
                <w:rFonts w:ascii="Times New Roman" w:eastAsia="Times New Roman" w:hAnsi="Times New Roman" w:cs="Times New Roman"/>
                <w:sz w:val="20"/>
                <w:szCs w:val="20"/>
                <w:lang w:eastAsia="sk-SK"/>
              </w:rPr>
              <w:t xml:space="preserve"> peňaženky digitálnej identity podľa osobitného predpisu, na ktoré nie sú uplatňované vykonávacie</w:t>
            </w:r>
            <w:r w:rsidR="00D84546">
              <w:rPr>
                <w:rFonts w:ascii="Times New Roman" w:eastAsia="Times New Roman" w:hAnsi="Times New Roman" w:cs="Times New Roman"/>
                <w:sz w:val="20"/>
                <w:szCs w:val="20"/>
                <w:lang w:eastAsia="sk-SK"/>
              </w:rPr>
              <w:t xml:space="preserve"> akty podľa osobitného predpisu</w:t>
            </w:r>
            <w:r w:rsidR="00147682">
              <w:rPr>
                <w:rFonts w:ascii="Times New Roman" w:eastAsia="Times New Roman" w:hAnsi="Times New Roman" w:cs="Times New Roman"/>
                <w:sz w:val="20"/>
                <w:szCs w:val="20"/>
                <w:lang w:eastAsia="sk-SK"/>
              </w:rPr>
              <w:t>.</w:t>
            </w:r>
          </w:p>
          <w:p w14:paraId="08D61D32" w14:textId="77777777" w:rsidR="00D84546" w:rsidRPr="00D84546" w:rsidRDefault="00D84546" w:rsidP="00D84546">
            <w:pPr>
              <w:pStyle w:val="Odsekzoznamu"/>
              <w:rPr>
                <w:rFonts w:ascii="Times New Roman" w:eastAsia="Times New Roman" w:hAnsi="Times New Roman" w:cs="Times New Roman"/>
                <w:sz w:val="20"/>
                <w:szCs w:val="20"/>
                <w:lang w:eastAsia="sk-SK"/>
              </w:rPr>
            </w:pPr>
          </w:p>
        </w:tc>
      </w:tr>
      <w:tr w:rsidR="00612E08" w:rsidRPr="00612E08" w14:paraId="4FDA0C3F" w14:textId="77777777" w:rsidTr="000779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63023CC"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51E94A7E" w14:textId="77777777" w:rsidTr="0007791A">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60DD0FCB" w14:textId="77777777">
              <w:trPr>
                <w:trHeight w:val="90"/>
              </w:trPr>
              <w:tc>
                <w:tcPr>
                  <w:tcW w:w="8643" w:type="dxa"/>
                </w:tcPr>
                <w:p w14:paraId="7B149D22"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59CE1394" w14:textId="77777777">
              <w:trPr>
                <w:trHeight w:val="296"/>
              </w:trPr>
              <w:tc>
                <w:tcPr>
                  <w:tcW w:w="8643" w:type="dxa"/>
                </w:tcPr>
                <w:p w14:paraId="1BB3D50F" w14:textId="77777777"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Content>
                      <w:r w:rsidR="001915F3">
                        <w:rPr>
                          <w:rFonts w:ascii="MS Gothic" w:eastAsia="MS Gothic" w:hAnsi="MS Gothic" w:hint="eastAsia"/>
                          <w:b/>
                          <w:iCs/>
                          <w:color w:val="auto"/>
                          <w:sz w:val="20"/>
                          <w:szCs w:val="20"/>
                        </w:rPr>
                        <w:t>☒</w:t>
                      </w:r>
                    </w:sdtContent>
                  </w:sdt>
                  <w:r w:rsidRPr="00612E08">
                    <w:rPr>
                      <w:b/>
                      <w:iCs/>
                      <w:color w:val="auto"/>
                      <w:sz w:val="20"/>
                      <w:szCs w:val="20"/>
                    </w:rPr>
                    <w:t xml:space="preserve"> Nie</w:t>
                  </w:r>
                </w:p>
                <w:p w14:paraId="5D017305" w14:textId="77777777" w:rsidR="00A7788F" w:rsidRPr="00612E08" w:rsidRDefault="00A7788F" w:rsidP="00A7788F">
                  <w:pPr>
                    <w:pStyle w:val="Default"/>
                    <w:rPr>
                      <w:i/>
                      <w:iCs/>
                      <w:color w:val="auto"/>
                      <w:sz w:val="20"/>
                      <w:szCs w:val="20"/>
                    </w:rPr>
                  </w:pPr>
                </w:p>
                <w:p w14:paraId="1BA6671A"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020B5053" w14:textId="77777777">
              <w:trPr>
                <w:trHeight w:val="296"/>
              </w:trPr>
              <w:tc>
                <w:tcPr>
                  <w:tcW w:w="8643" w:type="dxa"/>
                </w:tcPr>
                <w:p w14:paraId="51D20B60" w14:textId="77777777" w:rsidR="00A7788F" w:rsidRPr="000531AB" w:rsidRDefault="009F3754" w:rsidP="00A7788F">
                  <w:pPr>
                    <w:pStyle w:val="Default"/>
                    <w:rPr>
                      <w:color w:val="auto"/>
                      <w:sz w:val="20"/>
                      <w:szCs w:val="20"/>
                    </w:rPr>
                  </w:pPr>
                  <w:r>
                    <w:rPr>
                      <w:color w:val="auto"/>
                      <w:sz w:val="20"/>
                      <w:szCs w:val="20"/>
                    </w:rPr>
                    <w:t>--</w:t>
                  </w:r>
                </w:p>
              </w:tc>
            </w:tr>
          </w:tbl>
          <w:p w14:paraId="07152997" w14:textId="77777777" w:rsidR="001B23B7" w:rsidRPr="00612E08" w:rsidRDefault="001B23B7" w:rsidP="0007791A">
            <w:pPr>
              <w:jc w:val="both"/>
              <w:rPr>
                <w:rFonts w:ascii="Times New Roman" w:eastAsia="Times New Roman" w:hAnsi="Times New Roman" w:cs="Times New Roman"/>
                <w:i/>
                <w:sz w:val="20"/>
                <w:szCs w:val="20"/>
                <w:lang w:eastAsia="sk-SK"/>
              </w:rPr>
            </w:pPr>
          </w:p>
        </w:tc>
      </w:tr>
      <w:tr w:rsidR="00612E08" w:rsidRPr="00612E08" w14:paraId="6D2026DB" w14:textId="77777777" w:rsidTr="0007791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DDB9CED" w14:textId="77777777" w:rsidR="001B23B7" w:rsidRPr="00612E08" w:rsidRDefault="001B23B7" w:rsidP="000531AB">
            <w:pPr>
              <w:rPr>
                <w:rFonts w:ascii="Times New Roman" w:eastAsia="Times New Roman" w:hAnsi="Times New Roman" w:cs="Times New Roman"/>
                <w:sz w:val="20"/>
                <w:szCs w:val="20"/>
                <w:lang w:eastAsia="sk-SK"/>
              </w:rPr>
            </w:pPr>
          </w:p>
        </w:tc>
      </w:tr>
      <w:tr w:rsidR="00612E08" w:rsidRPr="00612E08" w14:paraId="0B91140E" w14:textId="77777777" w:rsidTr="000779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57F9C05"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2A07D695" w14:textId="77777777" w:rsidTr="0007791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7BB2551" w14:textId="77777777" w:rsidR="000531AB" w:rsidRDefault="000531AB" w:rsidP="0007791A">
            <w:pPr>
              <w:rPr>
                <w:rFonts w:ascii="Times New Roman" w:eastAsia="Times New Roman" w:hAnsi="Times New Roman" w:cs="Times New Roman"/>
                <w:sz w:val="20"/>
                <w:szCs w:val="20"/>
                <w:lang w:eastAsia="sk-SK"/>
              </w:rPr>
            </w:pPr>
          </w:p>
          <w:p w14:paraId="41937229" w14:textId="77777777" w:rsidR="001B23B7" w:rsidRDefault="000531AB" w:rsidP="000531AB">
            <w:pPr>
              <w:jc w:val="both"/>
              <w:rPr>
                <w:rFonts w:ascii="Times New Roman" w:eastAsia="Times New Roman" w:hAnsi="Times New Roman" w:cs="Times New Roman"/>
                <w:sz w:val="20"/>
                <w:szCs w:val="20"/>
                <w:lang w:eastAsia="sk-SK"/>
              </w:rPr>
            </w:pPr>
            <w:r w:rsidRPr="000531AB">
              <w:rPr>
                <w:rFonts w:ascii="Times New Roman" w:eastAsia="Times New Roman" w:hAnsi="Times New Roman" w:cs="Times New Roman"/>
                <w:sz w:val="20"/>
                <w:szCs w:val="20"/>
                <w:lang w:eastAsia="sk-SK"/>
              </w:rPr>
              <w:t xml:space="preserve">Preskúmanie účelnosti </w:t>
            </w:r>
            <w:r w:rsidR="007E1693">
              <w:rPr>
                <w:rFonts w:ascii="Times New Roman" w:eastAsia="Times New Roman" w:hAnsi="Times New Roman" w:cs="Times New Roman"/>
                <w:sz w:val="20"/>
                <w:szCs w:val="20"/>
                <w:lang w:eastAsia="sk-SK"/>
              </w:rPr>
              <w:t>návrhu zákona</w:t>
            </w:r>
            <w:r w:rsidRPr="000531AB">
              <w:rPr>
                <w:rFonts w:ascii="Times New Roman" w:eastAsia="Times New Roman" w:hAnsi="Times New Roman" w:cs="Times New Roman"/>
                <w:sz w:val="20"/>
                <w:szCs w:val="20"/>
                <w:lang w:eastAsia="sk-SK"/>
              </w:rPr>
              <w:t xml:space="preserve"> </w:t>
            </w:r>
            <w:r w:rsidR="00F96BE3">
              <w:rPr>
                <w:rFonts w:ascii="Times New Roman" w:eastAsia="Times New Roman" w:hAnsi="Times New Roman" w:cs="Times New Roman"/>
                <w:sz w:val="20"/>
                <w:szCs w:val="20"/>
                <w:lang w:eastAsia="sk-SK"/>
              </w:rPr>
              <w:t>sa bude vykonávať</w:t>
            </w:r>
            <w:r w:rsidRPr="000531AB">
              <w:rPr>
                <w:rFonts w:ascii="Times New Roman" w:eastAsia="Times New Roman" w:hAnsi="Times New Roman" w:cs="Times New Roman"/>
                <w:sz w:val="20"/>
                <w:szCs w:val="20"/>
                <w:lang w:eastAsia="sk-SK"/>
              </w:rPr>
              <w:t xml:space="preserve"> priebežne po nadobudnutí jeho účinnosti, pričom sa budú zohľadňovať najmä skúsenosti </w:t>
            </w:r>
            <w:r w:rsidR="009F3754">
              <w:rPr>
                <w:rFonts w:ascii="Times New Roman" w:eastAsia="Times New Roman" w:hAnsi="Times New Roman" w:cs="Times New Roman"/>
                <w:sz w:val="20"/>
                <w:szCs w:val="20"/>
                <w:lang w:eastAsia="sk-SK"/>
              </w:rPr>
              <w:t xml:space="preserve">z </w:t>
            </w:r>
            <w:r w:rsidRPr="000531AB">
              <w:rPr>
                <w:rFonts w:ascii="Times New Roman" w:eastAsia="Times New Roman" w:hAnsi="Times New Roman" w:cs="Times New Roman"/>
                <w:sz w:val="20"/>
                <w:szCs w:val="20"/>
                <w:lang w:eastAsia="sk-SK"/>
              </w:rPr>
              <w:t>aplikačnej praxe a</w:t>
            </w:r>
            <w:r w:rsidR="009F3754">
              <w:rPr>
                <w:rFonts w:ascii="Times New Roman" w:eastAsia="Times New Roman" w:hAnsi="Times New Roman" w:cs="Times New Roman"/>
                <w:sz w:val="20"/>
                <w:szCs w:val="20"/>
                <w:lang w:eastAsia="sk-SK"/>
              </w:rPr>
              <w:t xml:space="preserve"> dodržiavanie bezpečnostných </w:t>
            </w:r>
            <w:r w:rsidRPr="000531AB">
              <w:rPr>
                <w:rFonts w:ascii="Times New Roman" w:eastAsia="Times New Roman" w:hAnsi="Times New Roman" w:cs="Times New Roman"/>
                <w:sz w:val="20"/>
                <w:szCs w:val="20"/>
                <w:lang w:eastAsia="sk-SK"/>
              </w:rPr>
              <w:t>opatrení</w:t>
            </w:r>
            <w:r w:rsidR="009F3754">
              <w:rPr>
                <w:rFonts w:ascii="Times New Roman" w:eastAsia="Times New Roman" w:hAnsi="Times New Roman" w:cs="Times New Roman"/>
                <w:sz w:val="20"/>
                <w:szCs w:val="20"/>
                <w:lang w:eastAsia="sk-SK"/>
              </w:rPr>
              <w:t xml:space="preserve"> dotknutými subjektmi</w:t>
            </w:r>
            <w:r w:rsidR="00DA4AAB">
              <w:rPr>
                <w:rFonts w:ascii="Times New Roman" w:eastAsia="Times New Roman" w:hAnsi="Times New Roman" w:cs="Times New Roman"/>
                <w:sz w:val="20"/>
                <w:szCs w:val="20"/>
                <w:lang w:eastAsia="sk-SK"/>
              </w:rPr>
              <w:t>.</w:t>
            </w:r>
          </w:p>
          <w:p w14:paraId="508F71A6" w14:textId="77777777" w:rsidR="000531AB" w:rsidRPr="00612E08" w:rsidRDefault="000531AB" w:rsidP="0007791A">
            <w:pPr>
              <w:rPr>
                <w:rFonts w:ascii="Times New Roman" w:eastAsia="Times New Roman" w:hAnsi="Times New Roman" w:cs="Times New Roman"/>
                <w:i/>
                <w:sz w:val="20"/>
                <w:szCs w:val="20"/>
                <w:lang w:eastAsia="sk-SK"/>
              </w:rPr>
            </w:pPr>
          </w:p>
        </w:tc>
      </w:tr>
      <w:tr w:rsidR="00612E08" w:rsidRPr="00612E08" w14:paraId="3E9704EB" w14:textId="77777777" w:rsidTr="0007791A">
        <w:tc>
          <w:tcPr>
            <w:tcW w:w="9180" w:type="dxa"/>
            <w:gridSpan w:val="11"/>
            <w:tcBorders>
              <w:top w:val="nil"/>
              <w:left w:val="nil"/>
              <w:bottom w:val="single" w:sz="4" w:space="0" w:color="auto"/>
              <w:right w:val="nil"/>
            </w:tcBorders>
            <w:shd w:val="clear" w:color="auto" w:fill="FFFFFF"/>
          </w:tcPr>
          <w:p w14:paraId="09BFCD7A" w14:textId="77777777" w:rsidR="001B23B7" w:rsidRPr="00612E08" w:rsidRDefault="001B23B7" w:rsidP="00A7788F">
            <w:pPr>
              <w:jc w:val="both"/>
              <w:rPr>
                <w:rFonts w:ascii="Times New Roman" w:eastAsia="Times New Roman" w:hAnsi="Times New Roman" w:cs="Times New Roman"/>
                <w:b/>
                <w:sz w:val="20"/>
                <w:szCs w:val="20"/>
                <w:lang w:eastAsia="sk-SK"/>
              </w:rPr>
            </w:pPr>
          </w:p>
          <w:p w14:paraId="1E3A6F67" w14:textId="77777777" w:rsidR="001B23B7" w:rsidRPr="00612E08" w:rsidRDefault="001B23B7" w:rsidP="00A7788F">
            <w:pPr>
              <w:jc w:val="both"/>
              <w:rPr>
                <w:rFonts w:ascii="Times New Roman" w:eastAsia="Times New Roman" w:hAnsi="Times New Roman" w:cs="Times New Roman"/>
                <w:b/>
                <w:sz w:val="20"/>
                <w:szCs w:val="20"/>
                <w:lang w:eastAsia="sk-SK"/>
              </w:rPr>
            </w:pPr>
          </w:p>
          <w:p w14:paraId="42D09118"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65B14EB"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7F3E54FB"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54F2AAE" w14:textId="77777777" w:rsidR="004C6831" w:rsidRPr="00612E08" w:rsidRDefault="004C6831" w:rsidP="00A7788F">
            <w:pPr>
              <w:jc w:val="both"/>
              <w:rPr>
                <w:rFonts w:ascii="Times New Roman" w:eastAsia="Times New Roman" w:hAnsi="Times New Roman" w:cs="Times New Roman"/>
                <w:sz w:val="20"/>
                <w:szCs w:val="20"/>
                <w:lang w:eastAsia="sk-SK"/>
              </w:rPr>
            </w:pPr>
          </w:p>
          <w:p w14:paraId="192514AE"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3B72077B"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2A47D91"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612E08" w:rsidRPr="00612E08" w14:paraId="45C9F7A0"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2095D16D" w14:textId="77777777" w:rsidR="001B23B7" w:rsidRPr="00612E08" w:rsidRDefault="001B23B7" w:rsidP="0007791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2E9010F9" w14:textId="77777777" w:rsidR="001B23B7" w:rsidRPr="00612E08" w:rsidRDefault="00882441" w:rsidP="000779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7E7FA25" w14:textId="77777777" w:rsidR="001B23B7" w:rsidRPr="00612E08" w:rsidRDefault="001B23B7" w:rsidP="0007791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4974478A" w14:textId="77777777" w:rsidR="001B23B7" w:rsidRPr="00612E08" w:rsidRDefault="00882441" w:rsidP="000779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0CE95AC5" w14:textId="77777777" w:rsidR="001B23B7" w:rsidRPr="00612E08" w:rsidRDefault="001B23B7" w:rsidP="0007791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6F4BDEAD" w14:textId="77777777" w:rsidR="001B23B7" w:rsidRPr="00612E08" w:rsidRDefault="00882441" w:rsidP="0007791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CAA8C02" w14:textId="77777777" w:rsidR="001B23B7" w:rsidRPr="00612E08" w:rsidRDefault="001B23B7" w:rsidP="0007791A">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9CCE556" w14:textId="77777777" w:rsidTr="004C6831">
        <w:tc>
          <w:tcPr>
            <w:tcW w:w="3812" w:type="dxa"/>
            <w:tcBorders>
              <w:top w:val="nil"/>
              <w:left w:val="single" w:sz="4" w:space="0" w:color="auto"/>
              <w:bottom w:val="nil"/>
              <w:right w:val="single" w:sz="4" w:space="0" w:color="auto"/>
            </w:tcBorders>
            <w:shd w:val="clear" w:color="auto" w:fill="E2E2E2"/>
          </w:tcPr>
          <w:p w14:paraId="702D993A"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205C39B0"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0D1DD2E8"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4C30CA13" w14:textId="2780D72E" w:rsidR="001B23B7" w:rsidRPr="00612E08" w:rsidRDefault="00A50E6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6C512CC"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516ED20F" w14:textId="1571330D" w:rsidR="001B23B7" w:rsidRPr="00612E08" w:rsidRDefault="00A50E6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37D5AE6"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1B14EE0B"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CFCD039"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7D487795" w14:textId="77777777" w:rsidTr="004C6831">
        <w:tc>
          <w:tcPr>
            <w:tcW w:w="3812" w:type="dxa"/>
            <w:tcBorders>
              <w:top w:val="nil"/>
              <w:left w:val="single" w:sz="4" w:space="0" w:color="auto"/>
              <w:bottom w:val="nil"/>
              <w:right w:val="single" w:sz="4" w:space="0" w:color="auto"/>
            </w:tcBorders>
            <w:shd w:val="clear" w:color="auto" w:fill="E2E2E2"/>
          </w:tcPr>
          <w:p w14:paraId="2486EAC9"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14:paraId="66E9F2FD"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381BC92C"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1D018117" w14:textId="77777777" w:rsidR="003145AE" w:rsidRPr="00612E08" w:rsidRDefault="002B661B"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DC21C9B"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7AD04A8F"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23C95181"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7EEFFE28"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60209865"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5D8351E7"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11E9E463"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4EB58CB"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63BA51BD"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DDEB25F"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636DEA3C"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ABFE63A"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16252513"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57F6427C" w14:textId="77777777" w:rsidR="00A7788F" w:rsidRPr="00612E08" w:rsidRDefault="00A7788F" w:rsidP="0007791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1D6175ED" w14:textId="77777777" w:rsidR="00A7788F" w:rsidRPr="00612E08" w:rsidRDefault="00CD6E04" w:rsidP="0007791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EF5C7A2" w14:textId="77777777" w:rsidR="00A7788F" w:rsidRPr="00612E08" w:rsidRDefault="00A7788F" w:rsidP="0007791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5F87714" w14:textId="77777777" w:rsidR="00A7788F" w:rsidRPr="00612E08" w:rsidRDefault="00A7788F" w:rsidP="0007791A">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57FD2350" w14:textId="77777777" w:rsidR="00A7788F" w:rsidRPr="00612E08" w:rsidRDefault="00A7788F" w:rsidP="0007791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2540A761" w14:textId="77777777" w:rsidR="00A7788F" w:rsidRPr="00612E08" w:rsidRDefault="00187182" w:rsidP="0007791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C61FC9F" w14:textId="77777777" w:rsidR="00A7788F" w:rsidRPr="00612E08" w:rsidRDefault="00A7788F" w:rsidP="0007791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D2CD99D"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2A0BFE0E"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291E22BF"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427D40E"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tcPr>
              <w:p w14:paraId="06FEC853" w14:textId="092C4636" w:rsidR="007F587A" w:rsidRPr="00612E08" w:rsidRDefault="00855E7B"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757C435"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7D0F1DF6" w14:textId="01018552" w:rsidR="007F587A" w:rsidRPr="00612E08" w:rsidRDefault="00855E7B"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7FD582F"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509A47C"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1CA5545F"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0DA28F6A" w14:textId="77777777" w:rsidR="007F587A" w:rsidRPr="00612E08" w:rsidRDefault="00727A8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0649340"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1D71CB81" w14:textId="77777777" w:rsidR="007F587A" w:rsidRPr="00612E08" w:rsidRDefault="00A93C3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198D1C1"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4EB3B44D" w14:textId="77777777" w:rsidR="007F587A" w:rsidRPr="00612E08" w:rsidRDefault="00A93C3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F18C9FC"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629D4B0" w14:textId="77777777" w:rsidTr="00203EE3">
        <w:tc>
          <w:tcPr>
            <w:tcW w:w="3812" w:type="dxa"/>
            <w:tcBorders>
              <w:top w:val="nil"/>
              <w:left w:val="single" w:sz="4" w:space="0" w:color="000000"/>
              <w:bottom w:val="nil"/>
              <w:right w:val="single" w:sz="4" w:space="0" w:color="000000"/>
            </w:tcBorders>
            <w:shd w:val="clear" w:color="auto" w:fill="E2E2E2"/>
          </w:tcPr>
          <w:p w14:paraId="6DF7FE03"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5DD8B88B"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5E2C8549" w14:textId="77777777" w:rsidR="007F587A" w:rsidRPr="00612E08" w:rsidRDefault="00727A8B"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D0224B9"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0647B9EF" w14:textId="606F11A3" w:rsidR="007F587A" w:rsidRPr="00612E08" w:rsidRDefault="0028027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8B4A885"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15B1AD9E" w14:textId="4F0C5C80" w:rsidR="007F587A" w:rsidRPr="00612E08" w:rsidRDefault="0028027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C5E3BD2"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287291BE"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2DD11EE8"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4A9B823F"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4AE08E2B"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23BAD4F3"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51883323"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11E9CC7"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3E71810B"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3705B7D"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7158589C"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4E4DFCDD"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20EA982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2DB0EC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8D25ACF" w14:textId="77777777" w:rsidR="007F587A" w:rsidRPr="00612E08" w:rsidRDefault="001915F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8F2765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58B3AC58"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FE78EA5"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E2A72F3"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654C3E7F"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390688A5"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AB4FB1B"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1C121A7F" w14:textId="77777777" w:rsidR="007F587A" w:rsidRPr="00612E08" w:rsidRDefault="001915F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D8F2BE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789394A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0BBC2BB"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4981A2B"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4D88A726" w14:textId="77777777" w:rsidR="007F587A" w:rsidRPr="00612E08" w:rsidRDefault="007F587A" w:rsidP="007F587A">
            <w:pPr>
              <w:rPr>
                <w:rFonts w:ascii="Times New Roman" w:eastAsia="Times New Roman" w:hAnsi="Times New Roman" w:cs="Times New Roman"/>
                <w:sz w:val="20"/>
                <w:szCs w:val="20"/>
                <w:lang w:eastAsia="sk-SK"/>
              </w:rPr>
            </w:pPr>
          </w:p>
          <w:p w14:paraId="0E81329A"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0D7EF09A"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9E0EF5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54A49E0"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2E00E07B"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72B09ACF" w14:textId="77777777" w:rsidR="007F587A" w:rsidRPr="00612E08" w:rsidRDefault="001915F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C2FE604"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4F865C3"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6A30C10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6B6B2354" w14:textId="77777777" w:rsidR="007F587A" w:rsidRPr="00612E08" w:rsidRDefault="00A93C3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8374747"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4BB628B6" w14:textId="77777777" w:rsidR="007F587A" w:rsidRPr="00612E08" w:rsidRDefault="00A93C3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644B79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3544F8A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203C063"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0C9C9C13"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5864D4D6" w14:textId="77777777" w:rsidR="000F2BE9" w:rsidRPr="00612E08" w:rsidRDefault="000F2BE9" w:rsidP="0007791A">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2F45FE45" w14:textId="77777777" w:rsidR="000F2BE9" w:rsidRPr="00612E08" w:rsidRDefault="000F2BE9" w:rsidP="0007791A">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2B385F74" w14:textId="77777777" w:rsidR="000F2BE9" w:rsidRPr="00612E08" w:rsidRDefault="000F2BE9" w:rsidP="0007791A">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CB2BC6F" w14:textId="77777777" w:rsidR="000F2BE9" w:rsidRPr="00612E08" w:rsidRDefault="000F2BE9" w:rsidP="0007791A">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FF3B940" w14:textId="77777777" w:rsidR="000F2BE9" w:rsidRPr="00612E08" w:rsidRDefault="000F2BE9" w:rsidP="0007791A">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2416BEAB" w14:textId="77777777" w:rsidR="000F2BE9" w:rsidRPr="00612E08" w:rsidRDefault="000F2BE9" w:rsidP="0007791A">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79D679C" w14:textId="77777777" w:rsidR="000F2BE9" w:rsidRPr="00612E08" w:rsidRDefault="000F2BE9" w:rsidP="0007791A">
            <w:pPr>
              <w:spacing w:after="0" w:line="240" w:lineRule="auto"/>
              <w:ind w:left="54"/>
              <w:rPr>
                <w:rFonts w:ascii="Times New Roman" w:eastAsia="Times New Roman" w:hAnsi="Times New Roman" w:cs="Times New Roman"/>
                <w:b/>
                <w:sz w:val="20"/>
                <w:szCs w:val="20"/>
                <w:lang w:eastAsia="sk-SK"/>
              </w:rPr>
            </w:pPr>
          </w:p>
        </w:tc>
      </w:tr>
      <w:tr w:rsidR="00612E08" w:rsidRPr="00612E08" w14:paraId="3A6D8C44" w14:textId="77777777" w:rsidTr="00B547F5">
        <w:tc>
          <w:tcPr>
            <w:tcW w:w="3812" w:type="dxa"/>
            <w:tcBorders>
              <w:top w:val="nil"/>
              <w:left w:val="single" w:sz="4" w:space="0" w:color="auto"/>
              <w:bottom w:val="nil"/>
              <w:right w:val="single" w:sz="4" w:space="0" w:color="auto"/>
            </w:tcBorders>
            <w:shd w:val="clear" w:color="auto" w:fill="E2E2E2"/>
          </w:tcPr>
          <w:p w14:paraId="6F1C348E" w14:textId="77777777" w:rsidR="000F2BE9" w:rsidRPr="00612E08" w:rsidRDefault="000F2BE9" w:rsidP="0007791A">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2819198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5F455AF"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69880306" w14:textId="77777777" w:rsidR="000F2BE9" w:rsidRPr="00612E08" w:rsidRDefault="001915F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1E8DEF7"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7DBE5EC7"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B46E937"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C3EE773" w14:textId="77777777" w:rsidTr="00B547F5">
        <w:tc>
          <w:tcPr>
            <w:tcW w:w="3812" w:type="dxa"/>
            <w:tcBorders>
              <w:top w:val="nil"/>
              <w:left w:val="single" w:sz="4" w:space="0" w:color="auto"/>
              <w:bottom w:val="nil"/>
              <w:right w:val="single" w:sz="4" w:space="0" w:color="auto"/>
            </w:tcBorders>
            <w:shd w:val="clear" w:color="auto" w:fill="E2E2E2"/>
          </w:tcPr>
          <w:p w14:paraId="17AAE9C4" w14:textId="77777777" w:rsidR="000F2BE9" w:rsidRPr="00612E08" w:rsidRDefault="000F2BE9" w:rsidP="0007791A">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2D6CE9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5C0F84F"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6702CD08" w14:textId="77777777" w:rsidR="000F2BE9" w:rsidRPr="00612E08" w:rsidRDefault="001915F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7180A00B"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6E88B4AA"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D87C28A"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2224209E"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0441ECEA" w14:textId="77777777" w:rsidR="00A340BB" w:rsidRPr="00612E08" w:rsidRDefault="00A340BB" w:rsidP="0007791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702A8115"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9A6E5B0"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02C64983" w14:textId="77777777" w:rsidR="00A340BB" w:rsidRPr="00612E08" w:rsidRDefault="001915F3"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BFEDF64"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4BCCA6AB"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522C675"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5F040405"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034BFC29" w14:textId="77777777" w:rsidTr="0007791A">
        <w:tc>
          <w:tcPr>
            <w:tcW w:w="9176" w:type="dxa"/>
            <w:tcBorders>
              <w:top w:val="single" w:sz="4" w:space="0" w:color="auto"/>
              <w:left w:val="single" w:sz="4" w:space="0" w:color="auto"/>
              <w:bottom w:val="nil"/>
              <w:right w:val="single" w:sz="4" w:space="0" w:color="auto"/>
            </w:tcBorders>
            <w:shd w:val="clear" w:color="auto" w:fill="E2E2E2"/>
          </w:tcPr>
          <w:p w14:paraId="381B1D9E"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71567B12" w14:textId="77777777" w:rsidTr="0007791A">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3C1D5BC" w14:textId="77777777" w:rsidR="0003566A" w:rsidRPr="00732459" w:rsidRDefault="0003566A" w:rsidP="0003566A">
            <w:pPr>
              <w:jc w:val="both"/>
              <w:rPr>
                <w:rFonts w:ascii="Times New Roman" w:hAnsi="Times New Roman" w:cs="Times New Roman"/>
                <w:sz w:val="24"/>
              </w:rPr>
            </w:pPr>
            <w:r w:rsidRPr="00732459">
              <w:rPr>
                <w:rFonts w:ascii="Times New Roman" w:hAnsi="Times New Roman" w:cs="Times New Roman"/>
                <w:sz w:val="24"/>
              </w:rPr>
              <w:t xml:space="preserve">V návrhu zákona sa v čl. I § 13 sa upravuje pokuta za priestupky a v čl. I § 14 sa upravujú pokuty za správne delikty. V nadväznosti na vypracovanú </w:t>
            </w:r>
            <w:r w:rsidRPr="000C24CE">
              <w:rPr>
                <w:rFonts w:ascii="Times New Roman" w:hAnsi="Times New Roman" w:cs="Times New Roman"/>
                <w:i/>
                <w:sz w:val="24"/>
              </w:rPr>
              <w:t>Analýz</w:t>
            </w:r>
            <w:r>
              <w:rPr>
                <w:rFonts w:ascii="Times New Roman" w:hAnsi="Times New Roman" w:cs="Times New Roman"/>
                <w:i/>
                <w:sz w:val="24"/>
              </w:rPr>
              <w:t>u</w:t>
            </w:r>
            <w:r w:rsidRPr="000C24CE">
              <w:rPr>
                <w:rFonts w:ascii="Times New Roman" w:hAnsi="Times New Roman" w:cs="Times New Roman"/>
                <w:i/>
                <w:sz w:val="24"/>
              </w:rPr>
              <w:t xml:space="preserve"> vplyvov na podnikateľské prostredie</w:t>
            </w:r>
            <w:r>
              <w:rPr>
                <w:rFonts w:ascii="Times New Roman" w:hAnsi="Times New Roman" w:cs="Times New Roman"/>
                <w:i/>
                <w:sz w:val="24"/>
              </w:rPr>
              <w:t xml:space="preserve"> </w:t>
            </w:r>
            <w:r w:rsidRPr="00732459">
              <w:rPr>
                <w:rFonts w:ascii="Times New Roman" w:hAnsi="Times New Roman" w:cs="Times New Roman"/>
                <w:sz w:val="24"/>
              </w:rPr>
              <w:t>nepredpokladá výrazný nárast počtu pokuty za priestupky a pokút za správne delikty, z toho dôvodu úrad predpokladá žiadny priamy vplyv na rozpočet verenej správy a na limit verejných výdavkov, po účinnosti novely zákona.</w:t>
            </w:r>
          </w:p>
          <w:p w14:paraId="1515687F" w14:textId="4D29B2EC" w:rsidR="001B23B7" w:rsidRPr="00AE280C" w:rsidRDefault="001B23B7" w:rsidP="00AE280C">
            <w:pPr>
              <w:jc w:val="both"/>
              <w:rPr>
                <w:rFonts w:ascii="Times New Roman" w:eastAsia="Times New Roman" w:hAnsi="Times New Roman" w:cs="Times New Roman"/>
                <w:sz w:val="20"/>
                <w:szCs w:val="20"/>
                <w:lang w:eastAsia="sk-SK"/>
              </w:rPr>
            </w:pPr>
          </w:p>
        </w:tc>
      </w:tr>
      <w:tr w:rsidR="00612E08" w:rsidRPr="00612E08" w14:paraId="5D271CFA" w14:textId="77777777" w:rsidTr="0007791A">
        <w:tc>
          <w:tcPr>
            <w:tcW w:w="9176" w:type="dxa"/>
            <w:tcBorders>
              <w:top w:val="single" w:sz="4" w:space="0" w:color="auto"/>
              <w:left w:val="single" w:sz="4" w:space="0" w:color="auto"/>
              <w:bottom w:val="single" w:sz="4" w:space="0" w:color="FFFFFF"/>
              <w:right w:val="single" w:sz="4" w:space="0" w:color="auto"/>
            </w:tcBorders>
            <w:shd w:val="clear" w:color="auto" w:fill="E2E2E2"/>
          </w:tcPr>
          <w:p w14:paraId="1DBC5575"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4175833C" w14:textId="77777777" w:rsidTr="0007791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08F9ADB" w14:textId="77777777" w:rsidR="00AE280C" w:rsidRDefault="00AE280C" w:rsidP="0007791A">
            <w:pPr>
              <w:rPr>
                <w:rFonts w:ascii="Times New Roman" w:eastAsia="Times New Roman" w:hAnsi="Times New Roman" w:cs="Times New Roman"/>
                <w:sz w:val="20"/>
                <w:szCs w:val="20"/>
                <w:lang w:eastAsia="sk-SK"/>
              </w:rPr>
            </w:pPr>
          </w:p>
          <w:p w14:paraId="60349CF2" w14:textId="77777777" w:rsidR="001B23B7" w:rsidRDefault="005B3865" w:rsidP="000779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PhDr.</w:t>
            </w:r>
            <w:r w:rsidR="002B661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Ľubomír Klačko, PhD.</w:t>
            </w:r>
          </w:p>
          <w:p w14:paraId="5D75E480" w14:textId="77777777" w:rsidR="002D6B07" w:rsidRDefault="002D6B07" w:rsidP="000779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odbor regulácie a metodiky</w:t>
            </w:r>
          </w:p>
          <w:p w14:paraId="0ECBF49E" w14:textId="77777777" w:rsidR="002B661B" w:rsidRDefault="002D6B07" w:rsidP="000779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sekcia</w:t>
            </w:r>
            <w:r w:rsidR="00F63074">
              <w:rPr>
                <w:rFonts w:ascii="Times New Roman" w:eastAsia="Times New Roman" w:hAnsi="Times New Roman" w:cs="Times New Roman"/>
                <w:sz w:val="20"/>
                <w:szCs w:val="20"/>
                <w:lang w:eastAsia="sk-SK"/>
              </w:rPr>
              <w:t xml:space="preserve"> regulácie a dohľadu</w:t>
            </w:r>
          </w:p>
          <w:p w14:paraId="41741D60" w14:textId="77777777" w:rsidR="002B661B" w:rsidRDefault="002B661B" w:rsidP="000779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Národný bezpečnostný úrad</w:t>
            </w:r>
          </w:p>
          <w:p w14:paraId="1E97CCC2" w14:textId="77777777" w:rsidR="005D6D48" w:rsidRDefault="00F51CC7" w:rsidP="0007791A">
            <w:pPr>
              <w:rPr>
                <w:rFonts w:ascii="Times New Roman" w:eastAsia="Times New Roman" w:hAnsi="Times New Roman" w:cs="Times New Roman"/>
                <w:sz w:val="20"/>
                <w:szCs w:val="20"/>
                <w:lang w:eastAsia="sk-SK"/>
              </w:rPr>
            </w:pPr>
            <w:hyperlink r:id="rId9" w:history="1">
              <w:r w:rsidR="005D6D48" w:rsidRPr="000E65E8">
                <w:rPr>
                  <w:rStyle w:val="Hypertextovprepojenie"/>
                  <w:rFonts w:ascii="Times New Roman" w:eastAsia="Times New Roman" w:hAnsi="Times New Roman" w:cs="Times New Roman"/>
                  <w:sz w:val="20"/>
                  <w:szCs w:val="20"/>
                  <w:lang w:eastAsia="sk-SK"/>
                </w:rPr>
                <w:t>legislativa@nbu.gov.sk</w:t>
              </w:r>
            </w:hyperlink>
            <w:r w:rsidR="005D6D48">
              <w:rPr>
                <w:rFonts w:ascii="Times New Roman" w:eastAsia="Times New Roman" w:hAnsi="Times New Roman" w:cs="Times New Roman"/>
                <w:sz w:val="20"/>
                <w:szCs w:val="20"/>
                <w:lang w:eastAsia="sk-SK"/>
              </w:rPr>
              <w:t xml:space="preserve"> </w:t>
            </w:r>
          </w:p>
          <w:p w14:paraId="409702FF" w14:textId="77777777" w:rsidR="002B661B" w:rsidRDefault="002B661B" w:rsidP="000779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+421 2 6869 2</w:t>
            </w:r>
            <w:r w:rsidR="005B3865">
              <w:rPr>
                <w:rFonts w:ascii="Times New Roman" w:eastAsia="Times New Roman" w:hAnsi="Times New Roman" w:cs="Times New Roman"/>
                <w:sz w:val="20"/>
                <w:szCs w:val="20"/>
                <w:lang w:eastAsia="sk-SK"/>
              </w:rPr>
              <w:t>446</w:t>
            </w:r>
          </w:p>
          <w:p w14:paraId="7C5AC647" w14:textId="77777777" w:rsidR="00AE280C" w:rsidRPr="002B661B" w:rsidRDefault="00AE280C" w:rsidP="0007791A">
            <w:pPr>
              <w:rPr>
                <w:rFonts w:ascii="Times New Roman" w:eastAsia="Times New Roman" w:hAnsi="Times New Roman" w:cs="Times New Roman"/>
                <w:sz w:val="20"/>
                <w:szCs w:val="20"/>
                <w:lang w:eastAsia="sk-SK"/>
              </w:rPr>
            </w:pPr>
          </w:p>
        </w:tc>
      </w:tr>
      <w:tr w:rsidR="00612E08" w:rsidRPr="00612E08" w14:paraId="1404B45F" w14:textId="77777777" w:rsidTr="0007791A">
        <w:tc>
          <w:tcPr>
            <w:tcW w:w="9176" w:type="dxa"/>
            <w:tcBorders>
              <w:top w:val="single" w:sz="4" w:space="0" w:color="auto"/>
              <w:left w:val="single" w:sz="4" w:space="0" w:color="auto"/>
              <w:bottom w:val="single" w:sz="4" w:space="0" w:color="FFFFFF"/>
              <w:right w:val="single" w:sz="4" w:space="0" w:color="auto"/>
            </w:tcBorders>
            <w:shd w:val="clear" w:color="auto" w:fill="E2E2E2"/>
          </w:tcPr>
          <w:p w14:paraId="54386EEF" w14:textId="77777777" w:rsidR="001B23B7" w:rsidRPr="00612E08" w:rsidRDefault="001B23B7" w:rsidP="0007791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0A3F26A8" w14:textId="77777777" w:rsidTr="0007791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388696C" w14:textId="77777777" w:rsidR="009F3754" w:rsidRDefault="009F3754" w:rsidP="0007791A">
            <w:pPr>
              <w:jc w:val="both"/>
              <w:rPr>
                <w:rFonts w:ascii="Times New Roman" w:eastAsia="Times New Roman" w:hAnsi="Times New Roman" w:cs="Times New Roman"/>
                <w:sz w:val="20"/>
                <w:szCs w:val="20"/>
                <w:lang w:eastAsia="sk-SK"/>
              </w:rPr>
            </w:pPr>
          </w:p>
          <w:p w14:paraId="7340FD98" w14:textId="77777777" w:rsidR="00933ECC" w:rsidRDefault="003B6C40" w:rsidP="00771C7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Interné zdroje. </w:t>
            </w:r>
          </w:p>
          <w:p w14:paraId="1F4D9440" w14:textId="77777777" w:rsidR="001B23B7" w:rsidRPr="00AE280C" w:rsidRDefault="00FF01AF" w:rsidP="00771C7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Závery</w:t>
            </w:r>
            <w:r w:rsidR="00933ECC">
              <w:rPr>
                <w:rFonts w:ascii="Times New Roman" w:eastAsia="Times New Roman" w:hAnsi="Times New Roman" w:cs="Times New Roman"/>
                <w:sz w:val="20"/>
                <w:szCs w:val="20"/>
                <w:lang w:eastAsia="sk-SK"/>
              </w:rPr>
              <w:t xml:space="preserve"> </w:t>
            </w:r>
            <w:r w:rsidR="00F63074">
              <w:rPr>
                <w:rFonts w:ascii="Times New Roman" w:eastAsia="Times New Roman" w:hAnsi="Times New Roman" w:cs="Times New Roman"/>
                <w:sz w:val="20"/>
                <w:szCs w:val="20"/>
                <w:lang w:eastAsia="sk-SK"/>
              </w:rPr>
              <w:t xml:space="preserve">z </w:t>
            </w:r>
            <w:r w:rsidR="00933ECC">
              <w:rPr>
                <w:rFonts w:ascii="Times New Roman" w:eastAsia="Times New Roman" w:hAnsi="Times New Roman" w:cs="Times New Roman"/>
                <w:sz w:val="20"/>
                <w:szCs w:val="20"/>
                <w:lang w:eastAsia="sk-SK"/>
              </w:rPr>
              <w:t xml:space="preserve">rokovaní vnútroštátnych pracovných skupín a pracovných skupín v rámci </w:t>
            </w:r>
            <w:r>
              <w:rPr>
                <w:rFonts w:ascii="Times New Roman" w:eastAsia="Times New Roman" w:hAnsi="Times New Roman" w:cs="Times New Roman"/>
                <w:sz w:val="20"/>
                <w:szCs w:val="20"/>
                <w:lang w:eastAsia="sk-SK"/>
              </w:rPr>
              <w:t xml:space="preserve">Únie v oblasti dôveryhodných služieb. </w:t>
            </w:r>
          </w:p>
          <w:p w14:paraId="7E3D219B" w14:textId="77777777" w:rsidR="00771C73" w:rsidRPr="00771C73" w:rsidRDefault="00771C73" w:rsidP="00DF30DD">
            <w:pPr>
              <w:jc w:val="both"/>
              <w:rPr>
                <w:rFonts w:ascii="Times New Roman" w:eastAsia="Times New Roman" w:hAnsi="Times New Roman" w:cs="Times New Roman"/>
                <w:sz w:val="20"/>
                <w:szCs w:val="20"/>
                <w:lang w:eastAsia="sk-SK"/>
              </w:rPr>
            </w:pPr>
          </w:p>
        </w:tc>
      </w:tr>
      <w:tr w:rsidR="00612E08" w:rsidRPr="00612E08" w14:paraId="483AFF51" w14:textId="77777777" w:rsidTr="0007791A">
        <w:tc>
          <w:tcPr>
            <w:tcW w:w="9176" w:type="dxa"/>
            <w:tcBorders>
              <w:top w:val="single" w:sz="4" w:space="0" w:color="auto"/>
              <w:left w:val="single" w:sz="4" w:space="0" w:color="auto"/>
              <w:bottom w:val="single" w:sz="4" w:space="0" w:color="FFFFFF"/>
              <w:right w:val="single" w:sz="4" w:space="0" w:color="auto"/>
            </w:tcBorders>
            <w:shd w:val="clear" w:color="auto" w:fill="E2E2E2"/>
          </w:tcPr>
          <w:p w14:paraId="33BAAB83" w14:textId="77777777" w:rsidR="001B23B7" w:rsidRPr="00612E08" w:rsidRDefault="001B23B7" w:rsidP="0007791A">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 PPK č. ..........</w:t>
            </w:r>
            <w:r w:rsidRPr="00612E08">
              <w:rPr>
                <w:rFonts w:ascii="Calibri" w:eastAsia="Calibri" w:hAnsi="Calibri" w:cs="Times New Roman"/>
              </w:rPr>
              <w:t xml:space="preserve"> </w:t>
            </w:r>
          </w:p>
          <w:p w14:paraId="1B528813" w14:textId="77777777" w:rsidR="001B23B7" w:rsidRPr="00612E08" w:rsidRDefault="001B23B7" w:rsidP="0007791A">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4946DD73"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A61AC08" w14:textId="77777777" w:rsidR="001B23B7" w:rsidRPr="00612E08" w:rsidRDefault="001B23B7" w:rsidP="0007791A">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0CA79726" w14:textId="77777777" w:rsidTr="0007791A">
              <w:trPr>
                <w:trHeight w:val="396"/>
              </w:trPr>
              <w:tc>
                <w:tcPr>
                  <w:tcW w:w="2552" w:type="dxa"/>
                </w:tcPr>
                <w:p w14:paraId="30116E12" w14:textId="77777777" w:rsidR="001B23B7" w:rsidRPr="00612E08" w:rsidRDefault="00F51CC7" w:rsidP="000779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27B8871A" w14:textId="77777777" w:rsidR="001B23B7" w:rsidRPr="00612E08" w:rsidRDefault="00F51CC7" w:rsidP="000779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D23ACC3" w14:textId="77777777" w:rsidR="001B23B7" w:rsidRPr="00612E08" w:rsidRDefault="00F51CC7" w:rsidP="0007791A">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145E4C46" w14:textId="77777777" w:rsidR="001B23B7" w:rsidRPr="00612E08" w:rsidRDefault="001B23B7" w:rsidP="0007791A">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00A0C724" w14:textId="77777777" w:rsidR="001B23B7" w:rsidRPr="00612E08" w:rsidRDefault="001B23B7" w:rsidP="0007791A">
            <w:pPr>
              <w:rPr>
                <w:rFonts w:ascii="Times New Roman" w:eastAsia="Times New Roman" w:hAnsi="Times New Roman" w:cs="Times New Roman"/>
                <w:b/>
                <w:sz w:val="20"/>
                <w:szCs w:val="20"/>
                <w:lang w:eastAsia="sk-SK"/>
              </w:rPr>
            </w:pPr>
          </w:p>
          <w:p w14:paraId="33045BEA" w14:textId="77777777" w:rsidR="001B23B7" w:rsidRPr="00612E08" w:rsidRDefault="001B23B7" w:rsidP="0007791A">
            <w:pPr>
              <w:rPr>
                <w:rFonts w:ascii="Times New Roman" w:eastAsia="Times New Roman" w:hAnsi="Times New Roman" w:cs="Times New Roman"/>
                <w:b/>
                <w:sz w:val="20"/>
                <w:szCs w:val="20"/>
                <w:lang w:eastAsia="sk-SK"/>
              </w:rPr>
            </w:pPr>
          </w:p>
        </w:tc>
      </w:tr>
      <w:tr w:rsidR="00612E08" w:rsidRPr="00612E08" w14:paraId="2A6564E1" w14:textId="77777777" w:rsidTr="0007791A">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EAA6805" w14:textId="168C833E" w:rsidR="001B23B7" w:rsidRPr="00612E08" w:rsidRDefault="001B23B7" w:rsidP="00A6243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zo záverečného posúdenia č. </w:t>
            </w:r>
            <w:r w:rsidR="00A6243C">
              <w:rPr>
                <w:rFonts w:ascii="Times New Roman" w:eastAsia="Calibri" w:hAnsi="Times New Roman" w:cs="Times New Roman"/>
                <w:b/>
              </w:rPr>
              <w:t>161/2024</w:t>
            </w:r>
            <w:r w:rsidRPr="00612E08">
              <w:rPr>
                <w:rFonts w:ascii="Times New Roman" w:eastAsia="Calibri" w:hAnsi="Times New Roman" w:cs="Times New Roman"/>
              </w:rPr>
              <w:t xml:space="preserve"> (v prípade, ak sa uskutočnilo v zmysle bodu 9.1. Jednotnej metodiky) </w:t>
            </w:r>
          </w:p>
        </w:tc>
      </w:tr>
      <w:tr w:rsidR="00612E08" w:rsidRPr="00612E08" w14:paraId="750A6C6D" w14:textId="77777777" w:rsidTr="0007791A">
        <w:tblPrEx>
          <w:tblBorders>
            <w:insideH w:val="single" w:sz="4" w:space="0" w:color="FFFFFF"/>
            <w:insideV w:val="single" w:sz="4" w:space="0" w:color="FFFFFF"/>
          </w:tblBorders>
        </w:tblPrEx>
        <w:tc>
          <w:tcPr>
            <w:tcW w:w="9176" w:type="dxa"/>
            <w:shd w:val="clear" w:color="auto" w:fill="FFFFFF"/>
          </w:tcPr>
          <w:p w14:paraId="0EDBD625" w14:textId="77777777" w:rsidR="001B23B7" w:rsidRPr="00612E08" w:rsidRDefault="001B23B7" w:rsidP="0007791A">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424BFA83" w14:textId="77777777" w:rsidTr="0007791A">
              <w:trPr>
                <w:trHeight w:val="396"/>
              </w:trPr>
              <w:tc>
                <w:tcPr>
                  <w:tcW w:w="2552" w:type="dxa"/>
                </w:tcPr>
                <w:p w14:paraId="22B30B15" w14:textId="7C9FA360" w:rsidR="001B23B7" w:rsidRPr="00612E08" w:rsidRDefault="00F51CC7" w:rsidP="000779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Content>
                      <w:r w:rsidR="00AB2136">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49BCDC9A" w14:textId="77777777" w:rsidR="001B23B7" w:rsidRPr="00612E08" w:rsidRDefault="00F51CC7" w:rsidP="000779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D67CDB8" w14:textId="0D6902E6" w:rsidR="001B23B7" w:rsidRPr="00612E08" w:rsidRDefault="00F51CC7" w:rsidP="0007791A">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sidR="00AB2136">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77D6585E" w14:textId="77777777" w:rsidR="001B23B7" w:rsidRPr="00612E08" w:rsidRDefault="001B23B7" w:rsidP="0007791A">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37BF246" w14:textId="1E61BFC6" w:rsidR="001B23B7" w:rsidRPr="00612E08" w:rsidRDefault="00A6243C" w:rsidP="00CB02CB">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p>
        </w:tc>
      </w:tr>
    </w:tbl>
    <w:p w14:paraId="2BEE7B53" w14:textId="1EFC4B76" w:rsidR="00F60E38" w:rsidRDefault="00F60E38"/>
    <w:p w14:paraId="4FE7ADA1" w14:textId="77777777" w:rsidR="00F60E38" w:rsidRDefault="00F60E38">
      <w:r>
        <w:br w:type="page"/>
      </w:r>
    </w:p>
    <w:p w14:paraId="759EDFF8" w14:textId="77777777" w:rsidR="009F25EE" w:rsidRPr="00A46FEC" w:rsidRDefault="009F25EE" w:rsidP="009F25EE">
      <w:pPr>
        <w:spacing w:after="0" w:line="240" w:lineRule="auto"/>
        <w:jc w:val="center"/>
        <w:rPr>
          <w:rFonts w:ascii="Times New Roman" w:eastAsia="Times New Roman" w:hAnsi="Times New Roman" w:cs="Times New Roman"/>
          <w:b/>
          <w:bCs/>
          <w:sz w:val="28"/>
          <w:szCs w:val="28"/>
          <w:lang w:eastAsia="sk-SK"/>
        </w:rPr>
      </w:pPr>
      <w:r w:rsidRPr="00A46FEC">
        <w:rPr>
          <w:rFonts w:ascii="Times New Roman" w:eastAsia="Times New Roman" w:hAnsi="Times New Roman" w:cs="Times New Roman"/>
          <w:b/>
          <w:bCs/>
          <w:sz w:val="28"/>
          <w:szCs w:val="28"/>
          <w:lang w:eastAsia="sk-SK"/>
        </w:rPr>
        <w:lastRenderedPageBreak/>
        <w:t>Analýza vplyvov na rozpočet verejnej správy,</w:t>
      </w:r>
    </w:p>
    <w:p w14:paraId="6B0320C8" w14:textId="77777777" w:rsidR="009F25EE" w:rsidRPr="007B7470" w:rsidRDefault="009F25EE" w:rsidP="009F25EE">
      <w:pPr>
        <w:spacing w:after="0" w:line="240" w:lineRule="auto"/>
        <w:jc w:val="center"/>
        <w:rPr>
          <w:rFonts w:ascii="Times New Roman" w:eastAsia="Times New Roman" w:hAnsi="Times New Roman" w:cs="Times New Roman"/>
          <w:b/>
          <w:bCs/>
          <w:sz w:val="28"/>
          <w:szCs w:val="28"/>
          <w:lang w:eastAsia="sk-SK"/>
        </w:rPr>
      </w:pPr>
      <w:r w:rsidRPr="00A46FEC">
        <w:rPr>
          <w:rFonts w:ascii="Times New Roman" w:eastAsia="Times New Roman" w:hAnsi="Times New Roman" w:cs="Times New Roman"/>
          <w:b/>
          <w:bCs/>
          <w:sz w:val="28"/>
          <w:szCs w:val="28"/>
          <w:lang w:eastAsia="sk-SK"/>
        </w:rPr>
        <w:t>na zamestnanosť vo verejnej správe a financovanie návrhu</w:t>
      </w:r>
    </w:p>
    <w:p w14:paraId="720D83E0" w14:textId="77777777" w:rsidR="009F25EE" w:rsidRPr="007B7470" w:rsidRDefault="009F25EE" w:rsidP="009F25EE">
      <w:pPr>
        <w:spacing w:after="0" w:line="240" w:lineRule="auto"/>
        <w:jc w:val="right"/>
        <w:rPr>
          <w:rFonts w:ascii="Times New Roman" w:eastAsia="Times New Roman" w:hAnsi="Times New Roman" w:cs="Times New Roman"/>
          <w:b/>
          <w:bCs/>
          <w:sz w:val="24"/>
          <w:szCs w:val="24"/>
          <w:lang w:eastAsia="sk-SK"/>
        </w:rPr>
      </w:pPr>
    </w:p>
    <w:p w14:paraId="0B8925E2" w14:textId="77777777" w:rsidR="009F25EE" w:rsidRPr="007B7470" w:rsidRDefault="009F25EE" w:rsidP="009F25EE">
      <w:pPr>
        <w:spacing w:after="0" w:line="240" w:lineRule="auto"/>
        <w:jc w:val="right"/>
        <w:rPr>
          <w:rFonts w:ascii="Times New Roman" w:eastAsia="Times New Roman" w:hAnsi="Times New Roman" w:cs="Times New Roman"/>
          <w:b/>
          <w:bCs/>
          <w:sz w:val="24"/>
          <w:szCs w:val="24"/>
          <w:lang w:eastAsia="sk-SK"/>
        </w:rPr>
      </w:pPr>
    </w:p>
    <w:p w14:paraId="277F0C2C" w14:textId="77777777" w:rsidR="009F25EE" w:rsidRPr="007B7470" w:rsidRDefault="009F25EE" w:rsidP="009F25EE">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14:paraId="5002A8E2" w14:textId="77777777" w:rsidR="009F25EE" w:rsidRPr="007B7470" w:rsidRDefault="009F25EE" w:rsidP="009F25EE">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9F25EE" w:rsidRPr="007B7470" w14:paraId="45FAA4C2" w14:textId="77777777" w:rsidTr="00CB02CB">
        <w:trPr>
          <w:cantSplit/>
          <w:trHeight w:val="194"/>
          <w:jc w:val="center"/>
        </w:trPr>
        <w:tc>
          <w:tcPr>
            <w:tcW w:w="4661" w:type="dxa"/>
            <w:vMerge w:val="restart"/>
            <w:shd w:val="clear" w:color="auto" w:fill="BFBFBF" w:themeFill="background1" w:themeFillShade="BF"/>
            <w:vAlign w:val="center"/>
          </w:tcPr>
          <w:p w14:paraId="1115C916" w14:textId="77777777" w:rsidR="009F25EE" w:rsidRPr="007B7470" w:rsidRDefault="009F25EE" w:rsidP="00CB02CB">
            <w:pPr>
              <w:spacing w:after="0" w:line="240" w:lineRule="auto"/>
              <w:jc w:val="center"/>
              <w:rPr>
                <w:rFonts w:ascii="Times New Roman" w:eastAsia="Times New Roman" w:hAnsi="Times New Roman" w:cs="Times New Roman"/>
                <w:b/>
                <w:bCs/>
                <w:sz w:val="24"/>
                <w:szCs w:val="24"/>
                <w:lang w:eastAsia="sk-SK"/>
              </w:rPr>
            </w:pPr>
            <w:bookmarkStart w:id="0"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0BD00273" w14:textId="77777777" w:rsidR="009F25EE" w:rsidRPr="007B7470" w:rsidRDefault="009F25EE"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9F25EE" w:rsidRPr="007B7470" w14:paraId="0CBA567B" w14:textId="77777777" w:rsidTr="00CB02CB">
        <w:trPr>
          <w:cantSplit/>
          <w:trHeight w:val="70"/>
          <w:jc w:val="center"/>
        </w:trPr>
        <w:tc>
          <w:tcPr>
            <w:tcW w:w="4661" w:type="dxa"/>
            <w:vMerge/>
            <w:shd w:val="clear" w:color="auto" w:fill="BFBFBF" w:themeFill="background1" w:themeFillShade="BF"/>
            <w:vAlign w:val="center"/>
          </w:tcPr>
          <w:p w14:paraId="3B8F7C0C" w14:textId="77777777" w:rsidR="009F25EE" w:rsidRPr="007B7470" w:rsidRDefault="009F25EE" w:rsidP="00CB02CB">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0A969C79" w14:textId="77777777" w:rsidR="009F25EE" w:rsidRPr="007B7470" w:rsidRDefault="009F25EE"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4EFD85B4" w14:textId="77777777" w:rsidR="009F25EE" w:rsidRPr="007B7470" w:rsidRDefault="009F25EE"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6EFF299F" w14:textId="77777777" w:rsidR="009F25EE" w:rsidRPr="007B7470" w:rsidRDefault="009F25EE"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14:paraId="4DECB3CB" w14:textId="77777777" w:rsidR="009F25EE" w:rsidRPr="007B7470" w:rsidRDefault="009F25EE"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R="009F25EE" w:rsidRPr="007B7470" w14:paraId="10E25728" w14:textId="77777777" w:rsidTr="00CB02CB">
        <w:trPr>
          <w:trHeight w:val="70"/>
          <w:jc w:val="center"/>
        </w:trPr>
        <w:tc>
          <w:tcPr>
            <w:tcW w:w="4661" w:type="dxa"/>
            <w:shd w:val="clear" w:color="auto" w:fill="C0C0C0"/>
            <w:noWrap/>
            <w:vAlign w:val="center"/>
          </w:tcPr>
          <w:p w14:paraId="63945717" w14:textId="77777777" w:rsidR="009F25EE" w:rsidRPr="007B7470" w:rsidRDefault="009F25EE"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4CDE0637"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7CA1454B"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51EC3BDE"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6EC18398"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9F25EE" w:rsidRPr="007B7470" w14:paraId="38F82184" w14:textId="77777777" w:rsidTr="00CB02CB">
        <w:trPr>
          <w:trHeight w:val="132"/>
          <w:jc w:val="center"/>
        </w:trPr>
        <w:tc>
          <w:tcPr>
            <w:tcW w:w="4661" w:type="dxa"/>
            <w:noWrap/>
            <w:vAlign w:val="center"/>
          </w:tcPr>
          <w:p w14:paraId="5636539A" w14:textId="77777777" w:rsidR="009F25EE" w:rsidRPr="007B7470" w:rsidRDefault="009F25EE"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7D320C04"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0403E3D4"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2447DE8F"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7431E3AC"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9F25EE" w:rsidRPr="007B7470" w14:paraId="3C8C1744" w14:textId="77777777" w:rsidTr="00CB02CB">
        <w:trPr>
          <w:trHeight w:val="70"/>
          <w:jc w:val="center"/>
        </w:trPr>
        <w:tc>
          <w:tcPr>
            <w:tcW w:w="4661" w:type="dxa"/>
            <w:noWrap/>
            <w:vAlign w:val="center"/>
          </w:tcPr>
          <w:p w14:paraId="222A8B50"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552F450B"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1788DB1"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8E078D8"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688E37E"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p>
        </w:tc>
      </w:tr>
      <w:tr w:rsidR="009F25EE" w:rsidRPr="007B7470" w14:paraId="57E7DAF6" w14:textId="77777777" w:rsidTr="00CB02CB">
        <w:trPr>
          <w:trHeight w:val="125"/>
          <w:jc w:val="center"/>
        </w:trPr>
        <w:tc>
          <w:tcPr>
            <w:tcW w:w="4661" w:type="dxa"/>
            <w:noWrap/>
            <w:vAlign w:val="center"/>
          </w:tcPr>
          <w:p w14:paraId="656551E9"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7B04390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C0D86A8"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DF3BA43"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A3D9772"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2CA2FB1D" w14:textId="77777777" w:rsidTr="00CB02CB">
        <w:trPr>
          <w:trHeight w:val="125"/>
          <w:jc w:val="center"/>
        </w:trPr>
        <w:tc>
          <w:tcPr>
            <w:tcW w:w="4661" w:type="dxa"/>
            <w:noWrap/>
            <w:vAlign w:val="center"/>
          </w:tcPr>
          <w:p w14:paraId="74C7F471" w14:textId="77777777" w:rsidR="009F25EE" w:rsidRPr="007B7470" w:rsidRDefault="009F25EE" w:rsidP="00CB02CB">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14:paraId="35F99487"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2C3D416"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DAC300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1BC3752"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54BF5309" w14:textId="77777777" w:rsidTr="00CB02CB">
        <w:trPr>
          <w:trHeight w:val="125"/>
          <w:jc w:val="center"/>
        </w:trPr>
        <w:tc>
          <w:tcPr>
            <w:tcW w:w="4661" w:type="dxa"/>
            <w:noWrap/>
            <w:vAlign w:val="center"/>
          </w:tcPr>
          <w:p w14:paraId="03885578" w14:textId="77777777" w:rsidR="009F25EE" w:rsidRPr="007B7470" w:rsidRDefault="009F25EE" w:rsidP="00CB02CB">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67" w:type="dxa"/>
            <w:noWrap/>
            <w:vAlign w:val="center"/>
          </w:tcPr>
          <w:p w14:paraId="20437D1D"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582394EE"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68154EAB"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1477D8A8"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9F25EE" w:rsidRPr="007B7470" w14:paraId="650B81AA" w14:textId="77777777" w:rsidTr="00CB02CB">
        <w:trPr>
          <w:trHeight w:val="125"/>
          <w:jc w:val="center"/>
        </w:trPr>
        <w:tc>
          <w:tcPr>
            <w:tcW w:w="4661" w:type="dxa"/>
            <w:noWrap/>
            <w:vAlign w:val="center"/>
          </w:tcPr>
          <w:p w14:paraId="4AE16E57"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4552D2ED"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572A757"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A8A74E4"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CB3492F"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37427110" w14:textId="77777777" w:rsidTr="00CB02CB">
        <w:trPr>
          <w:trHeight w:val="125"/>
          <w:jc w:val="center"/>
        </w:trPr>
        <w:tc>
          <w:tcPr>
            <w:tcW w:w="4661" w:type="dxa"/>
            <w:noWrap/>
            <w:vAlign w:val="center"/>
          </w:tcPr>
          <w:p w14:paraId="057A3EB0"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3DC396F1"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3826D73"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DAD9CB6"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861B3FA"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1A14C601" w14:textId="77777777" w:rsidTr="00CB02CB">
        <w:trPr>
          <w:trHeight w:val="125"/>
          <w:jc w:val="center"/>
        </w:trPr>
        <w:tc>
          <w:tcPr>
            <w:tcW w:w="4661" w:type="dxa"/>
            <w:noWrap/>
            <w:vAlign w:val="center"/>
          </w:tcPr>
          <w:p w14:paraId="0AF8343A"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6EF85E7F"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94E2EA3"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76010D5"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B72B19E"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2A9A94BA" w14:textId="77777777" w:rsidTr="00CB02CB">
        <w:trPr>
          <w:trHeight w:val="125"/>
          <w:jc w:val="center"/>
        </w:trPr>
        <w:tc>
          <w:tcPr>
            <w:tcW w:w="4661" w:type="dxa"/>
            <w:shd w:val="clear" w:color="auto" w:fill="C0C0C0"/>
            <w:noWrap/>
            <w:vAlign w:val="center"/>
          </w:tcPr>
          <w:p w14:paraId="29FCD268" w14:textId="77777777" w:rsidR="009F25EE" w:rsidRPr="007B7470" w:rsidRDefault="009F25EE"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6320A28A"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76088243"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149 977</w:t>
            </w:r>
          </w:p>
        </w:tc>
        <w:tc>
          <w:tcPr>
            <w:tcW w:w="1267" w:type="dxa"/>
            <w:shd w:val="clear" w:color="auto" w:fill="C0C0C0"/>
            <w:noWrap/>
            <w:vAlign w:val="center"/>
          </w:tcPr>
          <w:p w14:paraId="3F7A4764"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150 802</w:t>
            </w:r>
          </w:p>
        </w:tc>
        <w:tc>
          <w:tcPr>
            <w:tcW w:w="1267" w:type="dxa"/>
            <w:shd w:val="clear" w:color="auto" w:fill="C0C0C0"/>
            <w:noWrap/>
            <w:vAlign w:val="center"/>
          </w:tcPr>
          <w:p w14:paraId="51119554"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150 802</w:t>
            </w:r>
            <w:r w:rsidRPr="007B7470">
              <w:rPr>
                <w:rFonts w:ascii="Times New Roman" w:eastAsia="Times New Roman" w:hAnsi="Times New Roman" w:cs="Times New Roman"/>
                <w:b/>
                <w:bCs/>
                <w:sz w:val="24"/>
                <w:szCs w:val="24"/>
                <w:lang w:eastAsia="sk-SK"/>
              </w:rPr>
              <w:t xml:space="preserve">   </w:t>
            </w:r>
          </w:p>
        </w:tc>
      </w:tr>
      <w:tr w:rsidR="009F25EE" w:rsidRPr="007B7470" w14:paraId="19646962" w14:textId="77777777" w:rsidTr="00CB02CB">
        <w:trPr>
          <w:trHeight w:val="70"/>
          <w:jc w:val="center"/>
        </w:trPr>
        <w:tc>
          <w:tcPr>
            <w:tcW w:w="4661" w:type="dxa"/>
            <w:noWrap/>
            <w:vAlign w:val="center"/>
          </w:tcPr>
          <w:p w14:paraId="07487BEA" w14:textId="25647CC8" w:rsidR="009F25EE" w:rsidRPr="007B7470" w:rsidRDefault="009F25EE" w:rsidP="00EA3AFD">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sidR="00EA3AFD">
              <w:rPr>
                <w:rFonts w:ascii="Times New Roman" w:eastAsia="Times New Roman" w:hAnsi="Times New Roman" w:cs="Times New Roman"/>
                <w:sz w:val="24"/>
                <w:szCs w:val="24"/>
                <w:lang w:eastAsia="sk-SK"/>
              </w:rPr>
              <w:t>Národný bezpečnostný úrad</w:t>
            </w:r>
          </w:p>
        </w:tc>
        <w:tc>
          <w:tcPr>
            <w:tcW w:w="1267" w:type="dxa"/>
            <w:noWrap/>
            <w:vAlign w:val="center"/>
          </w:tcPr>
          <w:p w14:paraId="02C67968"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132C4381"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2426729A"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7207340A"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9F25EE" w:rsidRPr="007B7470" w14:paraId="689BC03D" w14:textId="77777777" w:rsidTr="00CB02CB">
        <w:trPr>
          <w:trHeight w:val="70"/>
          <w:jc w:val="center"/>
        </w:trPr>
        <w:tc>
          <w:tcPr>
            <w:tcW w:w="4661" w:type="dxa"/>
            <w:noWrap/>
            <w:vAlign w:val="center"/>
          </w:tcPr>
          <w:p w14:paraId="3C2B90EB"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6E6369AD"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6D9F7A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2FF7BFF"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E449883"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p>
        </w:tc>
      </w:tr>
      <w:tr w:rsidR="009F25EE" w:rsidRPr="007B7470" w14:paraId="7BD34866" w14:textId="77777777" w:rsidTr="00CB02CB">
        <w:trPr>
          <w:trHeight w:val="70"/>
          <w:jc w:val="center"/>
        </w:trPr>
        <w:tc>
          <w:tcPr>
            <w:tcW w:w="4661" w:type="dxa"/>
            <w:noWrap/>
            <w:vAlign w:val="center"/>
          </w:tcPr>
          <w:p w14:paraId="3A2ADE85"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19A75F8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0</w:t>
            </w:r>
          </w:p>
        </w:tc>
        <w:tc>
          <w:tcPr>
            <w:tcW w:w="1267" w:type="dxa"/>
            <w:noWrap/>
            <w:vAlign w:val="center"/>
          </w:tcPr>
          <w:p w14:paraId="45093F6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149 977</w:t>
            </w:r>
          </w:p>
        </w:tc>
        <w:tc>
          <w:tcPr>
            <w:tcW w:w="1267" w:type="dxa"/>
            <w:noWrap/>
            <w:vAlign w:val="center"/>
          </w:tcPr>
          <w:p w14:paraId="0ED2E99B"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150 802</w:t>
            </w:r>
          </w:p>
        </w:tc>
        <w:tc>
          <w:tcPr>
            <w:tcW w:w="1267" w:type="dxa"/>
            <w:noWrap/>
            <w:vAlign w:val="center"/>
          </w:tcPr>
          <w:p w14:paraId="4C588AD7"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150 802</w:t>
            </w:r>
          </w:p>
        </w:tc>
      </w:tr>
      <w:tr w:rsidR="009F25EE" w:rsidRPr="007B7470" w14:paraId="7D758C5B" w14:textId="77777777" w:rsidTr="00CB02CB">
        <w:trPr>
          <w:trHeight w:val="70"/>
          <w:jc w:val="center"/>
        </w:trPr>
        <w:tc>
          <w:tcPr>
            <w:tcW w:w="4661" w:type="dxa"/>
            <w:noWrap/>
            <w:vAlign w:val="center"/>
          </w:tcPr>
          <w:p w14:paraId="738D5947" w14:textId="77777777" w:rsidR="009F25EE" w:rsidRPr="007B7470" w:rsidRDefault="009F25EE" w:rsidP="00CB02CB">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14:paraId="10A6EC1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EBCB6A0"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8B70AC4"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124D7C0"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36BF37E3" w14:textId="77777777" w:rsidTr="00CB02CB">
        <w:trPr>
          <w:trHeight w:val="70"/>
          <w:jc w:val="center"/>
        </w:trPr>
        <w:tc>
          <w:tcPr>
            <w:tcW w:w="4661" w:type="dxa"/>
            <w:noWrap/>
            <w:vAlign w:val="center"/>
          </w:tcPr>
          <w:p w14:paraId="21967453" w14:textId="77777777" w:rsidR="009F25EE" w:rsidRPr="007B7470" w:rsidRDefault="009F25EE" w:rsidP="00CB02CB">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23F95D82"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30851766"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7CDF6F5B"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22BFE4F4"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9F25EE" w:rsidRPr="007B7470" w14:paraId="120BE48A" w14:textId="77777777" w:rsidTr="00CB02CB">
        <w:trPr>
          <w:trHeight w:val="70"/>
          <w:jc w:val="center"/>
        </w:trPr>
        <w:tc>
          <w:tcPr>
            <w:tcW w:w="4661" w:type="dxa"/>
            <w:noWrap/>
            <w:vAlign w:val="center"/>
          </w:tcPr>
          <w:p w14:paraId="60CFD1BC" w14:textId="77777777" w:rsidR="009F25EE" w:rsidRPr="007B7470" w:rsidRDefault="009F25EE" w:rsidP="00CB02CB">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1FAE0412"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71DEFA28"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122FC5A6"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4DBE212F"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9F25EE" w:rsidRPr="007B7470" w14:paraId="2F38E765" w14:textId="77777777" w:rsidTr="00CB02CB">
        <w:trPr>
          <w:trHeight w:val="125"/>
          <w:jc w:val="center"/>
        </w:trPr>
        <w:tc>
          <w:tcPr>
            <w:tcW w:w="4661" w:type="dxa"/>
            <w:noWrap/>
            <w:vAlign w:val="center"/>
          </w:tcPr>
          <w:p w14:paraId="6D4B3B27"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7A2929C5"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8346C45"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E2A56BA"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94DF83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65993F20" w14:textId="77777777" w:rsidTr="00CB02CB">
        <w:trPr>
          <w:trHeight w:val="125"/>
          <w:jc w:val="center"/>
        </w:trPr>
        <w:tc>
          <w:tcPr>
            <w:tcW w:w="4661" w:type="dxa"/>
            <w:noWrap/>
            <w:vAlign w:val="center"/>
          </w:tcPr>
          <w:p w14:paraId="3511E01D" w14:textId="77777777" w:rsidR="009F25EE" w:rsidRPr="007B7470" w:rsidRDefault="009F25EE" w:rsidP="00CB02CB">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09CF8AE3" w14:textId="77777777" w:rsidR="009F25EE" w:rsidRPr="007B7470" w:rsidRDefault="009F25EE" w:rsidP="00CB02CB">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7A0FCB7A"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4AFDFD2F"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0CE6C347"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0BDE2E0C"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9F25EE" w:rsidRPr="007B7470" w14:paraId="31C23D4C" w14:textId="77777777" w:rsidTr="00CB02CB">
        <w:trPr>
          <w:trHeight w:val="125"/>
          <w:jc w:val="center"/>
        </w:trPr>
        <w:tc>
          <w:tcPr>
            <w:tcW w:w="4661" w:type="dxa"/>
            <w:noWrap/>
            <w:vAlign w:val="center"/>
          </w:tcPr>
          <w:p w14:paraId="43179461"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AA41A56"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49351ED"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2BAAE2B"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EB85C85"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1983F576" w14:textId="77777777" w:rsidTr="00CB02CB">
        <w:trPr>
          <w:trHeight w:val="125"/>
          <w:jc w:val="center"/>
        </w:trPr>
        <w:tc>
          <w:tcPr>
            <w:tcW w:w="4661" w:type="dxa"/>
            <w:noWrap/>
            <w:vAlign w:val="center"/>
          </w:tcPr>
          <w:p w14:paraId="03B66481" w14:textId="77777777" w:rsidR="009F25EE" w:rsidRPr="007B7470" w:rsidRDefault="009F25EE" w:rsidP="00CB02CB">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073A5ED1" w14:textId="77777777" w:rsidR="009F25EE" w:rsidRPr="007B7470" w:rsidRDefault="009F25EE" w:rsidP="00CB02CB">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65542302"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67CFEE92"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2F0057FE"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3B3C75E7"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9F25EE" w:rsidRPr="007B7470" w14:paraId="14593C9A" w14:textId="77777777" w:rsidTr="00CB02CB">
        <w:trPr>
          <w:trHeight w:val="70"/>
          <w:jc w:val="center"/>
        </w:trPr>
        <w:tc>
          <w:tcPr>
            <w:tcW w:w="4661" w:type="dxa"/>
            <w:noWrap/>
            <w:vAlign w:val="center"/>
          </w:tcPr>
          <w:p w14:paraId="766C81D6" w14:textId="77777777" w:rsidR="009F25EE" w:rsidRPr="007B7470" w:rsidRDefault="009F25EE"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3BBDE401"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EE0DE8A"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3C64EB8"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9C6A29D"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4D9D0BAC" w14:textId="77777777" w:rsidTr="00CB02CB">
        <w:trPr>
          <w:trHeight w:val="70"/>
          <w:jc w:val="center"/>
        </w:trPr>
        <w:tc>
          <w:tcPr>
            <w:tcW w:w="4661" w:type="dxa"/>
            <w:shd w:val="clear" w:color="auto" w:fill="BFBFBF" w:themeFill="background1" w:themeFillShade="BF"/>
            <w:noWrap/>
            <w:vAlign w:val="center"/>
          </w:tcPr>
          <w:p w14:paraId="3E769213" w14:textId="77777777" w:rsidR="009F25EE" w:rsidRPr="007B7470" w:rsidRDefault="009F25EE"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65CEAA3B"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46596A4"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noWrap/>
            <w:vAlign w:val="center"/>
          </w:tcPr>
          <w:p w14:paraId="0850D910"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noWrap/>
            <w:vAlign w:val="center"/>
          </w:tcPr>
          <w:p w14:paraId="20A3F93B"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r>
      <w:tr w:rsidR="009F25EE" w:rsidRPr="007B7470" w14:paraId="6BDC2E40" w14:textId="77777777" w:rsidTr="00CB02CB">
        <w:trPr>
          <w:trHeight w:val="70"/>
          <w:jc w:val="center"/>
        </w:trPr>
        <w:tc>
          <w:tcPr>
            <w:tcW w:w="4661" w:type="dxa"/>
            <w:noWrap/>
            <w:vAlign w:val="center"/>
          </w:tcPr>
          <w:p w14:paraId="1CD5AB04"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4C0E70A6"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610472F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+3</w:t>
            </w:r>
          </w:p>
        </w:tc>
        <w:tc>
          <w:tcPr>
            <w:tcW w:w="1267" w:type="dxa"/>
            <w:noWrap/>
            <w:vAlign w:val="center"/>
          </w:tcPr>
          <w:p w14:paraId="02BC0FDB"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+3</w:t>
            </w:r>
          </w:p>
        </w:tc>
        <w:tc>
          <w:tcPr>
            <w:tcW w:w="1267" w:type="dxa"/>
            <w:noWrap/>
            <w:vAlign w:val="center"/>
          </w:tcPr>
          <w:p w14:paraId="03B90407"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+3</w:t>
            </w:r>
          </w:p>
        </w:tc>
      </w:tr>
      <w:tr w:rsidR="009F25EE" w:rsidRPr="007B7470" w14:paraId="339A82EF" w14:textId="77777777" w:rsidTr="00CB02CB">
        <w:trPr>
          <w:trHeight w:val="70"/>
          <w:jc w:val="center"/>
        </w:trPr>
        <w:tc>
          <w:tcPr>
            <w:tcW w:w="4661" w:type="dxa"/>
            <w:noWrap/>
            <w:vAlign w:val="center"/>
          </w:tcPr>
          <w:p w14:paraId="78E73670"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592058A7"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8F5E326"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C17F289"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DC0416B"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4BB7A7A9" w14:textId="77777777" w:rsidTr="00CB02CB">
        <w:trPr>
          <w:trHeight w:val="70"/>
          <w:jc w:val="center"/>
        </w:trPr>
        <w:tc>
          <w:tcPr>
            <w:tcW w:w="4661" w:type="dxa"/>
            <w:noWrap/>
            <w:vAlign w:val="center"/>
          </w:tcPr>
          <w:p w14:paraId="499DD53A"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709FA12"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4CB62DF"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99CF926"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60F1579"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7CE3EE8F" w14:textId="77777777" w:rsidTr="00CB02CB">
        <w:trPr>
          <w:trHeight w:val="70"/>
          <w:jc w:val="center"/>
        </w:trPr>
        <w:tc>
          <w:tcPr>
            <w:tcW w:w="4661" w:type="dxa"/>
            <w:noWrap/>
            <w:vAlign w:val="center"/>
          </w:tcPr>
          <w:p w14:paraId="5FA7DD07"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5D73F31"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DA018F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1EB61C0"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E11D34D"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4A02F3B2" w14:textId="77777777" w:rsidTr="00CB02CB">
        <w:trPr>
          <w:trHeight w:val="70"/>
          <w:jc w:val="center"/>
        </w:trPr>
        <w:tc>
          <w:tcPr>
            <w:tcW w:w="4661" w:type="dxa"/>
            <w:shd w:val="clear" w:color="auto" w:fill="BFBFBF" w:themeFill="background1" w:themeFillShade="BF"/>
            <w:noWrap/>
            <w:vAlign w:val="center"/>
          </w:tcPr>
          <w:p w14:paraId="4F43EFFD" w14:textId="77777777" w:rsidR="009F25EE" w:rsidRPr="007B7470" w:rsidRDefault="009F25EE" w:rsidP="00CB02CB">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7C5AA97A" w14:textId="77777777" w:rsidR="009F25EE" w:rsidRPr="007B7470" w:rsidRDefault="009F25EE" w:rsidP="00CB02CB">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3D24B517" w14:textId="77777777" w:rsidR="009F25EE" w:rsidRPr="007B7470" w:rsidRDefault="009F25EE" w:rsidP="00CB02CB">
            <w:pPr>
              <w:spacing w:after="0" w:line="240" w:lineRule="auto"/>
              <w:jc w:val="right"/>
              <w:rPr>
                <w:rFonts w:ascii="Times New Roman" w:eastAsia="Times New Roman" w:hAnsi="Times New Roman" w:cs="Times New Roman"/>
                <w:b/>
                <w:sz w:val="24"/>
                <w:szCs w:val="24"/>
                <w:lang w:eastAsia="sk-SK"/>
              </w:rPr>
            </w:pPr>
            <w:r w:rsidRPr="00F354A6">
              <w:rPr>
                <w:rFonts w:ascii="Times New Roman" w:eastAsia="Times New Roman" w:hAnsi="Times New Roman" w:cs="Times New Roman"/>
                <w:b/>
                <w:sz w:val="24"/>
                <w:szCs w:val="24"/>
                <w:lang w:eastAsia="sk-SK"/>
              </w:rPr>
              <w:t>94 176</w:t>
            </w:r>
          </w:p>
        </w:tc>
        <w:tc>
          <w:tcPr>
            <w:tcW w:w="1267" w:type="dxa"/>
            <w:shd w:val="clear" w:color="auto" w:fill="BFBFBF" w:themeFill="background1" w:themeFillShade="BF"/>
            <w:noWrap/>
            <w:vAlign w:val="center"/>
          </w:tcPr>
          <w:p w14:paraId="4444124A" w14:textId="77777777" w:rsidR="009F25EE" w:rsidRPr="007B7470" w:rsidRDefault="009F25EE" w:rsidP="00CB02CB">
            <w:pPr>
              <w:spacing w:after="0" w:line="240" w:lineRule="auto"/>
              <w:jc w:val="right"/>
              <w:rPr>
                <w:rFonts w:ascii="Times New Roman" w:eastAsia="Times New Roman" w:hAnsi="Times New Roman" w:cs="Times New Roman"/>
                <w:b/>
                <w:sz w:val="24"/>
                <w:szCs w:val="24"/>
                <w:lang w:eastAsia="sk-SK"/>
              </w:rPr>
            </w:pPr>
            <w:r w:rsidRPr="00F354A6">
              <w:rPr>
                <w:rFonts w:ascii="Times New Roman" w:eastAsia="Times New Roman" w:hAnsi="Times New Roman" w:cs="Times New Roman"/>
                <w:b/>
                <w:sz w:val="24"/>
                <w:szCs w:val="24"/>
                <w:lang w:eastAsia="sk-SK"/>
              </w:rPr>
              <w:t>94 176</w:t>
            </w:r>
          </w:p>
        </w:tc>
        <w:tc>
          <w:tcPr>
            <w:tcW w:w="1267" w:type="dxa"/>
            <w:shd w:val="clear" w:color="auto" w:fill="BFBFBF" w:themeFill="background1" w:themeFillShade="BF"/>
            <w:noWrap/>
            <w:vAlign w:val="center"/>
          </w:tcPr>
          <w:p w14:paraId="027E800C" w14:textId="77777777" w:rsidR="009F25EE" w:rsidRPr="007B7470" w:rsidRDefault="009F25EE" w:rsidP="00CB02CB">
            <w:pPr>
              <w:spacing w:after="0" w:line="240" w:lineRule="auto"/>
              <w:jc w:val="right"/>
              <w:rPr>
                <w:rFonts w:ascii="Times New Roman" w:eastAsia="Times New Roman" w:hAnsi="Times New Roman" w:cs="Times New Roman"/>
                <w:b/>
                <w:sz w:val="24"/>
                <w:szCs w:val="24"/>
                <w:lang w:eastAsia="sk-SK"/>
              </w:rPr>
            </w:pPr>
            <w:r w:rsidRPr="00F354A6">
              <w:rPr>
                <w:rFonts w:ascii="Times New Roman" w:eastAsia="Times New Roman" w:hAnsi="Times New Roman" w:cs="Times New Roman"/>
                <w:b/>
                <w:sz w:val="24"/>
                <w:szCs w:val="24"/>
                <w:lang w:eastAsia="sk-SK"/>
              </w:rPr>
              <w:t>94 176</w:t>
            </w:r>
          </w:p>
        </w:tc>
      </w:tr>
      <w:tr w:rsidR="009F25EE" w:rsidRPr="007B7470" w14:paraId="4CCC7B92" w14:textId="77777777" w:rsidTr="00CB02CB">
        <w:trPr>
          <w:trHeight w:val="70"/>
          <w:jc w:val="center"/>
        </w:trPr>
        <w:tc>
          <w:tcPr>
            <w:tcW w:w="4661" w:type="dxa"/>
            <w:noWrap/>
            <w:vAlign w:val="center"/>
          </w:tcPr>
          <w:p w14:paraId="6E4BDB5D"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6F2B7E9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72A52260"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F354A6">
              <w:rPr>
                <w:rFonts w:ascii="Times New Roman" w:eastAsia="Times New Roman" w:hAnsi="Times New Roman" w:cs="Times New Roman"/>
                <w:b/>
                <w:bCs/>
                <w:iCs/>
                <w:sz w:val="24"/>
                <w:szCs w:val="24"/>
                <w:lang w:eastAsia="sk-SK"/>
              </w:rPr>
              <w:t>94 176</w:t>
            </w:r>
          </w:p>
        </w:tc>
        <w:tc>
          <w:tcPr>
            <w:tcW w:w="1267" w:type="dxa"/>
            <w:noWrap/>
            <w:vAlign w:val="center"/>
          </w:tcPr>
          <w:p w14:paraId="4424B8E2"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F354A6">
              <w:rPr>
                <w:rFonts w:ascii="Times New Roman" w:eastAsia="Times New Roman" w:hAnsi="Times New Roman" w:cs="Times New Roman"/>
                <w:b/>
                <w:bCs/>
                <w:iCs/>
                <w:sz w:val="24"/>
                <w:szCs w:val="24"/>
                <w:lang w:eastAsia="sk-SK"/>
              </w:rPr>
              <w:t>94 176</w:t>
            </w:r>
          </w:p>
        </w:tc>
        <w:tc>
          <w:tcPr>
            <w:tcW w:w="1267" w:type="dxa"/>
            <w:noWrap/>
            <w:vAlign w:val="center"/>
          </w:tcPr>
          <w:p w14:paraId="4FD58141"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F354A6">
              <w:rPr>
                <w:rFonts w:ascii="Times New Roman" w:eastAsia="Times New Roman" w:hAnsi="Times New Roman" w:cs="Times New Roman"/>
                <w:b/>
                <w:bCs/>
                <w:iCs/>
                <w:sz w:val="24"/>
                <w:szCs w:val="24"/>
                <w:lang w:eastAsia="sk-SK"/>
              </w:rPr>
              <w:t>94 176</w:t>
            </w:r>
          </w:p>
        </w:tc>
      </w:tr>
      <w:tr w:rsidR="009F25EE" w:rsidRPr="007B7470" w14:paraId="675FF63F" w14:textId="77777777" w:rsidTr="00CB02CB">
        <w:trPr>
          <w:trHeight w:val="70"/>
          <w:jc w:val="center"/>
        </w:trPr>
        <w:tc>
          <w:tcPr>
            <w:tcW w:w="4661" w:type="dxa"/>
            <w:noWrap/>
            <w:vAlign w:val="center"/>
          </w:tcPr>
          <w:p w14:paraId="5BAD6B86"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2702EB91"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613E521"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449F975"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4F3C883"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074540DB" w14:textId="77777777" w:rsidTr="00CB02CB">
        <w:trPr>
          <w:trHeight w:val="70"/>
          <w:jc w:val="center"/>
        </w:trPr>
        <w:tc>
          <w:tcPr>
            <w:tcW w:w="4661" w:type="dxa"/>
            <w:noWrap/>
            <w:vAlign w:val="center"/>
          </w:tcPr>
          <w:p w14:paraId="6776B29D" w14:textId="77777777" w:rsidR="009F25EE" w:rsidRPr="007B7470" w:rsidRDefault="009F25EE" w:rsidP="00CB02CB">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FAF282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DA4F27C"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BF73200"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545F142"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272E521D" w14:textId="77777777" w:rsidTr="00CB02CB">
        <w:trPr>
          <w:trHeight w:val="70"/>
          <w:jc w:val="center"/>
        </w:trPr>
        <w:tc>
          <w:tcPr>
            <w:tcW w:w="4661" w:type="dxa"/>
            <w:noWrap/>
            <w:vAlign w:val="center"/>
          </w:tcPr>
          <w:p w14:paraId="06D5B6CD" w14:textId="77777777" w:rsidR="009F25EE" w:rsidRPr="007B7470" w:rsidRDefault="009F25EE"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FD29483"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C984EB6"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A109640"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960F1F0" w14:textId="77777777" w:rsidR="009F25EE" w:rsidRPr="007B7470" w:rsidRDefault="009F25EE" w:rsidP="00CB02CB">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F25EE" w:rsidRPr="007B7470" w14:paraId="277F8E5F" w14:textId="77777777" w:rsidTr="00CB02CB">
        <w:trPr>
          <w:trHeight w:val="70"/>
          <w:jc w:val="center"/>
        </w:trPr>
        <w:tc>
          <w:tcPr>
            <w:tcW w:w="4661" w:type="dxa"/>
            <w:shd w:val="clear" w:color="auto" w:fill="C0C0C0"/>
            <w:noWrap/>
            <w:vAlign w:val="center"/>
          </w:tcPr>
          <w:p w14:paraId="3710F8C7" w14:textId="77777777" w:rsidR="009F25EE" w:rsidRPr="007B7470" w:rsidRDefault="009F25EE"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2124C6C2"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AE9B980"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149 977</w:t>
            </w:r>
          </w:p>
        </w:tc>
        <w:tc>
          <w:tcPr>
            <w:tcW w:w="1267" w:type="dxa"/>
            <w:shd w:val="clear" w:color="auto" w:fill="C0C0C0"/>
            <w:noWrap/>
            <w:vAlign w:val="center"/>
          </w:tcPr>
          <w:p w14:paraId="137E1FBF"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150 802</w:t>
            </w:r>
          </w:p>
        </w:tc>
        <w:tc>
          <w:tcPr>
            <w:tcW w:w="1267" w:type="dxa"/>
            <w:shd w:val="clear" w:color="auto" w:fill="C0C0C0"/>
            <w:noWrap/>
            <w:vAlign w:val="center"/>
          </w:tcPr>
          <w:p w14:paraId="6894975C"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150 802</w:t>
            </w:r>
          </w:p>
        </w:tc>
      </w:tr>
      <w:tr w:rsidR="009F25EE" w:rsidRPr="007B7470" w14:paraId="79192E12" w14:textId="77777777" w:rsidTr="00CB02CB">
        <w:trPr>
          <w:trHeight w:val="70"/>
          <w:jc w:val="center"/>
        </w:trPr>
        <w:tc>
          <w:tcPr>
            <w:tcW w:w="4661" w:type="dxa"/>
            <w:noWrap/>
            <w:vAlign w:val="center"/>
          </w:tcPr>
          <w:p w14:paraId="6385A634" w14:textId="77777777" w:rsidR="009F25EE" w:rsidRPr="007B7470" w:rsidRDefault="009F25EE"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194614F9"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309F6681"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6E2C38BB"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31893DEB" w14:textId="77777777" w:rsidR="009F25EE" w:rsidRPr="007B7470" w:rsidRDefault="009F25EE" w:rsidP="00CB02CB">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9F25EE" w:rsidRPr="007B7470" w14:paraId="6181FE7F" w14:textId="77777777" w:rsidTr="00CB02CB">
        <w:trPr>
          <w:trHeight w:val="70"/>
          <w:jc w:val="center"/>
        </w:trPr>
        <w:tc>
          <w:tcPr>
            <w:tcW w:w="4661" w:type="dxa"/>
            <w:shd w:val="clear" w:color="auto" w:fill="BFBFBF" w:themeFill="background1" w:themeFillShade="BF"/>
            <w:noWrap/>
            <w:vAlign w:val="center"/>
          </w:tcPr>
          <w:p w14:paraId="5609503D" w14:textId="77777777" w:rsidR="009F25EE" w:rsidRPr="007B7470" w:rsidRDefault="009F25EE" w:rsidP="00CB02CB">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3E581CFC"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55CCDCE"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4504501"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6742A27"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9F25EE" w:rsidRPr="007B7470" w14:paraId="3C8ED4F9" w14:textId="77777777" w:rsidTr="00CB02CB">
        <w:trPr>
          <w:trHeight w:val="70"/>
          <w:jc w:val="center"/>
        </w:trPr>
        <w:tc>
          <w:tcPr>
            <w:tcW w:w="4661" w:type="dxa"/>
            <w:shd w:val="clear" w:color="auto" w:fill="A6A6A6" w:themeFill="background1" w:themeFillShade="A6"/>
            <w:noWrap/>
            <w:vAlign w:val="center"/>
          </w:tcPr>
          <w:p w14:paraId="530D305E" w14:textId="77777777" w:rsidR="009F25EE" w:rsidRPr="007B7470" w:rsidRDefault="009F25EE"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3C056502"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3600D5EB"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591B6A31"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0BC5C121" w14:textId="77777777" w:rsidR="009F25EE" w:rsidRPr="007B7470" w:rsidRDefault="009F25EE" w:rsidP="00CB02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bl>
    <w:bookmarkEnd w:id="0"/>
    <w:p w14:paraId="5CDD3306" w14:textId="77777777" w:rsidR="00C15078" w:rsidRDefault="009F25EE" w:rsidP="009F25EE">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p>
    <w:p w14:paraId="4E8D20F5" w14:textId="6D07BCA7" w:rsidR="009F25EE" w:rsidRPr="007B7470" w:rsidRDefault="009F25EE" w:rsidP="009F25EE">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9F25EE" w:rsidRPr="007B7470" w14:paraId="1648B22E" w14:textId="77777777" w:rsidTr="00CB02C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736424E" w14:textId="77777777" w:rsidR="009F25EE" w:rsidRPr="007B7470" w:rsidRDefault="009F25EE" w:rsidP="00CB02CB">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79A6203" w14:textId="77777777" w:rsidR="009F25EE" w:rsidRPr="007B7470" w:rsidRDefault="009F25EE" w:rsidP="00CB02CB">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AEBEFF" w14:textId="77777777" w:rsidR="009F25EE" w:rsidRPr="007B7470" w:rsidRDefault="009F25EE" w:rsidP="00CB02CB">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2E1EF11" w14:textId="77777777" w:rsidR="009F25EE" w:rsidRPr="007B7470" w:rsidRDefault="009F25EE" w:rsidP="00CB02CB">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9D1C05" w14:textId="77777777" w:rsidR="009F25EE" w:rsidRPr="007B7470" w:rsidRDefault="009F25EE" w:rsidP="00CB02CB">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r>
      <w:tr w:rsidR="009F25EE" w:rsidRPr="007B7470" w14:paraId="5B5DE9C5" w14:textId="77777777" w:rsidTr="00CB02C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DE84854" w14:textId="77777777" w:rsidR="009F25EE" w:rsidRPr="007B7470" w:rsidRDefault="009F25EE" w:rsidP="00CB02CB">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532BB281" w14:textId="77777777" w:rsidR="009F25EE" w:rsidRPr="00E74DE3" w:rsidRDefault="009F25EE" w:rsidP="00CB02CB">
            <w:pPr>
              <w:pStyle w:val="Default"/>
              <w:jc w:val="center"/>
              <w:rPr>
                <w:sz w:val="20"/>
                <w:szCs w:val="20"/>
              </w:rPr>
            </w:pPr>
            <w:r>
              <w:rPr>
                <w:b/>
                <w:bCs/>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4E6BDF98" w14:textId="77777777" w:rsidR="009F25EE" w:rsidRPr="00E74DE3" w:rsidRDefault="009F25EE" w:rsidP="00CB02CB">
            <w:pPr>
              <w:pStyle w:val="Default"/>
              <w:jc w:val="center"/>
              <w:rPr>
                <w:sz w:val="20"/>
                <w:szCs w:val="20"/>
              </w:rPr>
            </w:pPr>
            <w:r>
              <w:rPr>
                <w:b/>
                <w:bCs/>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B6DB72B" w14:textId="77777777" w:rsidR="009F25EE" w:rsidRPr="00E74DE3" w:rsidRDefault="009F25EE" w:rsidP="00CB02CB">
            <w:pPr>
              <w:pStyle w:val="Default"/>
              <w:jc w:val="center"/>
              <w:rPr>
                <w:sz w:val="20"/>
                <w:szCs w:val="20"/>
              </w:rPr>
            </w:pPr>
            <w:r>
              <w:rPr>
                <w:b/>
                <w:bCs/>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5B18A424" w14:textId="77777777" w:rsidR="009F25EE" w:rsidRPr="00E74DE3" w:rsidRDefault="009F25EE" w:rsidP="00CB02CB">
            <w:pPr>
              <w:pStyle w:val="Default"/>
              <w:jc w:val="center"/>
              <w:rPr>
                <w:sz w:val="20"/>
                <w:szCs w:val="20"/>
              </w:rPr>
            </w:pPr>
            <w:r>
              <w:rPr>
                <w:b/>
                <w:bCs/>
                <w:sz w:val="20"/>
                <w:szCs w:val="20"/>
              </w:rPr>
              <w:t>0</w:t>
            </w:r>
          </w:p>
        </w:tc>
      </w:tr>
      <w:tr w:rsidR="009F25EE" w:rsidRPr="007B7470" w14:paraId="4F2B804E" w14:textId="77777777" w:rsidTr="00CB02C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CDE0B99" w14:textId="77777777" w:rsidR="009F25EE" w:rsidRPr="007B7470" w:rsidRDefault="009F25EE" w:rsidP="00CB02C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2D6FCF0A" w14:textId="77777777" w:rsidR="009F25EE" w:rsidRPr="00E74DE3" w:rsidRDefault="009F25EE" w:rsidP="00CB02CB">
            <w:pPr>
              <w:spacing w:after="0" w:line="240" w:lineRule="auto"/>
              <w:jc w:val="center"/>
              <w:rPr>
                <w:rFonts w:ascii="Times New Roman" w:eastAsia="Times New Roman" w:hAnsi="Times New Roman" w:cs="Times New Roman"/>
                <w:color w:val="000000"/>
                <w:sz w:val="24"/>
                <w:szCs w:val="24"/>
                <w:lang w:eastAsia="sk-SK"/>
              </w:rPr>
            </w:pPr>
            <w:r w:rsidRPr="00E74DE3">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5668009" w14:textId="77777777" w:rsidR="009F25EE" w:rsidRPr="00E74DE3" w:rsidRDefault="009F25EE" w:rsidP="00CB02CB">
            <w:pPr>
              <w:spacing w:after="0" w:line="240" w:lineRule="auto"/>
              <w:jc w:val="center"/>
              <w:rPr>
                <w:rFonts w:ascii="Times New Roman" w:eastAsia="Times New Roman" w:hAnsi="Times New Roman" w:cs="Times New Roman"/>
                <w:color w:val="000000"/>
                <w:sz w:val="24"/>
                <w:szCs w:val="24"/>
                <w:lang w:eastAsia="sk-SK"/>
              </w:rPr>
            </w:pPr>
            <w:r w:rsidRPr="00E74DE3">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84AA519" w14:textId="77777777" w:rsidR="009F25EE" w:rsidRPr="00E74DE3" w:rsidRDefault="009F25EE" w:rsidP="00CB02CB">
            <w:pPr>
              <w:spacing w:after="0" w:line="240" w:lineRule="auto"/>
              <w:jc w:val="center"/>
              <w:rPr>
                <w:rFonts w:ascii="Times New Roman" w:eastAsia="Times New Roman" w:hAnsi="Times New Roman" w:cs="Times New Roman"/>
                <w:color w:val="000000"/>
                <w:sz w:val="24"/>
                <w:szCs w:val="24"/>
                <w:lang w:eastAsia="sk-SK"/>
              </w:rPr>
            </w:pPr>
            <w:r w:rsidRPr="00E74DE3">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22AC8308" w14:textId="77777777" w:rsidR="009F25EE" w:rsidRPr="00E74DE3" w:rsidRDefault="009F25EE" w:rsidP="00CB02CB">
            <w:pPr>
              <w:spacing w:after="0" w:line="240" w:lineRule="auto"/>
              <w:jc w:val="center"/>
              <w:rPr>
                <w:rFonts w:ascii="Times New Roman" w:eastAsia="Times New Roman" w:hAnsi="Times New Roman" w:cs="Times New Roman"/>
                <w:color w:val="000000"/>
                <w:sz w:val="24"/>
                <w:szCs w:val="24"/>
                <w:lang w:eastAsia="sk-SK"/>
              </w:rPr>
            </w:pPr>
            <w:r w:rsidRPr="00E74DE3">
              <w:rPr>
                <w:rFonts w:ascii="Times New Roman" w:eastAsia="Times New Roman" w:hAnsi="Times New Roman" w:cs="Times New Roman"/>
                <w:color w:val="000000"/>
                <w:sz w:val="24"/>
                <w:szCs w:val="24"/>
                <w:lang w:eastAsia="sk-SK"/>
              </w:rPr>
              <w:t>0</w:t>
            </w:r>
          </w:p>
        </w:tc>
      </w:tr>
      <w:tr w:rsidR="009F25EE" w:rsidRPr="007B7470" w14:paraId="39052CD7" w14:textId="77777777" w:rsidTr="00CB02C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2E6053B" w14:textId="77777777" w:rsidR="009F25EE" w:rsidRPr="007B7470" w:rsidRDefault="009F25EE" w:rsidP="00CB02CB">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5D637A8E" w14:textId="77777777" w:rsidR="009F25EE" w:rsidRPr="00E74DE3" w:rsidRDefault="009F25EE" w:rsidP="00CB02CB">
            <w:pPr>
              <w:spacing w:after="0" w:line="240" w:lineRule="auto"/>
              <w:rPr>
                <w:rFonts w:ascii="Times New Roman" w:eastAsia="Times New Roman" w:hAnsi="Times New Roman" w:cs="Times New Roman"/>
                <w:color w:val="000000"/>
                <w:sz w:val="24"/>
                <w:szCs w:val="24"/>
                <w:lang w:eastAsia="sk-SK"/>
              </w:rPr>
            </w:pPr>
            <w:r w:rsidRPr="00E74DE3">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61766C" w14:textId="77777777" w:rsidR="009F25EE" w:rsidRPr="00E74DE3" w:rsidRDefault="009F25EE" w:rsidP="00CB02CB">
            <w:pPr>
              <w:spacing w:after="0" w:line="240" w:lineRule="auto"/>
              <w:rPr>
                <w:rFonts w:ascii="Times New Roman" w:eastAsia="Times New Roman" w:hAnsi="Times New Roman" w:cs="Times New Roman"/>
                <w:color w:val="000000"/>
                <w:sz w:val="24"/>
                <w:szCs w:val="24"/>
                <w:lang w:eastAsia="sk-SK"/>
              </w:rPr>
            </w:pPr>
            <w:r w:rsidRPr="00E74DE3">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08E918" w14:textId="77777777" w:rsidR="009F25EE" w:rsidRPr="00E74DE3" w:rsidRDefault="009F25EE" w:rsidP="00CB02CB">
            <w:pPr>
              <w:spacing w:after="0" w:line="240" w:lineRule="auto"/>
              <w:rPr>
                <w:rFonts w:ascii="Times New Roman" w:eastAsia="Times New Roman" w:hAnsi="Times New Roman" w:cs="Times New Roman"/>
                <w:color w:val="000000"/>
                <w:sz w:val="24"/>
                <w:szCs w:val="24"/>
                <w:lang w:eastAsia="sk-SK"/>
              </w:rPr>
            </w:pPr>
            <w:r w:rsidRPr="00E74DE3">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E33215" w14:textId="77777777" w:rsidR="009F25EE" w:rsidRPr="00E74DE3" w:rsidRDefault="009F25EE" w:rsidP="00CB02CB">
            <w:pPr>
              <w:spacing w:after="0" w:line="240" w:lineRule="auto"/>
              <w:rPr>
                <w:rFonts w:ascii="Times New Roman" w:eastAsia="Times New Roman" w:hAnsi="Times New Roman" w:cs="Times New Roman"/>
                <w:color w:val="000000"/>
                <w:sz w:val="24"/>
                <w:szCs w:val="24"/>
                <w:lang w:eastAsia="sk-SK"/>
              </w:rPr>
            </w:pPr>
            <w:r w:rsidRPr="00E74DE3">
              <w:rPr>
                <w:rFonts w:ascii="Times New Roman" w:eastAsia="Times New Roman" w:hAnsi="Times New Roman" w:cs="Times New Roman"/>
                <w:color w:val="000000"/>
                <w:sz w:val="24"/>
                <w:szCs w:val="24"/>
                <w:lang w:eastAsia="sk-SK"/>
              </w:rPr>
              <w:t> </w:t>
            </w:r>
          </w:p>
        </w:tc>
      </w:tr>
      <w:tr w:rsidR="009F25EE" w:rsidRPr="007B7470" w14:paraId="3D035BEA" w14:textId="77777777" w:rsidTr="00CB02C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6960C73" w14:textId="77777777" w:rsidR="009F25EE" w:rsidRPr="007B7470" w:rsidRDefault="009F25EE" w:rsidP="00CB02CB">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hideMark/>
          </w:tcPr>
          <w:p w14:paraId="1568512D" w14:textId="77777777" w:rsidR="009F25EE" w:rsidRPr="00E74DE3" w:rsidRDefault="009F25EE" w:rsidP="00CB02CB">
            <w:pPr>
              <w:pStyle w:val="Default"/>
              <w:jc w:val="center"/>
              <w:rPr>
                <w:sz w:val="20"/>
                <w:szCs w:val="20"/>
              </w:rPr>
            </w:pPr>
            <w:r>
              <w:rPr>
                <w:b/>
                <w:bCs/>
                <w:sz w:val="20"/>
                <w:szCs w:val="20"/>
              </w:rPr>
              <w:t>0</w:t>
            </w:r>
          </w:p>
        </w:tc>
        <w:tc>
          <w:tcPr>
            <w:tcW w:w="1417" w:type="dxa"/>
            <w:tcBorders>
              <w:top w:val="nil"/>
              <w:left w:val="nil"/>
              <w:bottom w:val="single" w:sz="4" w:space="0" w:color="auto"/>
              <w:right w:val="single" w:sz="4" w:space="0" w:color="auto"/>
            </w:tcBorders>
            <w:shd w:val="clear" w:color="auto" w:fill="auto"/>
            <w:noWrap/>
            <w:hideMark/>
          </w:tcPr>
          <w:p w14:paraId="5DFEE411" w14:textId="77777777" w:rsidR="009F25EE" w:rsidRPr="00E74DE3" w:rsidRDefault="009F25EE" w:rsidP="00CB02CB">
            <w:pPr>
              <w:pStyle w:val="Default"/>
              <w:jc w:val="center"/>
              <w:rPr>
                <w:sz w:val="20"/>
                <w:szCs w:val="20"/>
              </w:rPr>
            </w:pPr>
            <w:r>
              <w:rPr>
                <w:b/>
                <w:bCs/>
                <w:sz w:val="20"/>
                <w:szCs w:val="20"/>
              </w:rPr>
              <w:t>0</w:t>
            </w:r>
          </w:p>
        </w:tc>
        <w:tc>
          <w:tcPr>
            <w:tcW w:w="1134" w:type="dxa"/>
            <w:tcBorders>
              <w:top w:val="nil"/>
              <w:left w:val="nil"/>
              <w:bottom w:val="single" w:sz="4" w:space="0" w:color="auto"/>
              <w:right w:val="single" w:sz="4" w:space="0" w:color="auto"/>
            </w:tcBorders>
            <w:shd w:val="clear" w:color="auto" w:fill="auto"/>
            <w:noWrap/>
            <w:hideMark/>
          </w:tcPr>
          <w:p w14:paraId="16804D46" w14:textId="77777777" w:rsidR="009F25EE" w:rsidRPr="00E74DE3" w:rsidRDefault="009F25EE" w:rsidP="00CB02CB">
            <w:pPr>
              <w:pStyle w:val="Default"/>
              <w:jc w:val="center"/>
              <w:rPr>
                <w:sz w:val="20"/>
                <w:szCs w:val="20"/>
              </w:rPr>
            </w:pPr>
            <w:r>
              <w:rPr>
                <w:b/>
                <w:bCs/>
                <w:sz w:val="20"/>
                <w:szCs w:val="20"/>
              </w:rPr>
              <w:t>0</w:t>
            </w:r>
          </w:p>
        </w:tc>
        <w:tc>
          <w:tcPr>
            <w:tcW w:w="1418" w:type="dxa"/>
            <w:tcBorders>
              <w:top w:val="nil"/>
              <w:left w:val="nil"/>
              <w:bottom w:val="single" w:sz="4" w:space="0" w:color="auto"/>
              <w:right w:val="single" w:sz="4" w:space="0" w:color="auto"/>
            </w:tcBorders>
            <w:shd w:val="clear" w:color="auto" w:fill="auto"/>
            <w:noWrap/>
            <w:hideMark/>
          </w:tcPr>
          <w:p w14:paraId="53213BE3" w14:textId="77777777" w:rsidR="009F25EE" w:rsidRPr="00E74DE3" w:rsidRDefault="009F25EE" w:rsidP="00CB02CB">
            <w:pPr>
              <w:pStyle w:val="Default"/>
              <w:jc w:val="center"/>
              <w:rPr>
                <w:sz w:val="20"/>
                <w:szCs w:val="20"/>
              </w:rPr>
            </w:pPr>
            <w:r>
              <w:rPr>
                <w:b/>
                <w:bCs/>
                <w:sz w:val="20"/>
                <w:szCs w:val="20"/>
              </w:rPr>
              <w:t>0</w:t>
            </w:r>
          </w:p>
        </w:tc>
      </w:tr>
      <w:tr w:rsidR="009F25EE" w:rsidRPr="007B7470" w14:paraId="624F12CC" w14:textId="77777777" w:rsidTr="00CB02C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4EA01CA" w14:textId="77777777" w:rsidR="009F25EE" w:rsidRPr="007B7470" w:rsidRDefault="009F25EE" w:rsidP="00CB02CB">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60537DCB" w14:textId="77777777" w:rsidR="009F25EE" w:rsidRPr="007B7470" w:rsidRDefault="009F25EE" w:rsidP="00CB02CB">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7E0DC5A9" w14:textId="77777777" w:rsidR="009F25EE" w:rsidRPr="007B7470" w:rsidRDefault="009F25EE" w:rsidP="00CB02CB">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164DA54" w14:textId="77777777" w:rsidR="009F25EE" w:rsidRPr="007B7470" w:rsidRDefault="009F25EE" w:rsidP="00CB02CB">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4518C51F" w14:textId="77777777" w:rsidR="009F25EE" w:rsidRPr="007B7470" w:rsidRDefault="009F25EE" w:rsidP="00CB02CB">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9F25EE" w:rsidRPr="007B7470" w14:paraId="6710A037" w14:textId="77777777" w:rsidTr="00CB02C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E910277" w14:textId="77777777" w:rsidR="009F25EE" w:rsidRPr="007B7470" w:rsidRDefault="009F25EE" w:rsidP="00CB02CB">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184759" w14:textId="77777777" w:rsidR="009F25EE" w:rsidRPr="007B7470" w:rsidRDefault="009F25EE" w:rsidP="00CB02CB">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A762368" w14:textId="77777777" w:rsidR="009F25EE" w:rsidRPr="007B7470" w:rsidRDefault="009F25EE" w:rsidP="00CB02CB">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393336" w14:textId="77777777" w:rsidR="009F25EE" w:rsidRPr="007B7470" w:rsidRDefault="009F25EE" w:rsidP="00CB02CB">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A6E5DC9" w14:textId="77777777" w:rsidR="009F25EE" w:rsidRPr="007B7470" w:rsidRDefault="009F25EE" w:rsidP="00CB02CB">
            <w:pPr>
              <w:spacing w:after="0" w:line="240" w:lineRule="auto"/>
              <w:jc w:val="center"/>
              <w:rPr>
                <w:rFonts w:ascii="Times New Roman" w:eastAsia="Times New Roman" w:hAnsi="Times New Roman" w:cs="Times New Roman"/>
                <w:b/>
                <w:color w:val="000000"/>
                <w:sz w:val="24"/>
                <w:szCs w:val="24"/>
                <w:lang w:eastAsia="sk-SK"/>
              </w:rPr>
            </w:pPr>
          </w:p>
        </w:tc>
      </w:tr>
    </w:tbl>
    <w:p w14:paraId="03DF40AA" w14:textId="77777777" w:rsidR="009F25EE" w:rsidRPr="007B7470" w:rsidRDefault="009F25EE" w:rsidP="009F25EE">
      <w:pPr>
        <w:rPr>
          <w:rFonts w:ascii="Times New Roman" w:eastAsia="Times New Roman" w:hAnsi="Times New Roman" w:cs="Times New Roman"/>
          <w:b/>
          <w:bCs/>
          <w:sz w:val="24"/>
          <w:szCs w:val="24"/>
          <w:lang w:eastAsia="sk-SK"/>
        </w:rPr>
      </w:pPr>
    </w:p>
    <w:p w14:paraId="26C075B4" w14:textId="77777777" w:rsidR="009F25EE" w:rsidRPr="007B7470" w:rsidRDefault="009F25EE" w:rsidP="009F25EE">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407039DB" w14:textId="77777777" w:rsidR="009F25EE" w:rsidRPr="007B7470" w:rsidRDefault="009F25EE" w:rsidP="009F25EE">
      <w:pPr>
        <w:spacing w:after="0" w:line="240" w:lineRule="auto"/>
        <w:jc w:val="both"/>
        <w:rPr>
          <w:rFonts w:ascii="Times New Roman" w:eastAsia="Times New Roman" w:hAnsi="Times New Roman" w:cs="Times New Roman"/>
          <w:b/>
          <w:bCs/>
          <w:sz w:val="12"/>
          <w:szCs w:val="24"/>
          <w:lang w:eastAsia="sk-SK"/>
        </w:rPr>
      </w:pPr>
    </w:p>
    <w:p w14:paraId="2C685AA1" w14:textId="77777777" w:rsidR="009F25EE" w:rsidRPr="007B7470" w:rsidRDefault="009F25EE" w:rsidP="009F25EE">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3A69A4AF" w14:textId="28CB8B40" w:rsidR="009F25EE" w:rsidRPr="00222B1E" w:rsidRDefault="00F07C84" w:rsidP="009F25EE">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222B1E">
        <w:rPr>
          <w:rFonts w:ascii="Times New Roman" w:eastAsia="Times New Roman" w:hAnsi="Times New Roman" w:cs="Times New Roman"/>
          <w:bCs/>
          <w:sz w:val="24"/>
          <w:szCs w:val="24"/>
          <w:lang w:eastAsia="sk-SK"/>
        </w:rPr>
        <w:t>Výdavky a limit počtu zamestnancov vyplývajúce z návrhu zákona budú zabezpečené zo schváleného/stanoveného rozpočtu kapitoly NBÚ na príslušné rozpočtové</w:t>
      </w:r>
      <w:r w:rsidR="00222B1E" w:rsidRPr="00222B1E">
        <w:rPr>
          <w:rFonts w:ascii="Times New Roman" w:eastAsia="Times New Roman" w:hAnsi="Times New Roman" w:cs="Times New Roman"/>
          <w:bCs/>
          <w:sz w:val="24"/>
          <w:szCs w:val="24"/>
          <w:lang w:eastAsia="sk-SK"/>
        </w:rPr>
        <w:t xml:space="preserve"> roky, bez dodatočných požiadaviek na rozpočet.</w:t>
      </w:r>
    </w:p>
    <w:p w14:paraId="01DFB162" w14:textId="77777777" w:rsidR="009F25EE" w:rsidRPr="00222B1E" w:rsidRDefault="009F25EE" w:rsidP="009F25EE">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p>
    <w:p w14:paraId="7DA4ADFA" w14:textId="77777777" w:rsidR="009F25EE" w:rsidRPr="007B7470" w:rsidRDefault="009F25EE" w:rsidP="009F25EE">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31B34490" w14:textId="77777777" w:rsidR="009F25EE" w:rsidRPr="007B7470" w:rsidRDefault="009F25EE" w:rsidP="009F25EE">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455A12B7" w14:textId="77777777" w:rsidR="009F25EE" w:rsidRPr="007B7470" w:rsidRDefault="009F25EE" w:rsidP="009F25EE">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14:paraId="2B8CDE7C"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563FF304" w14:textId="77777777" w:rsidR="009F25EE" w:rsidRPr="007B7470" w:rsidRDefault="009F25EE" w:rsidP="009F25EE">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14:paraId="6E5AD497" w14:textId="77777777" w:rsidR="009F25EE" w:rsidRPr="007B7470" w:rsidRDefault="009F25EE" w:rsidP="009F25EE">
      <w:pPr>
        <w:spacing w:after="0" w:line="240" w:lineRule="auto"/>
        <w:jc w:val="both"/>
        <w:rPr>
          <w:rFonts w:ascii="Times New Roman" w:eastAsia="Times New Roman" w:hAnsi="Times New Roman" w:cs="Times New Roman"/>
          <w:b/>
          <w:bCs/>
          <w:sz w:val="24"/>
          <w:szCs w:val="24"/>
          <w:lang w:eastAsia="sk-SK"/>
        </w:rPr>
      </w:pPr>
    </w:p>
    <w:p w14:paraId="2D9A9387" w14:textId="77777777" w:rsidR="009F25EE" w:rsidRPr="007B7470" w:rsidRDefault="009F25EE" w:rsidP="009F25EE">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14:paraId="1E1A6076"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74F34E1B"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w:t>
      </w:r>
    </w:p>
    <w:p w14:paraId="35084756"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19A58CE1" w14:textId="77777777" w:rsidR="009F25EE" w:rsidRPr="007B7470" w:rsidRDefault="009F25EE" w:rsidP="009F25EE">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14:paraId="7F1A5705"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30895F5E"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14:paraId="211C5911"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14:paraId="57919254"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14:paraId="06A7805A"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14:paraId="62F3BC62"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14:paraId="3B8EE494"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73E3C799"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046D1D84"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6911F7D7" w14:textId="77777777" w:rsidR="009F25EE" w:rsidRDefault="009F25EE" w:rsidP="009F25EE">
      <w:pPr>
        <w:spacing w:after="0" w:line="240" w:lineRule="auto"/>
        <w:rPr>
          <w:rFonts w:ascii="Times New Roman" w:eastAsia="Times New Roman" w:hAnsi="Times New Roman" w:cs="Times New Roman"/>
          <w:sz w:val="24"/>
          <w:szCs w:val="24"/>
          <w:lang w:eastAsia="sk-SK"/>
        </w:rPr>
      </w:pPr>
    </w:p>
    <w:p w14:paraId="715DD75B" w14:textId="77777777" w:rsidR="009F25EE" w:rsidRDefault="009F25EE" w:rsidP="009F25EE">
      <w:pPr>
        <w:spacing w:after="0" w:line="240" w:lineRule="auto"/>
        <w:rPr>
          <w:rFonts w:ascii="Times New Roman" w:eastAsia="Times New Roman" w:hAnsi="Times New Roman" w:cs="Times New Roman"/>
          <w:sz w:val="24"/>
          <w:szCs w:val="24"/>
          <w:lang w:eastAsia="sk-SK"/>
        </w:rPr>
      </w:pPr>
    </w:p>
    <w:p w14:paraId="381BBF9C" w14:textId="77777777" w:rsidR="009F25EE" w:rsidRDefault="009F25EE" w:rsidP="009F25EE">
      <w:pPr>
        <w:spacing w:after="0" w:line="240" w:lineRule="auto"/>
        <w:rPr>
          <w:rFonts w:ascii="Times New Roman" w:eastAsia="Times New Roman" w:hAnsi="Times New Roman" w:cs="Times New Roman"/>
          <w:sz w:val="24"/>
          <w:szCs w:val="24"/>
          <w:lang w:eastAsia="sk-SK"/>
        </w:rPr>
      </w:pPr>
    </w:p>
    <w:p w14:paraId="1B929FC3" w14:textId="52F2B12A" w:rsidR="009F25EE" w:rsidRDefault="009F25EE" w:rsidP="009F25EE">
      <w:pPr>
        <w:spacing w:after="0" w:line="240" w:lineRule="auto"/>
        <w:rPr>
          <w:rFonts w:ascii="Times New Roman" w:eastAsia="Times New Roman" w:hAnsi="Times New Roman" w:cs="Times New Roman"/>
          <w:sz w:val="24"/>
          <w:szCs w:val="24"/>
          <w:lang w:eastAsia="sk-SK"/>
        </w:rPr>
      </w:pPr>
    </w:p>
    <w:p w14:paraId="43837EAF" w14:textId="77777777" w:rsidR="005C4103" w:rsidRPr="007B7470" w:rsidRDefault="005C4103" w:rsidP="009F25EE">
      <w:pPr>
        <w:spacing w:after="0" w:line="240" w:lineRule="auto"/>
        <w:rPr>
          <w:rFonts w:ascii="Times New Roman" w:eastAsia="Times New Roman" w:hAnsi="Times New Roman" w:cs="Times New Roman"/>
          <w:sz w:val="24"/>
          <w:szCs w:val="24"/>
          <w:lang w:eastAsia="sk-SK"/>
        </w:rPr>
      </w:pPr>
    </w:p>
    <w:p w14:paraId="6307B861"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211FD8B8"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5DC9D279"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14:paraId="229C5EAD"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63E8C9D8" w14:textId="77777777" w:rsidR="009F25EE" w:rsidRPr="007B7470" w:rsidRDefault="009F25EE" w:rsidP="009F25EE">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749449BE" w14:textId="77777777" w:rsidR="009F25EE" w:rsidRPr="007B7470" w:rsidRDefault="009F25EE" w:rsidP="009F25EE">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9F25EE" w:rsidRPr="007B7470" w14:paraId="4C9127E0" w14:textId="77777777" w:rsidTr="00CB02CB">
        <w:trPr>
          <w:cantSplit/>
          <w:trHeight w:val="70"/>
        </w:trPr>
        <w:tc>
          <w:tcPr>
            <w:tcW w:w="4530" w:type="dxa"/>
            <w:vMerge w:val="restart"/>
            <w:shd w:val="clear" w:color="auto" w:fill="BFBFBF" w:themeFill="background1" w:themeFillShade="BF"/>
            <w:vAlign w:val="center"/>
          </w:tcPr>
          <w:p w14:paraId="77DDFBE6" w14:textId="77777777" w:rsidR="009F25EE" w:rsidRPr="007B7470" w:rsidRDefault="009F25EE" w:rsidP="00CB02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1A15ACC1" w14:textId="77777777" w:rsidR="009F25EE" w:rsidRPr="007B7470" w:rsidRDefault="009F25EE" w:rsidP="00CB02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9F25EE" w:rsidRPr="007B7470" w14:paraId="1273D387" w14:textId="77777777" w:rsidTr="00CB02CB">
        <w:trPr>
          <w:cantSplit/>
          <w:trHeight w:val="70"/>
        </w:trPr>
        <w:tc>
          <w:tcPr>
            <w:tcW w:w="4530" w:type="dxa"/>
            <w:vMerge/>
            <w:shd w:val="clear" w:color="auto" w:fill="BFBFBF" w:themeFill="background1" w:themeFillShade="BF"/>
          </w:tcPr>
          <w:p w14:paraId="77B3AC51" w14:textId="77777777" w:rsidR="009F25EE" w:rsidRPr="007B7470" w:rsidRDefault="009F25EE" w:rsidP="00CB02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42E68780" w14:textId="77777777" w:rsidR="009F25EE" w:rsidRPr="007B7470" w:rsidRDefault="009F25EE" w:rsidP="00CB02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14:paraId="20E91EE1" w14:textId="77777777" w:rsidR="009F25EE" w:rsidRPr="007B7470" w:rsidRDefault="009F25EE" w:rsidP="00CB02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vAlign w:val="center"/>
          </w:tcPr>
          <w:p w14:paraId="2A526E5D" w14:textId="77777777" w:rsidR="009F25EE" w:rsidRPr="007B7470" w:rsidRDefault="009F25EE" w:rsidP="00CB02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134" w:type="dxa"/>
            <w:shd w:val="clear" w:color="auto" w:fill="BFBFBF" w:themeFill="background1" w:themeFillShade="BF"/>
            <w:vAlign w:val="center"/>
          </w:tcPr>
          <w:p w14:paraId="3760AA58" w14:textId="77777777" w:rsidR="009F25EE" w:rsidRPr="007B7470" w:rsidRDefault="009F25EE" w:rsidP="00CB02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R="009F25EE" w:rsidRPr="007B7470" w14:paraId="52B3B8A4" w14:textId="77777777" w:rsidTr="00CB02CB">
        <w:trPr>
          <w:trHeight w:val="70"/>
        </w:trPr>
        <w:tc>
          <w:tcPr>
            <w:tcW w:w="4530" w:type="dxa"/>
          </w:tcPr>
          <w:p w14:paraId="0086A88E" w14:textId="77777777" w:rsidR="009F25EE" w:rsidRPr="007B7470" w:rsidRDefault="009F25EE" w:rsidP="00CB02CB">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14:paraId="48FD0024"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CFB3388"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BF4AE2A"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4CA5F38"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9F25EE" w:rsidRPr="007B7470" w14:paraId="2B115803" w14:textId="77777777" w:rsidTr="00CB02CB">
        <w:trPr>
          <w:trHeight w:val="70"/>
        </w:trPr>
        <w:tc>
          <w:tcPr>
            <w:tcW w:w="4530" w:type="dxa"/>
          </w:tcPr>
          <w:p w14:paraId="53BF487D" w14:textId="77777777" w:rsidR="009F25EE" w:rsidRPr="007B7470" w:rsidRDefault="009F25EE" w:rsidP="00CB02CB">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14:paraId="6C4CC63D"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85E0267"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98F0728"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F1245EC"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9F25EE" w:rsidRPr="007B7470" w14:paraId="16F83112" w14:textId="77777777" w:rsidTr="00CB02CB">
        <w:trPr>
          <w:trHeight w:val="70"/>
        </w:trPr>
        <w:tc>
          <w:tcPr>
            <w:tcW w:w="4530" w:type="dxa"/>
          </w:tcPr>
          <w:p w14:paraId="536A2682" w14:textId="77777777" w:rsidR="009F25EE" w:rsidRPr="007B7470" w:rsidRDefault="009F25EE" w:rsidP="00CB02CB">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14:paraId="2A5424A4"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90E7221"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A3D51ED"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D7CC757" w14:textId="77777777" w:rsidR="009F25EE" w:rsidRPr="007B7470" w:rsidRDefault="009F25EE" w:rsidP="00CB02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4A7F388F"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0DA9A88F"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40B42AEC" w14:textId="77777777" w:rsidR="009F25EE" w:rsidRPr="007B7470" w:rsidRDefault="009F25EE" w:rsidP="009F25EE">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14:paraId="5ADF89AF" w14:textId="77777777" w:rsidR="009F25EE" w:rsidRPr="007B7470" w:rsidRDefault="009F25EE" w:rsidP="009F25EE">
      <w:pPr>
        <w:spacing w:after="0" w:line="240" w:lineRule="auto"/>
        <w:rPr>
          <w:rFonts w:ascii="Times New Roman" w:eastAsia="Times New Roman" w:hAnsi="Times New Roman" w:cs="Times New Roman"/>
          <w:sz w:val="24"/>
          <w:szCs w:val="24"/>
          <w:lang w:eastAsia="sk-SK"/>
        </w:rPr>
      </w:pPr>
    </w:p>
    <w:p w14:paraId="4CB1D245" w14:textId="77777777" w:rsidR="009F25EE" w:rsidRPr="007B7470" w:rsidRDefault="009F25EE" w:rsidP="009F25EE">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CDC76C8" w14:textId="77777777" w:rsidR="009F25EE" w:rsidRPr="007B7470" w:rsidRDefault="009F25EE" w:rsidP="009F25EE">
      <w:pPr>
        <w:spacing w:after="0" w:line="240" w:lineRule="auto"/>
        <w:jc w:val="both"/>
        <w:rPr>
          <w:rFonts w:ascii="Times New Roman" w:eastAsia="Times New Roman" w:hAnsi="Times New Roman" w:cs="Times New Roman"/>
          <w:sz w:val="24"/>
          <w:szCs w:val="24"/>
          <w:lang w:eastAsia="sk-SK"/>
        </w:rPr>
      </w:pPr>
    </w:p>
    <w:p w14:paraId="10C5CF12" w14:textId="77777777" w:rsidR="009F25EE" w:rsidRPr="007B7470" w:rsidRDefault="009F25EE" w:rsidP="009F25EE">
      <w:pPr>
        <w:tabs>
          <w:tab w:val="num" w:pos="1080"/>
        </w:tabs>
        <w:spacing w:after="0" w:line="240" w:lineRule="auto"/>
        <w:jc w:val="both"/>
        <w:rPr>
          <w:rFonts w:ascii="Times New Roman" w:eastAsia="Times New Roman" w:hAnsi="Times New Roman" w:cs="Times New Roman"/>
          <w:bCs/>
          <w:sz w:val="24"/>
          <w:szCs w:val="24"/>
          <w:lang w:eastAsia="sk-SK"/>
        </w:rPr>
      </w:pPr>
    </w:p>
    <w:p w14:paraId="3C8C86DE" w14:textId="3939482F" w:rsidR="006B6FA6" w:rsidRDefault="006B6FA6"/>
    <w:p w14:paraId="6592F622" w14:textId="602F9F5E" w:rsidR="00690C19" w:rsidRDefault="00690C19"/>
    <w:p w14:paraId="1E01D109" w14:textId="13CD4925" w:rsidR="00690C19" w:rsidRDefault="00690C19"/>
    <w:p w14:paraId="457BCE7B" w14:textId="7F18EF0C" w:rsidR="00690C19" w:rsidRDefault="00690C19"/>
    <w:p w14:paraId="7A979B70" w14:textId="00A52731" w:rsidR="00690C19" w:rsidRDefault="00690C19"/>
    <w:p w14:paraId="5ADD4376" w14:textId="3998A4E6" w:rsidR="00690C19" w:rsidRDefault="00690C19"/>
    <w:p w14:paraId="2FFACE78" w14:textId="1CD076DE" w:rsidR="00690C19" w:rsidRDefault="00690C19"/>
    <w:p w14:paraId="046CDF45" w14:textId="199F1D9F" w:rsidR="00690C19" w:rsidRDefault="00690C19"/>
    <w:p w14:paraId="08402153" w14:textId="3EAD4F81" w:rsidR="00690C19" w:rsidRDefault="00690C19"/>
    <w:p w14:paraId="19CFE54D" w14:textId="3ADECDAC" w:rsidR="00690C19" w:rsidRDefault="00690C19"/>
    <w:p w14:paraId="10850805" w14:textId="109F2024" w:rsidR="00690C19" w:rsidRDefault="00690C19"/>
    <w:p w14:paraId="43A0CC8F" w14:textId="1BE77A0C" w:rsidR="00690C19" w:rsidRDefault="00690C19"/>
    <w:p w14:paraId="1A41D3B6" w14:textId="52845CD6" w:rsidR="00690C19" w:rsidRDefault="00690C19"/>
    <w:p w14:paraId="3AEA625F" w14:textId="4196C75F" w:rsidR="00690C19" w:rsidRDefault="00690C19"/>
    <w:p w14:paraId="506B4DDE" w14:textId="67A221D0" w:rsidR="00690C19" w:rsidRDefault="00690C19"/>
    <w:p w14:paraId="51F809D2" w14:textId="31E70C3D" w:rsidR="00690C19" w:rsidRDefault="00690C19"/>
    <w:p w14:paraId="07CD5CDA" w14:textId="335D0311" w:rsidR="00690C19" w:rsidRDefault="00690C19"/>
    <w:p w14:paraId="124B6DCF" w14:textId="0445E6F2" w:rsidR="00690C19" w:rsidRDefault="00690C19"/>
    <w:p w14:paraId="08B97B94" w14:textId="074BEB51" w:rsidR="00690C19" w:rsidRDefault="00690C19"/>
    <w:p w14:paraId="57B7D881" w14:textId="77777777" w:rsidR="00604D56" w:rsidRDefault="00604D56">
      <w:pPr>
        <w:sectPr w:rsidR="00604D56" w:rsidSect="00D830E8">
          <w:headerReference w:type="default" r:id="rId10"/>
          <w:footerReference w:type="default" r:id="rId11"/>
          <w:pgSz w:w="11906" w:h="16838"/>
          <w:pgMar w:top="993" w:right="1417" w:bottom="1417" w:left="1417" w:header="708" w:footer="708" w:gutter="0"/>
          <w:pgNumType w:start="1"/>
          <w:cols w:space="708"/>
          <w:docGrid w:linePitch="360"/>
        </w:sectPr>
      </w:pPr>
    </w:p>
    <w:p w14:paraId="5B539B1A" w14:textId="77777777" w:rsidR="00D554AB" w:rsidRPr="007B7470" w:rsidRDefault="00D554AB" w:rsidP="00D554AB">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554AB" w:rsidRPr="007B7470" w14:paraId="2F25A427" w14:textId="77777777" w:rsidTr="00CB02C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7211A8"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01C3260"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4C54645"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D554AB" w:rsidRPr="007B7470" w14:paraId="45E934B6" w14:textId="77777777" w:rsidTr="00CB02C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2174149" w14:textId="77777777" w:rsidR="00D554AB" w:rsidRPr="007B7470" w:rsidRDefault="00D554AB" w:rsidP="00CB02CB">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6130748B"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1AF3EF56"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1B316CDE"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522A4415"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3A82C5C0" w14:textId="77777777" w:rsidR="00D554AB" w:rsidRPr="007B7470" w:rsidRDefault="00D554AB" w:rsidP="00CB02CB">
            <w:pPr>
              <w:spacing w:after="0" w:line="240" w:lineRule="auto"/>
              <w:rPr>
                <w:rFonts w:ascii="Times New Roman" w:eastAsia="Times New Roman" w:hAnsi="Times New Roman" w:cs="Times New Roman"/>
                <w:b/>
                <w:bCs/>
                <w:color w:val="FFFFFF"/>
                <w:sz w:val="24"/>
                <w:szCs w:val="24"/>
                <w:lang w:eastAsia="sk-SK"/>
              </w:rPr>
            </w:pPr>
          </w:p>
        </w:tc>
      </w:tr>
      <w:tr w:rsidR="00D554AB" w:rsidRPr="007B7470" w14:paraId="26F0C970" w14:textId="77777777" w:rsidTr="00CB02CB">
        <w:trPr>
          <w:trHeight w:val="255"/>
        </w:trPr>
        <w:tc>
          <w:tcPr>
            <w:tcW w:w="4950" w:type="dxa"/>
            <w:tcBorders>
              <w:top w:val="nil"/>
              <w:left w:val="single" w:sz="4" w:space="0" w:color="auto"/>
              <w:bottom w:val="single" w:sz="4" w:space="0" w:color="auto"/>
              <w:right w:val="single" w:sz="4" w:space="0" w:color="auto"/>
            </w:tcBorders>
          </w:tcPr>
          <w:p w14:paraId="1E97FB6B" w14:textId="77777777" w:rsidR="00D554AB" w:rsidRPr="007B7470" w:rsidRDefault="00D554AB" w:rsidP="00CB02CB">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794EE6B"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78B61B4"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9300044"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18734A7"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7AFBBF8F"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08AF7A44" w14:textId="77777777" w:rsidTr="00CB02CB">
        <w:trPr>
          <w:trHeight w:val="255"/>
        </w:trPr>
        <w:tc>
          <w:tcPr>
            <w:tcW w:w="4950" w:type="dxa"/>
            <w:tcBorders>
              <w:top w:val="nil"/>
              <w:left w:val="single" w:sz="4" w:space="0" w:color="auto"/>
              <w:bottom w:val="single" w:sz="4" w:space="0" w:color="auto"/>
              <w:right w:val="single" w:sz="4" w:space="0" w:color="auto"/>
            </w:tcBorders>
          </w:tcPr>
          <w:p w14:paraId="7E6C8428"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416F4C2"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FB884A1"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4C4D947"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ED02288"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1C9758D"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46261490" w14:textId="77777777" w:rsidTr="00CB02CB">
        <w:trPr>
          <w:trHeight w:val="255"/>
        </w:trPr>
        <w:tc>
          <w:tcPr>
            <w:tcW w:w="4950" w:type="dxa"/>
            <w:tcBorders>
              <w:top w:val="nil"/>
              <w:left w:val="single" w:sz="4" w:space="0" w:color="auto"/>
              <w:bottom w:val="single" w:sz="4" w:space="0" w:color="auto"/>
              <w:right w:val="single" w:sz="4" w:space="0" w:color="auto"/>
            </w:tcBorders>
          </w:tcPr>
          <w:p w14:paraId="4EF24696"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F8AD810"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C8FA30C"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D6ED6E8"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0374A10"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421221A"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3982393D" w14:textId="77777777" w:rsidTr="00CB02CB">
        <w:trPr>
          <w:trHeight w:val="255"/>
        </w:trPr>
        <w:tc>
          <w:tcPr>
            <w:tcW w:w="4950" w:type="dxa"/>
            <w:tcBorders>
              <w:top w:val="nil"/>
              <w:left w:val="single" w:sz="4" w:space="0" w:color="auto"/>
              <w:bottom w:val="single" w:sz="4" w:space="0" w:color="auto"/>
              <w:right w:val="single" w:sz="4" w:space="0" w:color="auto"/>
            </w:tcBorders>
          </w:tcPr>
          <w:p w14:paraId="3DEFBF57"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318C3D14"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C100540"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3DA6520D"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30A6827B"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EE886A4"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3E0609BC" w14:textId="77777777" w:rsidTr="00CB02CB">
        <w:trPr>
          <w:trHeight w:val="255"/>
        </w:trPr>
        <w:tc>
          <w:tcPr>
            <w:tcW w:w="4950" w:type="dxa"/>
            <w:tcBorders>
              <w:top w:val="nil"/>
              <w:left w:val="single" w:sz="4" w:space="0" w:color="auto"/>
              <w:bottom w:val="single" w:sz="4" w:space="0" w:color="auto"/>
              <w:right w:val="single" w:sz="4" w:space="0" w:color="auto"/>
            </w:tcBorders>
          </w:tcPr>
          <w:p w14:paraId="53DAB625"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088A933E"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473F7748"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8CFE31D"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0A48C733"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250EA614"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4701EDC4" w14:textId="77777777" w:rsidTr="00CB02CB">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8B03B2E"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6BDB0AEE"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D3F47A4"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FAC5019"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08989AD"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17738D57"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300B43A8" w14:textId="77777777" w:rsidR="00D554AB" w:rsidRPr="007B7470" w:rsidRDefault="00D554AB" w:rsidP="00D554AB">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14:paraId="3B2F5A80" w14:textId="77777777" w:rsidR="00D554AB" w:rsidRPr="007B7470" w:rsidRDefault="00D554AB" w:rsidP="00D554AB">
      <w:pPr>
        <w:tabs>
          <w:tab w:val="num" w:pos="1080"/>
        </w:tabs>
        <w:spacing w:after="0" w:line="240" w:lineRule="auto"/>
        <w:jc w:val="both"/>
        <w:rPr>
          <w:rFonts w:ascii="Times New Roman" w:eastAsia="Times New Roman" w:hAnsi="Times New Roman" w:cs="Times New Roman"/>
          <w:bCs/>
          <w:sz w:val="24"/>
          <w:szCs w:val="20"/>
          <w:lang w:eastAsia="sk-SK"/>
        </w:rPr>
      </w:pPr>
    </w:p>
    <w:p w14:paraId="22AFAB81" w14:textId="77777777" w:rsidR="00D554AB" w:rsidRPr="007B7470" w:rsidRDefault="00D554AB" w:rsidP="00D554AB">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14:paraId="485346E2" w14:textId="212BEDD5" w:rsidR="00D554AB" w:rsidRDefault="00D554AB" w:rsidP="00D554AB">
      <w:pPr>
        <w:jc w:val="both"/>
        <w:rPr>
          <w:rFonts w:ascii="Times New Roman" w:hAnsi="Times New Roman" w:cs="Times New Roman"/>
          <w:sz w:val="24"/>
        </w:rPr>
      </w:pPr>
      <w:r w:rsidRPr="00732459">
        <w:rPr>
          <w:rFonts w:ascii="Times New Roman" w:hAnsi="Times New Roman" w:cs="Times New Roman"/>
          <w:sz w:val="24"/>
        </w:rPr>
        <w:t xml:space="preserve">V návrhu zákona sa v čl. I § 13 sa upravuje pokuta za priestupky a v čl. I § 14 sa upravujú pokuty za správne delikty. V nadväznosti na vypracovanú </w:t>
      </w:r>
      <w:r w:rsidRPr="000C24CE">
        <w:rPr>
          <w:rFonts w:ascii="Times New Roman" w:hAnsi="Times New Roman" w:cs="Times New Roman"/>
          <w:i/>
          <w:sz w:val="24"/>
        </w:rPr>
        <w:t>Analýz</w:t>
      </w:r>
      <w:r>
        <w:rPr>
          <w:rFonts w:ascii="Times New Roman" w:hAnsi="Times New Roman" w:cs="Times New Roman"/>
          <w:i/>
          <w:sz w:val="24"/>
        </w:rPr>
        <w:t>u</w:t>
      </w:r>
      <w:r w:rsidRPr="000C24CE">
        <w:rPr>
          <w:rFonts w:ascii="Times New Roman" w:hAnsi="Times New Roman" w:cs="Times New Roman"/>
          <w:i/>
          <w:sz w:val="24"/>
        </w:rPr>
        <w:t xml:space="preserve"> vplyvov na podnikateľské prostredie</w:t>
      </w:r>
      <w:r>
        <w:rPr>
          <w:rFonts w:ascii="Times New Roman" w:hAnsi="Times New Roman" w:cs="Times New Roman"/>
          <w:i/>
          <w:sz w:val="24"/>
        </w:rPr>
        <w:t xml:space="preserve"> </w:t>
      </w:r>
      <w:r w:rsidRPr="00732459">
        <w:rPr>
          <w:rFonts w:ascii="Times New Roman" w:hAnsi="Times New Roman" w:cs="Times New Roman"/>
          <w:sz w:val="24"/>
        </w:rPr>
        <w:t>nepredpokladá výrazný nárast počtu pokuty za priestupky a pokút za správne delikty, z toho dôvodu úrad predpokladá žiadny priamy vplyv na rozpočet verenej správy a na limit verejných výdavkov, po účinnosti novely zákona.</w:t>
      </w:r>
    </w:p>
    <w:p w14:paraId="3DD32FD5" w14:textId="6FC4AA8F" w:rsidR="00F60E38" w:rsidRDefault="00D554AB" w:rsidP="00F60E38">
      <w:pPr>
        <w:tabs>
          <w:tab w:val="num" w:pos="1080"/>
        </w:tabs>
        <w:spacing w:after="0" w:line="240" w:lineRule="auto"/>
        <w:ind w:right="-578"/>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14:paraId="66D011F4" w14:textId="77777777" w:rsidR="00F60E38" w:rsidRDefault="00F60E38">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p w14:paraId="3C2F37A2" w14:textId="77777777" w:rsidR="00D554AB" w:rsidRPr="007B7470" w:rsidRDefault="00D554AB" w:rsidP="00D554A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A762654" w14:textId="77777777" w:rsidR="00D554AB" w:rsidRPr="007B7470" w:rsidRDefault="00D554AB" w:rsidP="00D554AB">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554AB" w:rsidRPr="007B7470" w14:paraId="33BC97C0" w14:textId="77777777" w:rsidTr="00CB02C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1A9549C" w14:textId="77777777" w:rsidR="00D554AB" w:rsidRPr="007B7470" w:rsidRDefault="00D554AB" w:rsidP="00CB02CB">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81FB451" w14:textId="77777777" w:rsidR="00D554AB" w:rsidRPr="007B7470" w:rsidRDefault="00D554AB" w:rsidP="00CB02CB">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558AD9"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D554AB" w:rsidRPr="007B7470" w14:paraId="700C9C22" w14:textId="77777777" w:rsidTr="00CB02C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5167066" w14:textId="77777777" w:rsidR="00D554AB" w:rsidRPr="007B7470" w:rsidRDefault="00D554AB" w:rsidP="00CB02CB">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28E2D61E" w14:textId="77777777" w:rsidR="00D554AB" w:rsidRPr="007B7470" w:rsidRDefault="00D554AB" w:rsidP="00CB02C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213D074E" w14:textId="77777777" w:rsidR="00D554AB" w:rsidRPr="007B7470" w:rsidRDefault="00D554AB" w:rsidP="00CB02C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3D4DFCF9" w14:textId="77777777" w:rsidR="00D554AB" w:rsidRPr="007B7470" w:rsidRDefault="00D554AB" w:rsidP="00CB02C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73EEBACA"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A70B6D">
              <w:rPr>
                <w:rFonts w:ascii="Times New Roman" w:eastAsia="Times New Roman" w:hAnsi="Times New Roman" w:cs="Times New Roman"/>
                <w:b/>
                <w:bCs/>
                <w:sz w:val="20"/>
                <w:szCs w:val="24"/>
                <w:lang w:eastAsia="sk-SK"/>
              </w:rPr>
              <w:t>202</w:t>
            </w:r>
            <w:r>
              <w:rPr>
                <w:rFonts w:ascii="Times New Roman" w:eastAsia="Times New Roman" w:hAnsi="Times New Roman" w:cs="Times New Roman"/>
                <w:b/>
                <w:bCs/>
                <w:sz w:val="20"/>
                <w:szCs w:val="24"/>
                <w:lang w:eastAsia="sk-SK"/>
              </w:rPr>
              <w:t>7</w:t>
            </w:r>
          </w:p>
        </w:tc>
        <w:tc>
          <w:tcPr>
            <w:tcW w:w="1649" w:type="dxa"/>
            <w:vMerge/>
            <w:tcBorders>
              <w:top w:val="single" w:sz="4" w:space="0" w:color="auto"/>
              <w:left w:val="single" w:sz="4" w:space="0" w:color="auto"/>
              <w:bottom w:val="single" w:sz="4" w:space="0" w:color="auto"/>
              <w:right w:val="single" w:sz="4" w:space="0" w:color="auto"/>
            </w:tcBorders>
            <w:vAlign w:val="center"/>
          </w:tcPr>
          <w:p w14:paraId="2880CB86" w14:textId="77777777" w:rsidR="00D554AB" w:rsidRPr="007B7470" w:rsidRDefault="00D554AB" w:rsidP="00CB02CB">
            <w:pPr>
              <w:spacing w:after="0" w:line="240" w:lineRule="auto"/>
              <w:rPr>
                <w:rFonts w:ascii="Times New Roman" w:eastAsia="Times New Roman" w:hAnsi="Times New Roman" w:cs="Times New Roman"/>
                <w:b/>
                <w:bCs/>
                <w:color w:val="FFFFFF"/>
                <w:sz w:val="24"/>
                <w:szCs w:val="24"/>
                <w:lang w:eastAsia="sk-SK"/>
              </w:rPr>
            </w:pPr>
          </w:p>
        </w:tc>
      </w:tr>
      <w:tr w:rsidR="005A429D" w:rsidRPr="007B7470" w14:paraId="0E9E43F9" w14:textId="77777777" w:rsidTr="00CB02CB">
        <w:trPr>
          <w:trHeight w:val="255"/>
        </w:trPr>
        <w:tc>
          <w:tcPr>
            <w:tcW w:w="7070" w:type="dxa"/>
            <w:tcBorders>
              <w:top w:val="nil"/>
              <w:left w:val="single" w:sz="4" w:space="0" w:color="auto"/>
              <w:bottom w:val="single" w:sz="4" w:space="0" w:color="auto"/>
              <w:right w:val="single" w:sz="4" w:space="0" w:color="auto"/>
            </w:tcBorders>
          </w:tcPr>
          <w:p w14:paraId="2ECEB6FE" w14:textId="77777777" w:rsidR="005A429D" w:rsidRPr="007B7470" w:rsidRDefault="005A429D" w:rsidP="005A429D">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4B4F04D1" w14:textId="71C973A0" w:rsidR="005A429D" w:rsidRPr="00990872" w:rsidRDefault="00F10C09" w:rsidP="005A429D">
            <w:pPr>
              <w:pStyle w:val="Default"/>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317897E6" w14:textId="259CFEF8" w:rsidR="005A429D" w:rsidRPr="005A429D" w:rsidRDefault="005A429D" w:rsidP="005A429D">
            <w:pPr>
              <w:pStyle w:val="Default"/>
              <w:jc w:val="center"/>
              <w:rPr>
                <w:sz w:val="20"/>
                <w:szCs w:val="20"/>
              </w:rPr>
            </w:pPr>
            <w:r w:rsidRPr="005A429D">
              <w:rPr>
                <w:bCs/>
                <w:sz w:val="20"/>
                <w:szCs w:val="20"/>
              </w:rPr>
              <w:t>149 977</w:t>
            </w:r>
          </w:p>
        </w:tc>
        <w:tc>
          <w:tcPr>
            <w:tcW w:w="1540" w:type="dxa"/>
            <w:tcBorders>
              <w:top w:val="nil"/>
              <w:left w:val="nil"/>
              <w:bottom w:val="single" w:sz="4" w:space="0" w:color="auto"/>
              <w:right w:val="single" w:sz="4" w:space="0" w:color="auto"/>
            </w:tcBorders>
          </w:tcPr>
          <w:p w14:paraId="7A682173" w14:textId="12EE467D" w:rsidR="005A429D" w:rsidRPr="005A429D" w:rsidRDefault="005A429D" w:rsidP="005A429D">
            <w:pPr>
              <w:pStyle w:val="Default"/>
              <w:jc w:val="center"/>
              <w:rPr>
                <w:sz w:val="20"/>
                <w:szCs w:val="20"/>
              </w:rPr>
            </w:pPr>
            <w:r w:rsidRPr="005A429D">
              <w:rPr>
                <w:bCs/>
                <w:sz w:val="20"/>
                <w:szCs w:val="20"/>
              </w:rPr>
              <w:t>150 802</w:t>
            </w:r>
          </w:p>
        </w:tc>
        <w:tc>
          <w:tcPr>
            <w:tcW w:w="1540" w:type="dxa"/>
            <w:tcBorders>
              <w:top w:val="nil"/>
              <w:left w:val="nil"/>
              <w:bottom w:val="single" w:sz="4" w:space="0" w:color="auto"/>
              <w:right w:val="single" w:sz="4" w:space="0" w:color="auto"/>
            </w:tcBorders>
          </w:tcPr>
          <w:p w14:paraId="07D84340" w14:textId="5A12ED72" w:rsidR="005A429D" w:rsidRPr="005A429D" w:rsidRDefault="005A429D" w:rsidP="005A429D">
            <w:pPr>
              <w:pStyle w:val="Default"/>
              <w:jc w:val="center"/>
              <w:rPr>
                <w:sz w:val="20"/>
                <w:szCs w:val="20"/>
              </w:rPr>
            </w:pPr>
            <w:r w:rsidRPr="005A429D">
              <w:rPr>
                <w:bCs/>
                <w:sz w:val="20"/>
                <w:szCs w:val="20"/>
              </w:rPr>
              <w:t>150 802</w:t>
            </w:r>
          </w:p>
        </w:tc>
        <w:tc>
          <w:tcPr>
            <w:tcW w:w="1649" w:type="dxa"/>
            <w:tcBorders>
              <w:top w:val="nil"/>
              <w:left w:val="nil"/>
              <w:bottom w:val="single" w:sz="4" w:space="0" w:color="auto"/>
              <w:right w:val="single" w:sz="4" w:space="0" w:color="auto"/>
            </w:tcBorders>
            <w:noWrap/>
            <w:vAlign w:val="bottom"/>
          </w:tcPr>
          <w:p w14:paraId="0E989524" w14:textId="77777777" w:rsidR="005A429D" w:rsidRPr="007B7470" w:rsidRDefault="005A429D" w:rsidP="005A429D">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27309C5E" w14:textId="77777777" w:rsidTr="00CB02CB">
        <w:trPr>
          <w:trHeight w:val="255"/>
        </w:trPr>
        <w:tc>
          <w:tcPr>
            <w:tcW w:w="7070" w:type="dxa"/>
            <w:tcBorders>
              <w:top w:val="nil"/>
              <w:left w:val="single" w:sz="4" w:space="0" w:color="auto"/>
              <w:bottom w:val="single" w:sz="4" w:space="0" w:color="auto"/>
              <w:right w:val="single" w:sz="4" w:space="0" w:color="auto"/>
            </w:tcBorders>
          </w:tcPr>
          <w:p w14:paraId="68A25C48" w14:textId="77777777" w:rsidR="00D554AB" w:rsidRPr="007B7470" w:rsidRDefault="00D554AB" w:rsidP="00CB02CB">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37BB122B" w14:textId="77777777" w:rsidR="00D554AB" w:rsidRPr="00990872" w:rsidRDefault="00D554AB" w:rsidP="00CB02CB">
            <w:pPr>
              <w:pStyle w:val="Default"/>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1EB4D78F" w14:textId="77777777" w:rsidR="00D554AB" w:rsidRPr="00990872" w:rsidRDefault="00D554AB" w:rsidP="00CB02CB">
            <w:pPr>
              <w:pStyle w:val="Default"/>
              <w:jc w:val="center"/>
              <w:rPr>
                <w:sz w:val="20"/>
                <w:szCs w:val="20"/>
              </w:rPr>
            </w:pPr>
            <w:r w:rsidRPr="00990872">
              <w:rPr>
                <w:sz w:val="20"/>
                <w:szCs w:val="20"/>
              </w:rPr>
              <w:t>94 176</w:t>
            </w:r>
          </w:p>
        </w:tc>
        <w:tc>
          <w:tcPr>
            <w:tcW w:w="1540" w:type="dxa"/>
            <w:tcBorders>
              <w:top w:val="nil"/>
              <w:left w:val="nil"/>
              <w:bottom w:val="single" w:sz="4" w:space="0" w:color="auto"/>
              <w:right w:val="single" w:sz="4" w:space="0" w:color="auto"/>
            </w:tcBorders>
          </w:tcPr>
          <w:p w14:paraId="1ABE5DEC" w14:textId="77777777" w:rsidR="00D554AB" w:rsidRPr="00990872" w:rsidRDefault="00D554AB" w:rsidP="00CB02CB">
            <w:pPr>
              <w:pStyle w:val="Default"/>
              <w:jc w:val="center"/>
              <w:rPr>
                <w:sz w:val="20"/>
                <w:szCs w:val="20"/>
              </w:rPr>
            </w:pPr>
            <w:r w:rsidRPr="00990872">
              <w:rPr>
                <w:sz w:val="20"/>
                <w:szCs w:val="20"/>
              </w:rPr>
              <w:t>94 176</w:t>
            </w:r>
          </w:p>
        </w:tc>
        <w:tc>
          <w:tcPr>
            <w:tcW w:w="1540" w:type="dxa"/>
            <w:tcBorders>
              <w:top w:val="nil"/>
              <w:left w:val="nil"/>
              <w:bottom w:val="single" w:sz="4" w:space="0" w:color="auto"/>
              <w:right w:val="single" w:sz="4" w:space="0" w:color="auto"/>
            </w:tcBorders>
          </w:tcPr>
          <w:p w14:paraId="1425D977" w14:textId="77777777" w:rsidR="00D554AB" w:rsidRPr="00990872" w:rsidRDefault="00D554AB" w:rsidP="00CB02CB">
            <w:pPr>
              <w:pStyle w:val="Default"/>
              <w:jc w:val="center"/>
              <w:rPr>
                <w:sz w:val="20"/>
                <w:szCs w:val="20"/>
              </w:rPr>
            </w:pPr>
            <w:r w:rsidRPr="00990872">
              <w:rPr>
                <w:sz w:val="20"/>
                <w:szCs w:val="20"/>
              </w:rPr>
              <w:t>94 176</w:t>
            </w:r>
          </w:p>
        </w:tc>
        <w:tc>
          <w:tcPr>
            <w:tcW w:w="1649" w:type="dxa"/>
            <w:tcBorders>
              <w:top w:val="nil"/>
              <w:left w:val="nil"/>
              <w:bottom w:val="single" w:sz="4" w:space="0" w:color="auto"/>
              <w:right w:val="single" w:sz="4" w:space="0" w:color="auto"/>
            </w:tcBorders>
            <w:noWrap/>
            <w:vAlign w:val="bottom"/>
          </w:tcPr>
          <w:p w14:paraId="0B145C96"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266BB409" w14:textId="77777777" w:rsidTr="00CB02CB">
        <w:trPr>
          <w:trHeight w:val="255"/>
        </w:trPr>
        <w:tc>
          <w:tcPr>
            <w:tcW w:w="7070" w:type="dxa"/>
            <w:tcBorders>
              <w:top w:val="nil"/>
              <w:left w:val="single" w:sz="4" w:space="0" w:color="auto"/>
              <w:bottom w:val="single" w:sz="4" w:space="0" w:color="auto"/>
              <w:right w:val="single" w:sz="4" w:space="0" w:color="auto"/>
            </w:tcBorders>
          </w:tcPr>
          <w:p w14:paraId="0EEB8CA1" w14:textId="77777777" w:rsidR="00D554AB" w:rsidRPr="007B7470" w:rsidRDefault="00D554AB" w:rsidP="00CB02CB">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7D7EC517" w14:textId="77777777" w:rsidR="00D554AB" w:rsidRPr="00990872" w:rsidRDefault="00D554AB" w:rsidP="00CB02CB">
            <w:pPr>
              <w:pStyle w:val="Default"/>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035C03F0" w14:textId="77777777" w:rsidR="00D554AB" w:rsidRPr="00990872" w:rsidRDefault="00D554AB" w:rsidP="00CB02CB">
            <w:pPr>
              <w:pStyle w:val="Default"/>
              <w:jc w:val="center"/>
              <w:rPr>
                <w:sz w:val="20"/>
                <w:szCs w:val="20"/>
              </w:rPr>
            </w:pPr>
            <w:r w:rsidRPr="00990872">
              <w:rPr>
                <w:sz w:val="20"/>
                <w:szCs w:val="20"/>
              </w:rPr>
              <w:t>36 618</w:t>
            </w:r>
          </w:p>
        </w:tc>
        <w:tc>
          <w:tcPr>
            <w:tcW w:w="1540" w:type="dxa"/>
            <w:tcBorders>
              <w:top w:val="nil"/>
              <w:left w:val="nil"/>
              <w:bottom w:val="single" w:sz="4" w:space="0" w:color="auto"/>
              <w:right w:val="single" w:sz="4" w:space="0" w:color="auto"/>
            </w:tcBorders>
          </w:tcPr>
          <w:p w14:paraId="7C0FB5F9" w14:textId="77777777" w:rsidR="00D554AB" w:rsidRPr="00990872" w:rsidRDefault="00D554AB" w:rsidP="00CB02CB">
            <w:pPr>
              <w:pStyle w:val="Default"/>
              <w:jc w:val="center"/>
              <w:rPr>
                <w:sz w:val="20"/>
                <w:szCs w:val="20"/>
              </w:rPr>
            </w:pPr>
            <w:r w:rsidRPr="00990872">
              <w:rPr>
                <w:sz w:val="20"/>
                <w:szCs w:val="20"/>
              </w:rPr>
              <w:t>36 618</w:t>
            </w:r>
          </w:p>
        </w:tc>
        <w:tc>
          <w:tcPr>
            <w:tcW w:w="1540" w:type="dxa"/>
            <w:tcBorders>
              <w:top w:val="nil"/>
              <w:left w:val="nil"/>
              <w:bottom w:val="single" w:sz="4" w:space="0" w:color="auto"/>
              <w:right w:val="single" w:sz="4" w:space="0" w:color="auto"/>
            </w:tcBorders>
          </w:tcPr>
          <w:p w14:paraId="01C4FC9C" w14:textId="77777777" w:rsidR="00D554AB" w:rsidRPr="00990872" w:rsidRDefault="00D554AB" w:rsidP="00CB02CB">
            <w:pPr>
              <w:pStyle w:val="Default"/>
              <w:jc w:val="center"/>
              <w:rPr>
                <w:sz w:val="20"/>
                <w:szCs w:val="20"/>
              </w:rPr>
            </w:pPr>
            <w:r w:rsidRPr="00990872">
              <w:rPr>
                <w:sz w:val="20"/>
                <w:szCs w:val="20"/>
              </w:rPr>
              <w:t>36 618</w:t>
            </w:r>
          </w:p>
        </w:tc>
        <w:tc>
          <w:tcPr>
            <w:tcW w:w="1649" w:type="dxa"/>
            <w:tcBorders>
              <w:top w:val="nil"/>
              <w:left w:val="nil"/>
              <w:bottom w:val="single" w:sz="4" w:space="0" w:color="auto"/>
              <w:right w:val="single" w:sz="4" w:space="0" w:color="auto"/>
            </w:tcBorders>
            <w:noWrap/>
            <w:vAlign w:val="bottom"/>
          </w:tcPr>
          <w:p w14:paraId="7D1B968E"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015A1F0D" w14:textId="77777777" w:rsidTr="00CB02CB">
        <w:trPr>
          <w:trHeight w:val="255"/>
        </w:trPr>
        <w:tc>
          <w:tcPr>
            <w:tcW w:w="7070" w:type="dxa"/>
            <w:tcBorders>
              <w:top w:val="nil"/>
              <w:left w:val="single" w:sz="4" w:space="0" w:color="auto"/>
              <w:bottom w:val="single" w:sz="4" w:space="0" w:color="auto"/>
              <w:right w:val="single" w:sz="4" w:space="0" w:color="auto"/>
            </w:tcBorders>
          </w:tcPr>
          <w:p w14:paraId="0CE67DC9" w14:textId="77777777" w:rsidR="00D554AB" w:rsidRPr="007B7470" w:rsidRDefault="00D554AB" w:rsidP="00CB02CB">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01744A8F" w14:textId="77777777" w:rsidR="00D554AB" w:rsidRPr="00990872" w:rsidRDefault="00D554AB" w:rsidP="00CB02CB">
            <w:pPr>
              <w:pStyle w:val="Default"/>
              <w:jc w:val="center"/>
              <w:rPr>
                <w:sz w:val="20"/>
                <w:szCs w:val="20"/>
              </w:rPr>
            </w:pPr>
            <w:r w:rsidRPr="00990872">
              <w:rPr>
                <w:sz w:val="20"/>
                <w:szCs w:val="20"/>
              </w:rPr>
              <w:t>0</w:t>
            </w:r>
          </w:p>
        </w:tc>
        <w:tc>
          <w:tcPr>
            <w:tcW w:w="1650" w:type="dxa"/>
            <w:tcBorders>
              <w:top w:val="nil"/>
              <w:left w:val="nil"/>
              <w:bottom w:val="single" w:sz="4" w:space="0" w:color="auto"/>
              <w:right w:val="single" w:sz="4" w:space="0" w:color="auto"/>
            </w:tcBorders>
          </w:tcPr>
          <w:p w14:paraId="655D0ED0" w14:textId="77777777" w:rsidR="00D554AB" w:rsidRPr="00990872" w:rsidRDefault="00D554AB" w:rsidP="00CB02CB">
            <w:pPr>
              <w:pStyle w:val="Default"/>
              <w:jc w:val="center"/>
              <w:rPr>
                <w:sz w:val="20"/>
                <w:szCs w:val="20"/>
              </w:rPr>
            </w:pPr>
            <w:r w:rsidRPr="00990872">
              <w:rPr>
                <w:sz w:val="20"/>
                <w:szCs w:val="20"/>
              </w:rPr>
              <w:t>0</w:t>
            </w:r>
          </w:p>
        </w:tc>
        <w:tc>
          <w:tcPr>
            <w:tcW w:w="1540" w:type="dxa"/>
            <w:tcBorders>
              <w:top w:val="nil"/>
              <w:left w:val="nil"/>
              <w:bottom w:val="single" w:sz="4" w:space="0" w:color="auto"/>
              <w:right w:val="single" w:sz="4" w:space="0" w:color="auto"/>
            </w:tcBorders>
          </w:tcPr>
          <w:p w14:paraId="3E0E2A9D" w14:textId="77777777" w:rsidR="00D554AB" w:rsidRPr="00990872" w:rsidRDefault="00D554AB" w:rsidP="00CB02CB">
            <w:pPr>
              <w:pStyle w:val="Default"/>
              <w:jc w:val="center"/>
              <w:rPr>
                <w:sz w:val="20"/>
                <w:szCs w:val="20"/>
              </w:rPr>
            </w:pPr>
            <w:r w:rsidRPr="00990872">
              <w:rPr>
                <w:sz w:val="20"/>
                <w:szCs w:val="20"/>
              </w:rPr>
              <w:t>825</w:t>
            </w:r>
          </w:p>
        </w:tc>
        <w:tc>
          <w:tcPr>
            <w:tcW w:w="1540" w:type="dxa"/>
            <w:tcBorders>
              <w:top w:val="nil"/>
              <w:left w:val="nil"/>
              <w:bottom w:val="single" w:sz="4" w:space="0" w:color="auto"/>
              <w:right w:val="single" w:sz="4" w:space="0" w:color="auto"/>
            </w:tcBorders>
          </w:tcPr>
          <w:p w14:paraId="4085A14D" w14:textId="77777777" w:rsidR="00D554AB" w:rsidRPr="00990872" w:rsidRDefault="00D554AB" w:rsidP="00CB02CB">
            <w:pPr>
              <w:pStyle w:val="Default"/>
              <w:jc w:val="center"/>
              <w:rPr>
                <w:sz w:val="20"/>
                <w:szCs w:val="20"/>
              </w:rPr>
            </w:pPr>
            <w:r w:rsidRPr="00990872">
              <w:rPr>
                <w:sz w:val="20"/>
                <w:szCs w:val="20"/>
              </w:rPr>
              <w:t>825</w:t>
            </w:r>
          </w:p>
        </w:tc>
        <w:tc>
          <w:tcPr>
            <w:tcW w:w="1649" w:type="dxa"/>
            <w:tcBorders>
              <w:top w:val="nil"/>
              <w:left w:val="nil"/>
              <w:bottom w:val="single" w:sz="4" w:space="0" w:color="auto"/>
              <w:right w:val="single" w:sz="4" w:space="0" w:color="auto"/>
            </w:tcBorders>
            <w:noWrap/>
            <w:vAlign w:val="bottom"/>
          </w:tcPr>
          <w:p w14:paraId="6189DFC3"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1B6DA4E5" w14:textId="77777777" w:rsidTr="00CB02CB">
        <w:trPr>
          <w:trHeight w:val="255"/>
        </w:trPr>
        <w:tc>
          <w:tcPr>
            <w:tcW w:w="7070" w:type="dxa"/>
            <w:tcBorders>
              <w:top w:val="nil"/>
              <w:left w:val="single" w:sz="4" w:space="0" w:color="auto"/>
              <w:bottom w:val="single" w:sz="4" w:space="0" w:color="auto"/>
              <w:right w:val="single" w:sz="4" w:space="0" w:color="auto"/>
            </w:tcBorders>
          </w:tcPr>
          <w:p w14:paraId="7965D5B7" w14:textId="77777777" w:rsidR="00D554AB" w:rsidRPr="007B7470" w:rsidRDefault="00D554AB" w:rsidP="00CB02CB">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52C4BCD3" w14:textId="77777777" w:rsidR="00D554AB" w:rsidRPr="00990872" w:rsidRDefault="00D554AB" w:rsidP="00CB02CB">
            <w:pPr>
              <w:pStyle w:val="Default"/>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608CCCE2" w14:textId="77777777" w:rsidR="00D554AB" w:rsidRPr="00990872" w:rsidRDefault="00D554AB" w:rsidP="00CB02CB">
            <w:pPr>
              <w:pStyle w:val="Default"/>
              <w:jc w:val="center"/>
              <w:rPr>
                <w:sz w:val="20"/>
                <w:szCs w:val="20"/>
              </w:rPr>
            </w:pPr>
            <w:r w:rsidRPr="00990872">
              <w:rPr>
                <w:sz w:val="20"/>
                <w:szCs w:val="20"/>
              </w:rPr>
              <w:t>19 183</w:t>
            </w:r>
          </w:p>
        </w:tc>
        <w:tc>
          <w:tcPr>
            <w:tcW w:w="1540" w:type="dxa"/>
            <w:tcBorders>
              <w:top w:val="nil"/>
              <w:left w:val="nil"/>
              <w:bottom w:val="single" w:sz="4" w:space="0" w:color="auto"/>
              <w:right w:val="single" w:sz="4" w:space="0" w:color="auto"/>
            </w:tcBorders>
          </w:tcPr>
          <w:p w14:paraId="149CD8F7" w14:textId="77777777" w:rsidR="00D554AB" w:rsidRPr="00990872" w:rsidRDefault="00D554AB" w:rsidP="00CB02CB">
            <w:pPr>
              <w:pStyle w:val="Default"/>
              <w:jc w:val="center"/>
              <w:rPr>
                <w:sz w:val="20"/>
                <w:szCs w:val="20"/>
              </w:rPr>
            </w:pPr>
            <w:r w:rsidRPr="00990872">
              <w:rPr>
                <w:sz w:val="20"/>
                <w:szCs w:val="20"/>
              </w:rPr>
              <w:t>19 183</w:t>
            </w:r>
          </w:p>
        </w:tc>
        <w:tc>
          <w:tcPr>
            <w:tcW w:w="1540" w:type="dxa"/>
            <w:tcBorders>
              <w:top w:val="nil"/>
              <w:left w:val="nil"/>
              <w:bottom w:val="single" w:sz="4" w:space="0" w:color="auto"/>
              <w:right w:val="single" w:sz="4" w:space="0" w:color="auto"/>
            </w:tcBorders>
          </w:tcPr>
          <w:p w14:paraId="603C2D8E" w14:textId="77777777" w:rsidR="00D554AB" w:rsidRPr="00990872" w:rsidRDefault="00D554AB" w:rsidP="00CB02CB">
            <w:pPr>
              <w:pStyle w:val="Default"/>
              <w:jc w:val="center"/>
              <w:rPr>
                <w:sz w:val="20"/>
                <w:szCs w:val="20"/>
              </w:rPr>
            </w:pPr>
            <w:r w:rsidRPr="00990872">
              <w:rPr>
                <w:sz w:val="20"/>
                <w:szCs w:val="20"/>
              </w:rPr>
              <w:t>19 183</w:t>
            </w:r>
          </w:p>
        </w:tc>
        <w:tc>
          <w:tcPr>
            <w:tcW w:w="1649" w:type="dxa"/>
            <w:tcBorders>
              <w:top w:val="nil"/>
              <w:left w:val="nil"/>
              <w:bottom w:val="single" w:sz="4" w:space="0" w:color="auto"/>
              <w:right w:val="single" w:sz="4" w:space="0" w:color="auto"/>
            </w:tcBorders>
            <w:noWrap/>
            <w:vAlign w:val="bottom"/>
          </w:tcPr>
          <w:p w14:paraId="7FAC98C4"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09C10767" w14:textId="77777777" w:rsidTr="00CB02CB">
        <w:trPr>
          <w:trHeight w:val="255"/>
        </w:trPr>
        <w:tc>
          <w:tcPr>
            <w:tcW w:w="7070" w:type="dxa"/>
            <w:tcBorders>
              <w:top w:val="nil"/>
              <w:left w:val="single" w:sz="4" w:space="0" w:color="auto"/>
              <w:bottom w:val="single" w:sz="4" w:space="0" w:color="auto"/>
              <w:right w:val="single" w:sz="4" w:space="0" w:color="auto"/>
            </w:tcBorders>
            <w:vAlign w:val="center"/>
          </w:tcPr>
          <w:p w14:paraId="585BAB40" w14:textId="77777777" w:rsidR="00D554AB" w:rsidRPr="007B7470" w:rsidRDefault="00D554AB" w:rsidP="00CB02CB">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FC589B8" w14:textId="77777777" w:rsidR="00D554AB" w:rsidRPr="00990872" w:rsidRDefault="00D554AB" w:rsidP="00CB02C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68413F05" w14:textId="77777777" w:rsidR="00D554AB" w:rsidRPr="00990872" w:rsidRDefault="00D554AB" w:rsidP="00CB02C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A1B813A" w14:textId="77777777" w:rsidR="00D554AB" w:rsidRPr="00990872" w:rsidRDefault="00D554AB" w:rsidP="00CB02C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C3962D0" w14:textId="77777777" w:rsidR="00D554AB" w:rsidRPr="00990872" w:rsidRDefault="00D554AB" w:rsidP="00CB02C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4090B01C"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r>
      <w:tr w:rsidR="00D554AB" w:rsidRPr="007B7470" w14:paraId="425E32B5" w14:textId="77777777" w:rsidTr="00CB02CB">
        <w:trPr>
          <w:trHeight w:val="255"/>
        </w:trPr>
        <w:tc>
          <w:tcPr>
            <w:tcW w:w="7070" w:type="dxa"/>
            <w:tcBorders>
              <w:top w:val="nil"/>
              <w:left w:val="single" w:sz="4" w:space="0" w:color="auto"/>
              <w:bottom w:val="single" w:sz="4" w:space="0" w:color="auto"/>
              <w:right w:val="single" w:sz="4" w:space="0" w:color="auto"/>
            </w:tcBorders>
          </w:tcPr>
          <w:p w14:paraId="4D45BD1B" w14:textId="77777777" w:rsidR="00D554AB" w:rsidRPr="007B7470" w:rsidRDefault="00D554AB" w:rsidP="00CB02CB">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0774819D" w14:textId="77777777" w:rsidR="00D554AB" w:rsidRPr="00990872" w:rsidRDefault="00D554AB" w:rsidP="00CB02C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14:paraId="1B9D1E7B" w14:textId="77777777" w:rsidR="00D554AB" w:rsidRPr="00990872" w:rsidRDefault="00D554AB" w:rsidP="00CB02C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75A7223B" w14:textId="77777777" w:rsidR="00D554AB" w:rsidRPr="00990872" w:rsidRDefault="00D554AB" w:rsidP="00CB02C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7D93190" w14:textId="77777777" w:rsidR="00D554AB" w:rsidRPr="00990872" w:rsidRDefault="00D554AB" w:rsidP="00CB02CB">
            <w:pPr>
              <w:spacing w:after="0" w:line="240" w:lineRule="auto"/>
              <w:jc w:val="center"/>
              <w:rPr>
                <w:rFonts w:ascii="Times New Roman" w:eastAsia="Times New Roman" w:hAnsi="Times New Roman" w:cs="Times New Roman"/>
                <w:b/>
                <w:bCs/>
                <w:sz w:val="24"/>
                <w:szCs w:val="24"/>
                <w:lang w:eastAsia="sk-SK"/>
              </w:rPr>
            </w:pPr>
            <w:r w:rsidRPr="00986237">
              <w:rPr>
                <w:rFonts w:ascii="Times New Roman" w:eastAsia="Times New Roman" w:hAnsi="Times New Roman" w:cs="Times New Roman"/>
                <w:b/>
                <w:bCs/>
                <w:sz w:val="20"/>
                <w:szCs w:val="24"/>
                <w:lang w:eastAsia="sk-SK"/>
              </w:rPr>
              <w:t>0</w:t>
            </w:r>
          </w:p>
        </w:tc>
        <w:tc>
          <w:tcPr>
            <w:tcW w:w="1649" w:type="dxa"/>
            <w:tcBorders>
              <w:top w:val="nil"/>
              <w:left w:val="nil"/>
              <w:bottom w:val="single" w:sz="4" w:space="0" w:color="auto"/>
              <w:right w:val="single" w:sz="4" w:space="0" w:color="auto"/>
            </w:tcBorders>
            <w:noWrap/>
            <w:vAlign w:val="bottom"/>
          </w:tcPr>
          <w:p w14:paraId="524F2C2A"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4CC35863" w14:textId="77777777" w:rsidTr="00CB02CB">
        <w:trPr>
          <w:trHeight w:val="255"/>
        </w:trPr>
        <w:tc>
          <w:tcPr>
            <w:tcW w:w="7070" w:type="dxa"/>
            <w:tcBorders>
              <w:top w:val="nil"/>
              <w:left w:val="single" w:sz="4" w:space="0" w:color="auto"/>
              <w:bottom w:val="single" w:sz="4" w:space="0" w:color="auto"/>
              <w:right w:val="single" w:sz="4" w:space="0" w:color="auto"/>
            </w:tcBorders>
          </w:tcPr>
          <w:p w14:paraId="32CC0F5D" w14:textId="77777777" w:rsidR="00D554AB" w:rsidRPr="007B7470" w:rsidRDefault="00D554AB" w:rsidP="00CB02CB">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597632CF" w14:textId="77777777" w:rsidR="00D554AB" w:rsidRPr="00990872" w:rsidRDefault="00D554AB" w:rsidP="00CB02C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268808BE" w14:textId="77777777" w:rsidR="00D554AB" w:rsidRPr="00990872" w:rsidRDefault="00D554AB" w:rsidP="00CB02C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BC416D2" w14:textId="77777777" w:rsidR="00D554AB" w:rsidRPr="00990872" w:rsidRDefault="00D554AB" w:rsidP="00CB02C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CAC602A" w14:textId="77777777" w:rsidR="00D554AB" w:rsidRPr="00990872" w:rsidRDefault="00D554AB" w:rsidP="00CB02C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3BF1F7FC"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015DD1E6" w14:textId="77777777" w:rsidTr="00CB02CB">
        <w:trPr>
          <w:trHeight w:val="255"/>
        </w:trPr>
        <w:tc>
          <w:tcPr>
            <w:tcW w:w="7070" w:type="dxa"/>
            <w:tcBorders>
              <w:top w:val="nil"/>
              <w:left w:val="single" w:sz="4" w:space="0" w:color="auto"/>
              <w:bottom w:val="single" w:sz="4" w:space="0" w:color="auto"/>
              <w:right w:val="single" w:sz="4" w:space="0" w:color="auto"/>
            </w:tcBorders>
          </w:tcPr>
          <w:p w14:paraId="7D229FA2" w14:textId="77777777" w:rsidR="00D554AB" w:rsidRPr="007B7470" w:rsidRDefault="00D554AB" w:rsidP="00CB02CB">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453099B" w14:textId="77777777" w:rsidR="00D554AB" w:rsidRPr="00990872" w:rsidRDefault="00D554AB" w:rsidP="00CB02C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0A44D9B" w14:textId="77777777" w:rsidR="00D554AB" w:rsidRPr="00990872" w:rsidRDefault="00D554AB" w:rsidP="00CB02C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A422C64" w14:textId="77777777" w:rsidR="00D554AB" w:rsidRPr="00990872" w:rsidRDefault="00D554AB" w:rsidP="00CB02C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7ADE68D" w14:textId="77777777" w:rsidR="00D554AB" w:rsidRPr="00990872" w:rsidRDefault="00D554AB" w:rsidP="00CB02C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35726A1E"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2F34B82D" w14:textId="77777777" w:rsidTr="00CB02CB">
        <w:trPr>
          <w:trHeight w:val="255"/>
        </w:trPr>
        <w:tc>
          <w:tcPr>
            <w:tcW w:w="7070" w:type="dxa"/>
            <w:tcBorders>
              <w:top w:val="nil"/>
              <w:left w:val="single" w:sz="4" w:space="0" w:color="auto"/>
              <w:bottom w:val="single" w:sz="4" w:space="0" w:color="auto"/>
              <w:right w:val="single" w:sz="4" w:space="0" w:color="auto"/>
            </w:tcBorders>
          </w:tcPr>
          <w:p w14:paraId="074A2599" w14:textId="77777777" w:rsidR="00D554AB" w:rsidRPr="007B7470" w:rsidRDefault="00D554AB" w:rsidP="00CB02CB">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4291052C" w14:textId="77777777" w:rsidR="00D554AB" w:rsidRPr="00990872" w:rsidRDefault="00D554AB" w:rsidP="00CB02CB">
            <w:pPr>
              <w:spacing w:after="0" w:line="240" w:lineRule="auto"/>
              <w:jc w:val="center"/>
              <w:rPr>
                <w:rFonts w:ascii="Times New Roman" w:eastAsia="Times New Roman" w:hAnsi="Times New Roman" w:cs="Times New Roman"/>
                <w:b/>
                <w:bCs/>
                <w:sz w:val="20"/>
                <w:szCs w:val="20"/>
                <w:lang w:eastAsia="sk-SK"/>
              </w:rPr>
            </w:pPr>
            <w:r w:rsidRPr="00990872">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50803CDE" w14:textId="77777777" w:rsidR="00D554AB" w:rsidRPr="00990872" w:rsidRDefault="00D554AB" w:rsidP="00CB02CB">
            <w:pPr>
              <w:spacing w:after="0" w:line="240" w:lineRule="auto"/>
              <w:jc w:val="center"/>
              <w:rPr>
                <w:rFonts w:ascii="Times New Roman" w:eastAsia="Times New Roman" w:hAnsi="Times New Roman" w:cs="Times New Roman"/>
                <w:b/>
                <w:bCs/>
                <w:sz w:val="20"/>
                <w:szCs w:val="20"/>
                <w:lang w:eastAsia="sk-SK"/>
              </w:rPr>
            </w:pPr>
            <w:r w:rsidRPr="00990872">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62ABE491" w14:textId="77777777" w:rsidR="00D554AB" w:rsidRPr="00990872" w:rsidRDefault="00D554AB" w:rsidP="00CB02CB">
            <w:pPr>
              <w:spacing w:after="0" w:line="240" w:lineRule="auto"/>
              <w:jc w:val="center"/>
              <w:rPr>
                <w:rFonts w:ascii="Times New Roman" w:eastAsia="Times New Roman" w:hAnsi="Times New Roman" w:cs="Times New Roman"/>
                <w:b/>
                <w:bCs/>
                <w:sz w:val="20"/>
                <w:szCs w:val="20"/>
                <w:lang w:eastAsia="sk-SK"/>
              </w:rPr>
            </w:pPr>
            <w:r w:rsidRPr="00990872">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776C794C" w14:textId="77777777" w:rsidR="00D554AB" w:rsidRPr="00990872" w:rsidRDefault="00D554AB" w:rsidP="00CB02CB">
            <w:pPr>
              <w:spacing w:after="0" w:line="240" w:lineRule="auto"/>
              <w:jc w:val="center"/>
              <w:rPr>
                <w:rFonts w:ascii="Times New Roman" w:eastAsia="Times New Roman" w:hAnsi="Times New Roman" w:cs="Times New Roman"/>
                <w:b/>
                <w:bCs/>
                <w:sz w:val="24"/>
                <w:szCs w:val="24"/>
                <w:lang w:eastAsia="sk-SK"/>
              </w:rPr>
            </w:pPr>
            <w:r w:rsidRPr="00990872">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14:paraId="177644A9"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05806B5D" w14:textId="77777777" w:rsidTr="00CB02C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8A5358" w14:textId="77777777" w:rsidR="00D554AB" w:rsidRPr="007B7470" w:rsidRDefault="00D554AB" w:rsidP="00CB02CB">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19AC04E7" w14:textId="77777777" w:rsidR="00D554AB" w:rsidRPr="00990872" w:rsidRDefault="00D554AB" w:rsidP="00CB02CB">
            <w:pPr>
              <w:pStyle w:val="Default"/>
              <w:jc w:val="center"/>
              <w:rPr>
                <w:sz w:val="20"/>
                <w:szCs w:val="20"/>
              </w:rPr>
            </w:pPr>
            <w:r>
              <w:rPr>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7744D2A7" w14:textId="77777777" w:rsidR="00D554AB" w:rsidRPr="00990872" w:rsidRDefault="00D554AB" w:rsidP="00CB02CB">
            <w:pPr>
              <w:pStyle w:val="Default"/>
              <w:jc w:val="center"/>
              <w:rPr>
                <w:sz w:val="20"/>
                <w:szCs w:val="20"/>
              </w:rPr>
            </w:pPr>
            <w:r w:rsidRPr="00990872">
              <w:rPr>
                <w:b/>
                <w:bCs/>
                <w:sz w:val="20"/>
                <w:szCs w:val="20"/>
              </w:rPr>
              <w:t>149 977</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6524E79" w14:textId="77777777" w:rsidR="00D554AB" w:rsidRPr="00990872" w:rsidRDefault="00D554AB" w:rsidP="00CB02CB">
            <w:pPr>
              <w:pStyle w:val="Default"/>
              <w:jc w:val="center"/>
              <w:rPr>
                <w:sz w:val="20"/>
                <w:szCs w:val="20"/>
              </w:rPr>
            </w:pPr>
            <w:r w:rsidRPr="00990872">
              <w:rPr>
                <w:b/>
                <w:bCs/>
                <w:sz w:val="20"/>
                <w:szCs w:val="20"/>
              </w:rPr>
              <w:t>150 802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E9950E6" w14:textId="77777777" w:rsidR="00D554AB" w:rsidRPr="00990872" w:rsidRDefault="00D554AB" w:rsidP="00CB02CB">
            <w:pPr>
              <w:pStyle w:val="Default"/>
              <w:jc w:val="center"/>
              <w:rPr>
                <w:sz w:val="20"/>
                <w:szCs w:val="20"/>
              </w:rPr>
            </w:pPr>
            <w:r w:rsidRPr="00990872">
              <w:rPr>
                <w:b/>
                <w:bCs/>
                <w:sz w:val="20"/>
                <w:szCs w:val="20"/>
              </w:rPr>
              <w:t>150 802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C15256"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2AA37227" w14:textId="77777777" w:rsidR="00D554AB" w:rsidRPr="007B7470" w:rsidRDefault="00D554AB" w:rsidP="00D554A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14:paraId="5B5F11D1" w14:textId="77777777" w:rsidR="00D554AB" w:rsidRPr="007B7470" w:rsidRDefault="00D554AB" w:rsidP="00D554AB">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93B5BFC" w14:textId="77777777" w:rsidR="00D554AB" w:rsidRPr="007B7470" w:rsidRDefault="00D554AB" w:rsidP="00D554AB">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2544C351" w14:textId="4F489302" w:rsidR="00D554AB" w:rsidRPr="007B7470" w:rsidRDefault="00D554AB" w:rsidP="00D554A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w:t>
      </w:r>
      <w:r w:rsidR="00FD5086">
        <w:rPr>
          <w:rFonts w:ascii="Times New Roman" w:eastAsia="Times New Roman" w:hAnsi="Times New Roman" w:cs="Times New Roman"/>
          <w:bCs/>
          <w:sz w:val="24"/>
          <w:szCs w:val="20"/>
          <w:lang w:eastAsia="sk-SK"/>
        </w:rPr>
        <w:t>Platné pre Národný bezpečnostný úrad.</w:t>
      </w:r>
    </w:p>
    <w:p w14:paraId="5A05BC10" w14:textId="77777777" w:rsidR="00D554AB" w:rsidRPr="007B7470" w:rsidRDefault="00D554AB" w:rsidP="00D554A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90C9026" w14:textId="63D1BC76" w:rsidR="00F60E38" w:rsidRDefault="00F60E38">
      <w:pP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br w:type="page"/>
      </w:r>
    </w:p>
    <w:p w14:paraId="41D92B7C" w14:textId="77777777" w:rsidR="00D554AB" w:rsidRPr="007B7470" w:rsidRDefault="00D554AB" w:rsidP="00D554A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554AB" w:rsidRPr="007B7470" w14:paraId="15013A4A" w14:textId="77777777" w:rsidTr="00CB02C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3661A2D"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F06F9ED"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9AEE12D"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D554AB" w:rsidRPr="007B7470" w14:paraId="0E9C29B1" w14:textId="77777777" w:rsidTr="00CB02C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B25F289" w14:textId="77777777" w:rsidR="00D554AB" w:rsidRPr="007B7470" w:rsidRDefault="00D554AB" w:rsidP="00CB02CB">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29D660D1"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204CECE6"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4228E528"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35EC12D0"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4"/>
                <w:szCs w:val="24"/>
                <w:lang w:eastAsia="sk-SK"/>
              </w:rPr>
            </w:pPr>
            <w:r w:rsidRPr="005F460D">
              <w:rPr>
                <w:rFonts w:ascii="Times New Roman" w:eastAsia="Times New Roman" w:hAnsi="Times New Roman" w:cs="Times New Roman"/>
                <w:b/>
                <w:bCs/>
                <w:color w:val="000000" w:themeColor="text1"/>
                <w:sz w:val="20"/>
                <w:szCs w:val="24"/>
                <w:lang w:eastAsia="sk-SK"/>
              </w:rPr>
              <w:t>202</w:t>
            </w:r>
            <w:r>
              <w:rPr>
                <w:rFonts w:ascii="Times New Roman" w:eastAsia="Times New Roman" w:hAnsi="Times New Roman" w:cs="Times New Roman"/>
                <w:b/>
                <w:bCs/>
                <w:color w:val="000000" w:themeColor="text1"/>
                <w:sz w:val="20"/>
                <w:szCs w:val="24"/>
                <w:lang w:eastAsia="sk-SK"/>
              </w:rPr>
              <w:t>7</w:t>
            </w:r>
          </w:p>
        </w:tc>
        <w:tc>
          <w:tcPr>
            <w:tcW w:w="1649" w:type="dxa"/>
            <w:vMerge/>
            <w:tcBorders>
              <w:top w:val="single" w:sz="4" w:space="0" w:color="auto"/>
              <w:left w:val="single" w:sz="4" w:space="0" w:color="auto"/>
              <w:bottom w:val="single" w:sz="4" w:space="0" w:color="auto"/>
              <w:right w:val="single" w:sz="4" w:space="0" w:color="auto"/>
            </w:tcBorders>
            <w:vAlign w:val="center"/>
          </w:tcPr>
          <w:p w14:paraId="3C9A82E4" w14:textId="77777777" w:rsidR="00D554AB" w:rsidRPr="007B7470" w:rsidRDefault="00D554AB" w:rsidP="00CB02CB">
            <w:pPr>
              <w:spacing w:after="0" w:line="240" w:lineRule="auto"/>
              <w:rPr>
                <w:rFonts w:ascii="Times New Roman" w:eastAsia="Times New Roman" w:hAnsi="Times New Roman" w:cs="Times New Roman"/>
                <w:b/>
                <w:bCs/>
                <w:color w:val="000000" w:themeColor="text1"/>
                <w:sz w:val="24"/>
                <w:szCs w:val="24"/>
                <w:lang w:eastAsia="sk-SK"/>
              </w:rPr>
            </w:pPr>
          </w:p>
        </w:tc>
      </w:tr>
      <w:tr w:rsidR="00D554AB" w:rsidRPr="007B7470" w14:paraId="6372F40A" w14:textId="77777777" w:rsidTr="00CB02CB">
        <w:trPr>
          <w:trHeight w:val="255"/>
        </w:trPr>
        <w:tc>
          <w:tcPr>
            <w:tcW w:w="7070" w:type="dxa"/>
            <w:tcBorders>
              <w:top w:val="nil"/>
              <w:left w:val="single" w:sz="4" w:space="0" w:color="auto"/>
              <w:bottom w:val="single" w:sz="4" w:space="0" w:color="auto"/>
              <w:right w:val="single" w:sz="4" w:space="0" w:color="auto"/>
            </w:tcBorders>
          </w:tcPr>
          <w:p w14:paraId="17F81C02" w14:textId="77777777" w:rsidR="00D554AB" w:rsidRPr="007B7470" w:rsidRDefault="00D554AB" w:rsidP="00CB02C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24572EC0"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FA9542A"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E0EB5FC"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5685F82"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024EBB2"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p>
        </w:tc>
      </w:tr>
      <w:tr w:rsidR="00D554AB" w:rsidRPr="007B7470" w14:paraId="4290DB25" w14:textId="77777777" w:rsidTr="00CB02CB">
        <w:trPr>
          <w:trHeight w:val="255"/>
        </w:trPr>
        <w:tc>
          <w:tcPr>
            <w:tcW w:w="7070" w:type="dxa"/>
            <w:tcBorders>
              <w:top w:val="nil"/>
              <w:left w:val="single" w:sz="4" w:space="0" w:color="auto"/>
              <w:bottom w:val="single" w:sz="4" w:space="0" w:color="auto"/>
              <w:right w:val="single" w:sz="4" w:space="0" w:color="auto"/>
            </w:tcBorders>
          </w:tcPr>
          <w:p w14:paraId="4C08FE72" w14:textId="77777777" w:rsidR="00D554AB" w:rsidRPr="007B7470" w:rsidRDefault="00D554AB" w:rsidP="00CB02C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10163AF3" w14:textId="77777777" w:rsidR="00D554AB" w:rsidRPr="006C5673"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FE04675" w14:textId="77777777" w:rsidR="00D554AB" w:rsidRPr="006C5673"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9FBC99A" w14:textId="77777777" w:rsidR="00D554AB" w:rsidRPr="006C5673"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B71DD47" w14:textId="77777777" w:rsidR="00D554AB" w:rsidRPr="006C5673" w:rsidRDefault="00D554AB" w:rsidP="00CB02C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0A42DFD0"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54AB" w:rsidRPr="007B7470" w14:paraId="2AF1A94D" w14:textId="77777777" w:rsidTr="00CB02CB">
        <w:trPr>
          <w:trHeight w:val="255"/>
        </w:trPr>
        <w:tc>
          <w:tcPr>
            <w:tcW w:w="7070" w:type="dxa"/>
            <w:tcBorders>
              <w:top w:val="nil"/>
              <w:left w:val="single" w:sz="4" w:space="0" w:color="auto"/>
              <w:bottom w:val="single" w:sz="4" w:space="0" w:color="auto"/>
              <w:right w:val="single" w:sz="4" w:space="0" w:color="auto"/>
            </w:tcBorders>
          </w:tcPr>
          <w:p w14:paraId="4A33F734" w14:textId="77777777" w:rsidR="00D554AB" w:rsidRPr="007B7470" w:rsidRDefault="00D554AB" w:rsidP="00CB02C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469F5AC9"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hAnsi="Times New Roman" w:cs="Times New Roman"/>
                <w:sz w:val="20"/>
                <w:szCs w:val="20"/>
              </w:rPr>
              <w:t>0</w:t>
            </w:r>
          </w:p>
        </w:tc>
        <w:tc>
          <w:tcPr>
            <w:tcW w:w="1650" w:type="dxa"/>
            <w:tcBorders>
              <w:top w:val="nil"/>
              <w:left w:val="nil"/>
              <w:bottom w:val="single" w:sz="4" w:space="0" w:color="auto"/>
              <w:right w:val="single" w:sz="4" w:space="0" w:color="auto"/>
            </w:tcBorders>
          </w:tcPr>
          <w:p w14:paraId="6A6AA324"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14:paraId="180178EB"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14:paraId="0B8884E0"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4"/>
                <w:szCs w:val="24"/>
                <w:lang w:eastAsia="sk-SK"/>
              </w:rPr>
            </w:pPr>
            <w:r>
              <w:rPr>
                <w:rFonts w:ascii="Times New Roman" w:hAnsi="Times New Roman" w:cs="Times New Roman"/>
                <w:sz w:val="20"/>
                <w:szCs w:val="20"/>
              </w:rPr>
              <w:t>0</w:t>
            </w:r>
          </w:p>
        </w:tc>
        <w:tc>
          <w:tcPr>
            <w:tcW w:w="1649" w:type="dxa"/>
            <w:tcBorders>
              <w:top w:val="nil"/>
              <w:left w:val="nil"/>
              <w:bottom w:val="single" w:sz="4" w:space="0" w:color="auto"/>
              <w:right w:val="single" w:sz="4" w:space="0" w:color="auto"/>
            </w:tcBorders>
            <w:noWrap/>
            <w:vAlign w:val="bottom"/>
          </w:tcPr>
          <w:p w14:paraId="0F5E2D04"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54AB" w:rsidRPr="007B7470" w14:paraId="38B8A178" w14:textId="77777777" w:rsidTr="00CB02CB">
        <w:trPr>
          <w:trHeight w:val="255"/>
        </w:trPr>
        <w:tc>
          <w:tcPr>
            <w:tcW w:w="7070" w:type="dxa"/>
            <w:tcBorders>
              <w:top w:val="nil"/>
              <w:left w:val="single" w:sz="4" w:space="0" w:color="auto"/>
              <w:bottom w:val="single" w:sz="4" w:space="0" w:color="auto"/>
              <w:right w:val="single" w:sz="4" w:space="0" w:color="auto"/>
            </w:tcBorders>
          </w:tcPr>
          <w:p w14:paraId="13F8C751" w14:textId="77777777" w:rsidR="00D554AB" w:rsidRPr="007B7470" w:rsidRDefault="00D554AB" w:rsidP="00CB02C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4A0327D2"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hAnsi="Times New Roman" w:cs="Times New Roman"/>
                <w:sz w:val="20"/>
                <w:szCs w:val="20"/>
              </w:rPr>
              <w:t>0</w:t>
            </w:r>
          </w:p>
        </w:tc>
        <w:tc>
          <w:tcPr>
            <w:tcW w:w="1650" w:type="dxa"/>
            <w:tcBorders>
              <w:top w:val="nil"/>
              <w:left w:val="nil"/>
              <w:bottom w:val="single" w:sz="4" w:space="0" w:color="auto"/>
              <w:right w:val="single" w:sz="4" w:space="0" w:color="auto"/>
            </w:tcBorders>
          </w:tcPr>
          <w:p w14:paraId="761B825F"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14:paraId="1865639C"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14:paraId="04AB1D22"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4"/>
                <w:szCs w:val="24"/>
                <w:lang w:eastAsia="sk-SK"/>
              </w:rPr>
            </w:pPr>
            <w:r>
              <w:rPr>
                <w:rFonts w:ascii="Times New Roman" w:hAnsi="Times New Roman" w:cs="Times New Roman"/>
                <w:sz w:val="20"/>
                <w:szCs w:val="20"/>
              </w:rPr>
              <w:t>0</w:t>
            </w:r>
          </w:p>
        </w:tc>
        <w:tc>
          <w:tcPr>
            <w:tcW w:w="1649" w:type="dxa"/>
            <w:tcBorders>
              <w:top w:val="nil"/>
              <w:left w:val="nil"/>
              <w:bottom w:val="single" w:sz="4" w:space="0" w:color="auto"/>
              <w:right w:val="single" w:sz="4" w:space="0" w:color="auto"/>
            </w:tcBorders>
            <w:noWrap/>
            <w:vAlign w:val="bottom"/>
          </w:tcPr>
          <w:p w14:paraId="33896370"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54AB" w:rsidRPr="007B7470" w14:paraId="760BA8BB" w14:textId="77777777" w:rsidTr="00CB02CB">
        <w:trPr>
          <w:trHeight w:val="255"/>
        </w:trPr>
        <w:tc>
          <w:tcPr>
            <w:tcW w:w="7070" w:type="dxa"/>
            <w:tcBorders>
              <w:top w:val="nil"/>
              <w:left w:val="single" w:sz="4" w:space="0" w:color="auto"/>
              <w:bottom w:val="single" w:sz="4" w:space="0" w:color="auto"/>
              <w:right w:val="single" w:sz="4" w:space="0" w:color="auto"/>
            </w:tcBorders>
          </w:tcPr>
          <w:p w14:paraId="1E175402" w14:textId="77777777" w:rsidR="00D554AB" w:rsidRPr="007B7470" w:rsidRDefault="00D554AB" w:rsidP="00CB02C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7FFE9B47"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597E8BA"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FC8242E"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14:paraId="0C20AED0" w14:textId="77777777" w:rsidR="00D554AB" w:rsidRPr="00E967F5" w:rsidRDefault="00D554AB" w:rsidP="00CB02CB">
            <w:pPr>
              <w:spacing w:after="0" w:line="240" w:lineRule="auto"/>
              <w:jc w:val="center"/>
              <w:rPr>
                <w:rFonts w:ascii="Times New Roman" w:eastAsia="Times New Roman" w:hAnsi="Times New Roman" w:cs="Times New Roman"/>
                <w:color w:val="000000" w:themeColor="text1"/>
                <w:sz w:val="24"/>
                <w:szCs w:val="24"/>
                <w:lang w:eastAsia="sk-SK"/>
              </w:rPr>
            </w:pPr>
            <w:r>
              <w:rPr>
                <w:rFonts w:ascii="Times New Roman" w:hAnsi="Times New Roman" w:cs="Times New Roman"/>
                <w:sz w:val="20"/>
                <w:szCs w:val="20"/>
              </w:rPr>
              <w:t>0</w:t>
            </w:r>
          </w:p>
        </w:tc>
        <w:tc>
          <w:tcPr>
            <w:tcW w:w="1649" w:type="dxa"/>
            <w:tcBorders>
              <w:top w:val="nil"/>
              <w:left w:val="nil"/>
              <w:bottom w:val="single" w:sz="4" w:space="0" w:color="auto"/>
              <w:right w:val="single" w:sz="4" w:space="0" w:color="auto"/>
            </w:tcBorders>
            <w:noWrap/>
            <w:vAlign w:val="bottom"/>
          </w:tcPr>
          <w:p w14:paraId="5CDF1A95"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54AB" w:rsidRPr="007B7470" w14:paraId="69D21FBB" w14:textId="77777777" w:rsidTr="00CB02CB">
        <w:trPr>
          <w:trHeight w:val="255"/>
        </w:trPr>
        <w:tc>
          <w:tcPr>
            <w:tcW w:w="7070" w:type="dxa"/>
            <w:tcBorders>
              <w:top w:val="nil"/>
              <w:left w:val="single" w:sz="4" w:space="0" w:color="auto"/>
              <w:bottom w:val="single" w:sz="4" w:space="0" w:color="auto"/>
              <w:right w:val="single" w:sz="4" w:space="0" w:color="auto"/>
            </w:tcBorders>
          </w:tcPr>
          <w:p w14:paraId="38550FA3" w14:textId="77777777" w:rsidR="00D554AB" w:rsidRPr="007B7470" w:rsidRDefault="00D554AB" w:rsidP="00CB02C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245A3E0" w14:textId="77777777" w:rsidR="00D554AB" w:rsidRPr="00E967F5" w:rsidRDefault="00D554AB" w:rsidP="00CB02CB">
            <w:pPr>
              <w:pStyle w:val="Default"/>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34ACA30A" w14:textId="77777777" w:rsidR="00D554AB" w:rsidRPr="00E967F5" w:rsidRDefault="00D554AB" w:rsidP="00CB02CB">
            <w:pPr>
              <w:pStyle w:val="Default"/>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5DF7883A" w14:textId="77777777" w:rsidR="00D554AB" w:rsidRPr="00E967F5" w:rsidRDefault="00D554AB" w:rsidP="00CB02CB">
            <w:pPr>
              <w:pStyle w:val="Default"/>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7C3211DA" w14:textId="77777777" w:rsidR="00D554AB" w:rsidRPr="00E967F5" w:rsidRDefault="00D554AB" w:rsidP="00CB02CB">
            <w:pPr>
              <w:pStyle w:val="Default"/>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27E3D0E8"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54AB" w:rsidRPr="007B7470" w14:paraId="1F27D5B7" w14:textId="77777777" w:rsidTr="00CB02CB">
        <w:trPr>
          <w:trHeight w:val="255"/>
        </w:trPr>
        <w:tc>
          <w:tcPr>
            <w:tcW w:w="7070" w:type="dxa"/>
            <w:tcBorders>
              <w:top w:val="nil"/>
              <w:left w:val="single" w:sz="4" w:space="0" w:color="auto"/>
              <w:bottom w:val="single" w:sz="4" w:space="0" w:color="auto"/>
              <w:right w:val="single" w:sz="4" w:space="0" w:color="auto"/>
            </w:tcBorders>
            <w:vAlign w:val="center"/>
          </w:tcPr>
          <w:p w14:paraId="3D1845C4" w14:textId="77777777" w:rsidR="00D554AB" w:rsidRPr="007B7470" w:rsidRDefault="00D554AB" w:rsidP="00CB02C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7393B34"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9A13347"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838E828"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A2F3DAB"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215D9B9F"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p>
        </w:tc>
      </w:tr>
      <w:tr w:rsidR="00D554AB" w:rsidRPr="007B7470" w14:paraId="0963D8F4" w14:textId="77777777" w:rsidTr="00CB02CB">
        <w:trPr>
          <w:trHeight w:val="255"/>
        </w:trPr>
        <w:tc>
          <w:tcPr>
            <w:tcW w:w="7070" w:type="dxa"/>
            <w:tcBorders>
              <w:top w:val="nil"/>
              <w:left w:val="single" w:sz="4" w:space="0" w:color="auto"/>
              <w:bottom w:val="single" w:sz="4" w:space="0" w:color="auto"/>
              <w:right w:val="single" w:sz="4" w:space="0" w:color="auto"/>
            </w:tcBorders>
          </w:tcPr>
          <w:p w14:paraId="563E94BC" w14:textId="77777777" w:rsidR="00D554AB" w:rsidRPr="007B7470" w:rsidRDefault="00D554AB" w:rsidP="00CB02C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39DCE689"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A84E15F"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06C6DDEB"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163C4323" w14:textId="77777777" w:rsidR="00D554AB" w:rsidRPr="007B7470" w:rsidRDefault="00D554AB" w:rsidP="00CB02CB">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14:paraId="20E84320"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54AB" w:rsidRPr="007B7470" w14:paraId="49866E9E" w14:textId="77777777" w:rsidTr="00CB02CB">
        <w:trPr>
          <w:trHeight w:val="255"/>
        </w:trPr>
        <w:tc>
          <w:tcPr>
            <w:tcW w:w="7070" w:type="dxa"/>
            <w:tcBorders>
              <w:top w:val="nil"/>
              <w:left w:val="single" w:sz="4" w:space="0" w:color="auto"/>
              <w:bottom w:val="single" w:sz="4" w:space="0" w:color="auto"/>
              <w:right w:val="single" w:sz="4" w:space="0" w:color="auto"/>
            </w:tcBorders>
          </w:tcPr>
          <w:p w14:paraId="5686B034" w14:textId="77777777" w:rsidR="00D554AB" w:rsidRPr="007B7470" w:rsidRDefault="00D554AB" w:rsidP="00CB02C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8229123"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126A1D0"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21A87F3"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EDE3185"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D1E96A7"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54AB" w:rsidRPr="007B7470" w14:paraId="6FC0170C" w14:textId="77777777" w:rsidTr="00CB02CB">
        <w:trPr>
          <w:trHeight w:val="255"/>
        </w:trPr>
        <w:tc>
          <w:tcPr>
            <w:tcW w:w="7070" w:type="dxa"/>
            <w:tcBorders>
              <w:top w:val="nil"/>
              <w:left w:val="single" w:sz="4" w:space="0" w:color="auto"/>
              <w:bottom w:val="single" w:sz="4" w:space="0" w:color="auto"/>
              <w:right w:val="single" w:sz="4" w:space="0" w:color="auto"/>
            </w:tcBorders>
          </w:tcPr>
          <w:p w14:paraId="454E773E" w14:textId="77777777" w:rsidR="00D554AB" w:rsidRPr="007B7470" w:rsidRDefault="00D554AB" w:rsidP="00CB02C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E41692D"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E6CD384"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FFB45A6"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5ABAADA" w14:textId="77777777" w:rsidR="00D554AB" w:rsidRPr="007B7470" w:rsidRDefault="00D554AB" w:rsidP="00CB02C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5C633DB"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54AB" w:rsidRPr="007B7470" w14:paraId="204E7FC0" w14:textId="77777777" w:rsidTr="00CB02C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4113EE" w14:textId="77777777" w:rsidR="00D554AB" w:rsidRPr="007B7470" w:rsidRDefault="00D554AB" w:rsidP="00CB02C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56A672F1" w14:textId="77777777" w:rsidR="00D554AB" w:rsidRPr="006C5673"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hAnsi="Times New Roman" w:cs="Times New Roman"/>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4A946D74" w14:textId="77777777" w:rsidR="00D554AB" w:rsidRPr="006C5673"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hAnsi="Times New Roman" w:cs="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B37D62E" w14:textId="77777777" w:rsidR="00D554AB" w:rsidRPr="006C5673" w:rsidRDefault="00D554AB" w:rsidP="00CB02C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hAnsi="Times New Roman" w:cs="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82070C9" w14:textId="77777777" w:rsidR="00D554AB" w:rsidRPr="006C5673" w:rsidRDefault="00D554AB" w:rsidP="00CB02CB">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hAnsi="Times New Roman" w:cs="Times New Roman"/>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F93B333" w14:textId="77777777" w:rsidR="00D554AB" w:rsidRPr="007B7470" w:rsidRDefault="00D554AB" w:rsidP="00CB02C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14:paraId="7E87A284" w14:textId="77777777" w:rsidR="00D554AB" w:rsidRPr="007B7470" w:rsidRDefault="00D554AB" w:rsidP="00D554A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14:paraId="3472A3E1" w14:textId="77777777" w:rsidR="00D554AB" w:rsidRPr="007B7470" w:rsidRDefault="00D554AB" w:rsidP="00D554AB">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D05C761" w14:textId="77777777" w:rsidR="00D554AB" w:rsidRPr="007B7470" w:rsidRDefault="00D554AB" w:rsidP="00D554AB">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51BEA982" w14:textId="77777777" w:rsidR="00D554AB" w:rsidRPr="007B7470" w:rsidRDefault="00D554AB" w:rsidP="00D554A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1A79AED4" w14:textId="63C91888" w:rsidR="00F60E38" w:rsidRDefault="00F60E38">
      <w:pP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br w:type="page"/>
      </w:r>
    </w:p>
    <w:p w14:paraId="349F258C" w14:textId="1A89868F" w:rsidR="00D554AB" w:rsidRPr="007B7470" w:rsidRDefault="00D554AB" w:rsidP="00D554AB">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lastRenderedPageBreak/>
        <w:t xml:space="preserve">             </w:t>
      </w:r>
    </w:p>
    <w:p w14:paraId="58704E04" w14:textId="77777777" w:rsidR="00D554AB" w:rsidRPr="007B7470" w:rsidRDefault="00D554AB" w:rsidP="00D554AB">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D554AB" w:rsidRPr="007B7470" w14:paraId="37A59CDE" w14:textId="77777777" w:rsidTr="00CB02C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6DC758"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79855747"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B72369B"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D554AB" w:rsidRPr="007B7470" w14:paraId="701DAE6F" w14:textId="77777777" w:rsidTr="00CB02C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7FD234"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2DB001C3"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14:paraId="54406CC1"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46991CED"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14:paraId="7AF790C0" w14:textId="77777777" w:rsidR="00D554AB" w:rsidRPr="007B7470" w:rsidRDefault="00D554AB" w:rsidP="00CB02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792218" w14:textId="77777777" w:rsidR="00D554AB" w:rsidRPr="007B7470" w:rsidRDefault="00D554AB" w:rsidP="00CB02CB">
            <w:pPr>
              <w:spacing w:after="0" w:line="240" w:lineRule="auto"/>
              <w:rPr>
                <w:rFonts w:ascii="Times New Roman" w:eastAsia="Times New Roman" w:hAnsi="Times New Roman" w:cs="Times New Roman"/>
                <w:b/>
                <w:bCs/>
                <w:color w:val="FFFFFF"/>
                <w:sz w:val="24"/>
                <w:szCs w:val="24"/>
                <w:lang w:eastAsia="sk-SK"/>
              </w:rPr>
            </w:pPr>
          </w:p>
        </w:tc>
      </w:tr>
      <w:tr w:rsidR="00D554AB" w:rsidRPr="007B7470" w14:paraId="7CADD4CF" w14:textId="77777777" w:rsidTr="00CB02CB">
        <w:trPr>
          <w:trHeight w:val="255"/>
        </w:trPr>
        <w:tc>
          <w:tcPr>
            <w:tcW w:w="6188" w:type="dxa"/>
            <w:tcBorders>
              <w:top w:val="nil"/>
              <w:left w:val="single" w:sz="4" w:space="0" w:color="auto"/>
              <w:bottom w:val="single" w:sz="4" w:space="0" w:color="auto"/>
              <w:right w:val="single" w:sz="4" w:space="0" w:color="auto"/>
            </w:tcBorders>
          </w:tcPr>
          <w:p w14:paraId="3DB9CF9C"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1C5E741B"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r w:rsidRPr="00CE3E90">
              <w:rPr>
                <w:rFonts w:ascii="Times New Roman" w:hAnsi="Times New Roman" w:cs="Times New Roman"/>
                <w:color w:val="000000"/>
                <w:sz w:val="20"/>
                <w:szCs w:val="20"/>
              </w:rPr>
              <w:t xml:space="preserve"> </w:t>
            </w:r>
          </w:p>
        </w:tc>
        <w:tc>
          <w:tcPr>
            <w:tcW w:w="1788" w:type="dxa"/>
            <w:tcBorders>
              <w:top w:val="nil"/>
              <w:left w:val="nil"/>
              <w:bottom w:val="single" w:sz="4" w:space="0" w:color="auto"/>
              <w:right w:val="single" w:sz="4" w:space="0" w:color="auto"/>
            </w:tcBorders>
          </w:tcPr>
          <w:p w14:paraId="6E9900E1"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 xml:space="preserve">+3 </w:t>
            </w:r>
          </w:p>
        </w:tc>
        <w:tc>
          <w:tcPr>
            <w:tcW w:w="1878" w:type="dxa"/>
            <w:gridSpan w:val="2"/>
            <w:tcBorders>
              <w:top w:val="nil"/>
              <w:left w:val="nil"/>
              <w:bottom w:val="single" w:sz="4" w:space="0" w:color="auto"/>
              <w:right w:val="single" w:sz="4" w:space="0" w:color="auto"/>
            </w:tcBorders>
          </w:tcPr>
          <w:p w14:paraId="7EC3A61B"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 xml:space="preserve">+3 </w:t>
            </w:r>
          </w:p>
        </w:tc>
        <w:tc>
          <w:tcPr>
            <w:tcW w:w="1560" w:type="dxa"/>
            <w:tcBorders>
              <w:top w:val="nil"/>
              <w:left w:val="nil"/>
              <w:bottom w:val="single" w:sz="4" w:space="0" w:color="auto"/>
              <w:right w:val="single" w:sz="4" w:space="0" w:color="auto"/>
            </w:tcBorders>
          </w:tcPr>
          <w:p w14:paraId="32C84914"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 xml:space="preserve">+3 </w:t>
            </w:r>
          </w:p>
        </w:tc>
        <w:tc>
          <w:tcPr>
            <w:tcW w:w="1842" w:type="dxa"/>
            <w:gridSpan w:val="2"/>
            <w:tcBorders>
              <w:top w:val="nil"/>
              <w:left w:val="nil"/>
              <w:bottom w:val="single" w:sz="4" w:space="0" w:color="auto"/>
              <w:right w:val="single" w:sz="4" w:space="0" w:color="auto"/>
            </w:tcBorders>
            <w:noWrap/>
            <w:vAlign w:val="bottom"/>
          </w:tcPr>
          <w:p w14:paraId="48A85410"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337DB567" w14:textId="77777777" w:rsidTr="00CB02CB">
        <w:trPr>
          <w:trHeight w:val="255"/>
        </w:trPr>
        <w:tc>
          <w:tcPr>
            <w:tcW w:w="6188" w:type="dxa"/>
            <w:tcBorders>
              <w:top w:val="nil"/>
              <w:left w:val="single" w:sz="4" w:space="0" w:color="auto"/>
              <w:bottom w:val="single" w:sz="4" w:space="0" w:color="auto"/>
              <w:right w:val="single" w:sz="4" w:space="0" w:color="auto"/>
            </w:tcBorders>
          </w:tcPr>
          <w:p w14:paraId="33C9F1BA"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654B2F08"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r w:rsidRPr="00CE3E90">
              <w:rPr>
                <w:rFonts w:ascii="Times New Roman" w:hAnsi="Times New Roman" w:cs="Times New Roman"/>
                <w:color w:val="000000"/>
                <w:sz w:val="20"/>
                <w:szCs w:val="20"/>
              </w:rPr>
              <w:t xml:space="preserve"> </w:t>
            </w:r>
          </w:p>
        </w:tc>
        <w:tc>
          <w:tcPr>
            <w:tcW w:w="1788" w:type="dxa"/>
            <w:tcBorders>
              <w:top w:val="single" w:sz="4" w:space="0" w:color="auto"/>
              <w:left w:val="nil"/>
              <w:bottom w:val="single" w:sz="4" w:space="0" w:color="auto"/>
              <w:right w:val="single" w:sz="4" w:space="0" w:color="auto"/>
            </w:tcBorders>
          </w:tcPr>
          <w:p w14:paraId="1058242B"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 xml:space="preserve">+3 </w:t>
            </w:r>
          </w:p>
        </w:tc>
        <w:tc>
          <w:tcPr>
            <w:tcW w:w="1878" w:type="dxa"/>
            <w:gridSpan w:val="2"/>
            <w:tcBorders>
              <w:top w:val="single" w:sz="4" w:space="0" w:color="auto"/>
              <w:left w:val="nil"/>
              <w:bottom w:val="single" w:sz="4" w:space="0" w:color="auto"/>
              <w:right w:val="single" w:sz="4" w:space="0" w:color="auto"/>
            </w:tcBorders>
          </w:tcPr>
          <w:p w14:paraId="20704C6E"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 xml:space="preserve">+3 </w:t>
            </w:r>
          </w:p>
        </w:tc>
        <w:tc>
          <w:tcPr>
            <w:tcW w:w="1560" w:type="dxa"/>
            <w:tcBorders>
              <w:top w:val="single" w:sz="4" w:space="0" w:color="auto"/>
              <w:left w:val="nil"/>
              <w:bottom w:val="single" w:sz="4" w:space="0" w:color="auto"/>
              <w:right w:val="single" w:sz="4" w:space="0" w:color="auto"/>
            </w:tcBorders>
          </w:tcPr>
          <w:p w14:paraId="0F30E464"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 xml:space="preserve">+3 </w:t>
            </w:r>
          </w:p>
        </w:tc>
        <w:tc>
          <w:tcPr>
            <w:tcW w:w="1842" w:type="dxa"/>
            <w:gridSpan w:val="2"/>
            <w:tcBorders>
              <w:top w:val="nil"/>
              <w:left w:val="nil"/>
              <w:bottom w:val="single" w:sz="4" w:space="0" w:color="auto"/>
              <w:right w:val="single" w:sz="4" w:space="0" w:color="auto"/>
            </w:tcBorders>
            <w:noWrap/>
            <w:vAlign w:val="bottom"/>
          </w:tcPr>
          <w:p w14:paraId="61B68E4B"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r>
      <w:tr w:rsidR="00D554AB" w:rsidRPr="007B7470" w14:paraId="7BC174F3" w14:textId="77777777" w:rsidTr="00CB02CB">
        <w:trPr>
          <w:trHeight w:val="255"/>
        </w:trPr>
        <w:tc>
          <w:tcPr>
            <w:tcW w:w="6188" w:type="dxa"/>
            <w:tcBorders>
              <w:top w:val="nil"/>
              <w:left w:val="single" w:sz="4" w:space="0" w:color="auto"/>
              <w:bottom w:val="single" w:sz="4" w:space="0" w:color="auto"/>
              <w:right w:val="single" w:sz="4" w:space="0" w:color="auto"/>
            </w:tcBorders>
          </w:tcPr>
          <w:p w14:paraId="78A5084E"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6E3C9B02" w14:textId="77777777" w:rsidR="00D554AB" w:rsidRPr="00CE3E9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2613938A" w14:textId="77777777" w:rsidR="00D554AB" w:rsidRPr="00CE3E9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580FD9B1" w14:textId="77777777" w:rsidR="00D554AB" w:rsidRPr="00CE3E9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731F3CDB" w14:textId="77777777" w:rsidR="00D554AB" w:rsidRPr="00CE3E90" w:rsidRDefault="00D554AB" w:rsidP="00CB02CB">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106E8A6F"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4BF39925" w14:textId="77777777" w:rsidTr="00CB02CB">
        <w:trPr>
          <w:trHeight w:val="255"/>
        </w:trPr>
        <w:tc>
          <w:tcPr>
            <w:tcW w:w="6188" w:type="dxa"/>
            <w:tcBorders>
              <w:top w:val="nil"/>
              <w:left w:val="single" w:sz="4" w:space="0" w:color="auto"/>
              <w:bottom w:val="single" w:sz="4" w:space="0" w:color="auto"/>
              <w:right w:val="single" w:sz="4" w:space="0" w:color="auto"/>
            </w:tcBorders>
          </w:tcPr>
          <w:p w14:paraId="47B08A0F"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AAD3DFC" w14:textId="77777777" w:rsidR="00D554AB" w:rsidRPr="00CE3E90" w:rsidRDefault="00D554AB" w:rsidP="00CB02CB">
            <w:pPr>
              <w:spacing w:after="0" w:line="240" w:lineRule="auto"/>
              <w:jc w:val="center"/>
              <w:rPr>
                <w:rFonts w:ascii="Times New Roman" w:eastAsia="Times New Roman" w:hAnsi="Times New Roman" w:cs="Times New Roman"/>
                <w:sz w:val="24"/>
                <w:szCs w:val="24"/>
                <w:lang w:eastAsia="sk-SK"/>
              </w:rPr>
            </w:pPr>
            <w:r w:rsidRPr="00CE3E9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432FD2E6" w14:textId="77777777" w:rsidR="00D554AB" w:rsidRPr="00CE3E90" w:rsidRDefault="00D554AB" w:rsidP="00CB02CB">
            <w:pPr>
              <w:spacing w:after="0" w:line="240" w:lineRule="auto"/>
              <w:jc w:val="center"/>
              <w:rPr>
                <w:rFonts w:ascii="Times New Roman" w:eastAsia="Times New Roman" w:hAnsi="Times New Roman" w:cs="Times New Roman"/>
                <w:sz w:val="24"/>
                <w:szCs w:val="24"/>
                <w:lang w:eastAsia="sk-SK"/>
              </w:rPr>
            </w:pPr>
            <w:r w:rsidRPr="00CE3E9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14:paraId="1CBAA00B" w14:textId="77777777" w:rsidR="00D554AB" w:rsidRPr="00CE3E90" w:rsidRDefault="00D554AB" w:rsidP="00CB02CB">
            <w:pPr>
              <w:spacing w:after="0" w:line="240" w:lineRule="auto"/>
              <w:jc w:val="center"/>
              <w:rPr>
                <w:rFonts w:ascii="Times New Roman" w:eastAsia="Times New Roman" w:hAnsi="Times New Roman" w:cs="Times New Roman"/>
                <w:sz w:val="24"/>
                <w:szCs w:val="24"/>
                <w:lang w:eastAsia="sk-SK"/>
              </w:rPr>
            </w:pPr>
            <w:r w:rsidRPr="00CE3E9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14:paraId="3E9A7B58" w14:textId="77777777" w:rsidR="00D554AB" w:rsidRPr="00CE3E90" w:rsidRDefault="00D554AB" w:rsidP="00CB02CB">
            <w:pPr>
              <w:spacing w:after="0" w:line="240" w:lineRule="auto"/>
              <w:jc w:val="center"/>
              <w:rPr>
                <w:rFonts w:ascii="Times New Roman" w:eastAsia="Times New Roman" w:hAnsi="Times New Roman" w:cs="Times New Roman"/>
                <w:sz w:val="24"/>
                <w:szCs w:val="24"/>
                <w:lang w:eastAsia="sk-SK"/>
              </w:rPr>
            </w:pPr>
            <w:r w:rsidRPr="00CE3E9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14:paraId="477AC565"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3C1574A5" w14:textId="77777777" w:rsidTr="00CB02C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5B46F808"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4CA631B5"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0</w:t>
            </w:r>
            <w:r w:rsidRPr="00CE3E90">
              <w:rPr>
                <w:rFonts w:ascii="Times New Roman" w:hAnsi="Times New Roman" w:cs="Times New Roman"/>
                <w:b/>
                <w:bCs/>
                <w:color w:val="000000"/>
                <w:sz w:val="20"/>
                <w:szCs w:val="20"/>
              </w:rPr>
              <w:t xml:space="preserve"> </w:t>
            </w:r>
          </w:p>
        </w:tc>
        <w:tc>
          <w:tcPr>
            <w:tcW w:w="1788" w:type="dxa"/>
            <w:tcBorders>
              <w:top w:val="nil"/>
              <w:left w:val="nil"/>
              <w:bottom w:val="single" w:sz="4" w:space="0" w:color="auto"/>
              <w:right w:val="single" w:sz="4" w:space="0" w:color="auto"/>
            </w:tcBorders>
            <w:shd w:val="clear" w:color="auto" w:fill="BFBFBF" w:themeFill="background1" w:themeFillShade="BF"/>
          </w:tcPr>
          <w:p w14:paraId="1ECDCEB0"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b/>
                <w:bCs/>
                <w:color w:val="000000"/>
                <w:sz w:val="20"/>
                <w:szCs w:val="20"/>
              </w:rPr>
              <w:t xml:space="preserve">130 794 </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587EF8EC"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b/>
                <w:bCs/>
                <w:color w:val="000000"/>
                <w:sz w:val="20"/>
                <w:szCs w:val="20"/>
              </w:rPr>
              <w:t xml:space="preserve">130 794 </w:t>
            </w:r>
          </w:p>
        </w:tc>
        <w:tc>
          <w:tcPr>
            <w:tcW w:w="1560" w:type="dxa"/>
            <w:tcBorders>
              <w:top w:val="nil"/>
              <w:left w:val="nil"/>
              <w:bottom w:val="single" w:sz="4" w:space="0" w:color="auto"/>
              <w:right w:val="single" w:sz="4" w:space="0" w:color="auto"/>
            </w:tcBorders>
            <w:shd w:val="clear" w:color="auto" w:fill="BFBFBF" w:themeFill="background1" w:themeFillShade="BF"/>
          </w:tcPr>
          <w:p w14:paraId="1A205E69"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b/>
                <w:bCs/>
                <w:color w:val="000000"/>
                <w:sz w:val="20"/>
                <w:szCs w:val="20"/>
              </w:rPr>
              <w:t xml:space="preserve">130 794 </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66D2B277"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D554AB" w:rsidRPr="007B7470" w14:paraId="2FB59D96" w14:textId="77777777" w:rsidTr="00CB02CB">
        <w:trPr>
          <w:trHeight w:val="255"/>
        </w:trPr>
        <w:tc>
          <w:tcPr>
            <w:tcW w:w="6188" w:type="dxa"/>
            <w:tcBorders>
              <w:top w:val="nil"/>
              <w:left w:val="single" w:sz="4" w:space="0" w:color="auto"/>
              <w:bottom w:val="single" w:sz="4" w:space="0" w:color="auto"/>
              <w:right w:val="single" w:sz="4" w:space="0" w:color="auto"/>
            </w:tcBorders>
          </w:tcPr>
          <w:p w14:paraId="1E28A99F"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18FFFDC6"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tcPr>
          <w:p w14:paraId="2FB75392"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 xml:space="preserve">94 176 </w:t>
            </w:r>
          </w:p>
        </w:tc>
        <w:tc>
          <w:tcPr>
            <w:tcW w:w="1878" w:type="dxa"/>
            <w:gridSpan w:val="2"/>
            <w:tcBorders>
              <w:top w:val="nil"/>
              <w:left w:val="nil"/>
              <w:bottom w:val="single" w:sz="4" w:space="0" w:color="auto"/>
              <w:right w:val="single" w:sz="4" w:space="0" w:color="auto"/>
            </w:tcBorders>
          </w:tcPr>
          <w:p w14:paraId="270DDC2F"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94 176</w:t>
            </w:r>
          </w:p>
        </w:tc>
        <w:tc>
          <w:tcPr>
            <w:tcW w:w="1560" w:type="dxa"/>
            <w:tcBorders>
              <w:top w:val="nil"/>
              <w:left w:val="nil"/>
              <w:bottom w:val="single" w:sz="4" w:space="0" w:color="auto"/>
              <w:right w:val="single" w:sz="4" w:space="0" w:color="auto"/>
            </w:tcBorders>
          </w:tcPr>
          <w:p w14:paraId="59C4D03D"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94 176</w:t>
            </w:r>
          </w:p>
        </w:tc>
        <w:tc>
          <w:tcPr>
            <w:tcW w:w="1842" w:type="dxa"/>
            <w:gridSpan w:val="2"/>
            <w:tcBorders>
              <w:top w:val="nil"/>
              <w:left w:val="nil"/>
              <w:bottom w:val="single" w:sz="4" w:space="0" w:color="auto"/>
              <w:right w:val="single" w:sz="4" w:space="0" w:color="auto"/>
            </w:tcBorders>
            <w:noWrap/>
            <w:vAlign w:val="bottom"/>
          </w:tcPr>
          <w:p w14:paraId="6E7593D7"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D554AB" w:rsidRPr="007B7470" w14:paraId="601716A7" w14:textId="77777777" w:rsidTr="00CB02CB">
        <w:trPr>
          <w:trHeight w:val="255"/>
        </w:trPr>
        <w:tc>
          <w:tcPr>
            <w:tcW w:w="6188" w:type="dxa"/>
            <w:tcBorders>
              <w:top w:val="nil"/>
              <w:left w:val="single" w:sz="4" w:space="0" w:color="auto"/>
              <w:bottom w:val="single" w:sz="4" w:space="0" w:color="auto"/>
              <w:right w:val="single" w:sz="4" w:space="0" w:color="auto"/>
            </w:tcBorders>
          </w:tcPr>
          <w:p w14:paraId="656B4E58"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60A9716A"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tcPr>
          <w:p w14:paraId="5F70DB7A"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 xml:space="preserve">94 176 </w:t>
            </w:r>
          </w:p>
        </w:tc>
        <w:tc>
          <w:tcPr>
            <w:tcW w:w="1878" w:type="dxa"/>
            <w:gridSpan w:val="2"/>
            <w:tcBorders>
              <w:top w:val="nil"/>
              <w:left w:val="nil"/>
              <w:bottom w:val="single" w:sz="4" w:space="0" w:color="auto"/>
              <w:right w:val="single" w:sz="4" w:space="0" w:color="auto"/>
            </w:tcBorders>
          </w:tcPr>
          <w:p w14:paraId="07A0CDB6"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94 176</w:t>
            </w:r>
          </w:p>
        </w:tc>
        <w:tc>
          <w:tcPr>
            <w:tcW w:w="1560" w:type="dxa"/>
            <w:tcBorders>
              <w:top w:val="nil"/>
              <w:left w:val="nil"/>
              <w:bottom w:val="single" w:sz="4" w:space="0" w:color="auto"/>
              <w:right w:val="single" w:sz="4" w:space="0" w:color="auto"/>
            </w:tcBorders>
          </w:tcPr>
          <w:p w14:paraId="3F00724B"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94 176</w:t>
            </w:r>
          </w:p>
        </w:tc>
        <w:tc>
          <w:tcPr>
            <w:tcW w:w="1842" w:type="dxa"/>
            <w:gridSpan w:val="2"/>
            <w:tcBorders>
              <w:top w:val="nil"/>
              <w:left w:val="nil"/>
              <w:bottom w:val="single" w:sz="4" w:space="0" w:color="auto"/>
              <w:right w:val="single" w:sz="4" w:space="0" w:color="auto"/>
            </w:tcBorders>
            <w:noWrap/>
            <w:vAlign w:val="bottom"/>
          </w:tcPr>
          <w:p w14:paraId="0F2D8369"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218B2ACC" w14:textId="77777777" w:rsidTr="00CB02CB">
        <w:trPr>
          <w:trHeight w:val="255"/>
        </w:trPr>
        <w:tc>
          <w:tcPr>
            <w:tcW w:w="6188" w:type="dxa"/>
            <w:tcBorders>
              <w:top w:val="nil"/>
              <w:left w:val="single" w:sz="4" w:space="0" w:color="auto"/>
              <w:bottom w:val="single" w:sz="4" w:space="0" w:color="auto"/>
              <w:right w:val="single" w:sz="4" w:space="0" w:color="auto"/>
            </w:tcBorders>
          </w:tcPr>
          <w:p w14:paraId="70CCF7C1"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0249A752"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tcPr>
          <w:p w14:paraId="5EA4A02C"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36 618</w:t>
            </w:r>
          </w:p>
        </w:tc>
        <w:tc>
          <w:tcPr>
            <w:tcW w:w="1878" w:type="dxa"/>
            <w:gridSpan w:val="2"/>
            <w:tcBorders>
              <w:top w:val="nil"/>
              <w:left w:val="nil"/>
              <w:bottom w:val="single" w:sz="4" w:space="0" w:color="auto"/>
              <w:right w:val="single" w:sz="4" w:space="0" w:color="auto"/>
            </w:tcBorders>
          </w:tcPr>
          <w:p w14:paraId="6CA19858"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36 618</w:t>
            </w:r>
          </w:p>
        </w:tc>
        <w:tc>
          <w:tcPr>
            <w:tcW w:w="1560" w:type="dxa"/>
            <w:tcBorders>
              <w:top w:val="nil"/>
              <w:left w:val="nil"/>
              <w:bottom w:val="single" w:sz="4" w:space="0" w:color="auto"/>
              <w:right w:val="single" w:sz="4" w:space="0" w:color="auto"/>
            </w:tcBorders>
          </w:tcPr>
          <w:p w14:paraId="0E5E4914"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 xml:space="preserve">36 618 </w:t>
            </w:r>
          </w:p>
        </w:tc>
        <w:tc>
          <w:tcPr>
            <w:tcW w:w="1842" w:type="dxa"/>
            <w:gridSpan w:val="2"/>
            <w:tcBorders>
              <w:top w:val="nil"/>
              <w:left w:val="nil"/>
              <w:bottom w:val="single" w:sz="4" w:space="0" w:color="auto"/>
              <w:right w:val="single" w:sz="4" w:space="0" w:color="auto"/>
            </w:tcBorders>
            <w:noWrap/>
            <w:vAlign w:val="bottom"/>
          </w:tcPr>
          <w:p w14:paraId="52264753"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D554AB" w:rsidRPr="007B7470" w14:paraId="05A7B8BD" w14:textId="77777777" w:rsidTr="00CB02CB">
        <w:trPr>
          <w:trHeight w:val="255"/>
        </w:trPr>
        <w:tc>
          <w:tcPr>
            <w:tcW w:w="6188" w:type="dxa"/>
            <w:tcBorders>
              <w:top w:val="nil"/>
              <w:left w:val="single" w:sz="4" w:space="0" w:color="auto"/>
              <w:bottom w:val="single" w:sz="4" w:space="0" w:color="auto"/>
              <w:right w:val="single" w:sz="4" w:space="0" w:color="auto"/>
            </w:tcBorders>
          </w:tcPr>
          <w:p w14:paraId="72F5A04F"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5413EC7C"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tcPr>
          <w:p w14:paraId="1B643F92"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36 618</w:t>
            </w:r>
          </w:p>
        </w:tc>
        <w:tc>
          <w:tcPr>
            <w:tcW w:w="1878" w:type="dxa"/>
            <w:gridSpan w:val="2"/>
            <w:tcBorders>
              <w:top w:val="nil"/>
              <w:left w:val="nil"/>
              <w:bottom w:val="single" w:sz="4" w:space="0" w:color="auto"/>
              <w:right w:val="single" w:sz="4" w:space="0" w:color="auto"/>
            </w:tcBorders>
          </w:tcPr>
          <w:p w14:paraId="6FE77471"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36 618</w:t>
            </w:r>
          </w:p>
        </w:tc>
        <w:tc>
          <w:tcPr>
            <w:tcW w:w="1560" w:type="dxa"/>
            <w:tcBorders>
              <w:top w:val="nil"/>
              <w:left w:val="nil"/>
              <w:bottom w:val="single" w:sz="4" w:space="0" w:color="auto"/>
              <w:right w:val="single" w:sz="4" w:space="0" w:color="auto"/>
            </w:tcBorders>
          </w:tcPr>
          <w:p w14:paraId="1D6AF9EE" w14:textId="77777777" w:rsidR="00D554AB" w:rsidRPr="00CE3E90" w:rsidRDefault="00D554AB" w:rsidP="00CB02CB">
            <w:pPr>
              <w:autoSpaceDE w:val="0"/>
              <w:autoSpaceDN w:val="0"/>
              <w:adjustRightInd w:val="0"/>
              <w:spacing w:after="0" w:line="240" w:lineRule="auto"/>
              <w:rPr>
                <w:rFonts w:ascii="Times New Roman" w:hAnsi="Times New Roman" w:cs="Times New Roman"/>
                <w:color w:val="000000"/>
                <w:sz w:val="20"/>
                <w:szCs w:val="20"/>
              </w:rPr>
            </w:pPr>
            <w:r w:rsidRPr="00CE3E90">
              <w:rPr>
                <w:rFonts w:ascii="Times New Roman" w:hAnsi="Times New Roman" w:cs="Times New Roman"/>
                <w:color w:val="000000"/>
                <w:sz w:val="20"/>
                <w:szCs w:val="20"/>
              </w:rPr>
              <w:t xml:space="preserve">36 618 </w:t>
            </w:r>
          </w:p>
        </w:tc>
        <w:tc>
          <w:tcPr>
            <w:tcW w:w="1842" w:type="dxa"/>
            <w:gridSpan w:val="2"/>
            <w:tcBorders>
              <w:top w:val="nil"/>
              <w:left w:val="nil"/>
              <w:bottom w:val="single" w:sz="4" w:space="0" w:color="auto"/>
              <w:right w:val="single" w:sz="4" w:space="0" w:color="auto"/>
            </w:tcBorders>
            <w:noWrap/>
            <w:vAlign w:val="bottom"/>
          </w:tcPr>
          <w:p w14:paraId="2C02E213"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554AB" w:rsidRPr="007B7470" w14:paraId="1C894087" w14:textId="77777777" w:rsidTr="00CB02CB">
        <w:trPr>
          <w:trHeight w:val="255"/>
        </w:trPr>
        <w:tc>
          <w:tcPr>
            <w:tcW w:w="6188" w:type="dxa"/>
            <w:tcBorders>
              <w:top w:val="nil"/>
              <w:left w:val="nil"/>
              <w:bottom w:val="nil"/>
              <w:right w:val="nil"/>
            </w:tcBorders>
            <w:noWrap/>
            <w:vAlign w:val="bottom"/>
          </w:tcPr>
          <w:p w14:paraId="0E66E93B"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1D0E2340"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426B052C"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1EB2484C"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388C40E2"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77A1FD8F"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r>
      <w:tr w:rsidR="00D554AB" w:rsidRPr="007B7470" w14:paraId="54302972" w14:textId="77777777" w:rsidTr="00CB02CB">
        <w:trPr>
          <w:trHeight w:val="255"/>
        </w:trPr>
        <w:tc>
          <w:tcPr>
            <w:tcW w:w="6188" w:type="dxa"/>
            <w:tcBorders>
              <w:top w:val="nil"/>
              <w:left w:val="nil"/>
              <w:bottom w:val="nil"/>
              <w:right w:val="nil"/>
            </w:tcBorders>
          </w:tcPr>
          <w:p w14:paraId="587D2BF8" w14:textId="77777777" w:rsidR="00D554AB" w:rsidRPr="007B7470" w:rsidRDefault="00D554AB" w:rsidP="00CB02C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14:paraId="550CBA62"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64573404"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0073654F"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660231BB"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7D3ACF50"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r>
      <w:tr w:rsidR="00D554AB" w:rsidRPr="007B7470" w14:paraId="6E6A83A2" w14:textId="77777777" w:rsidTr="00CB02CB">
        <w:trPr>
          <w:trHeight w:val="255"/>
        </w:trPr>
        <w:tc>
          <w:tcPr>
            <w:tcW w:w="13112" w:type="dxa"/>
            <w:gridSpan w:val="6"/>
            <w:tcBorders>
              <w:top w:val="nil"/>
              <w:left w:val="nil"/>
              <w:bottom w:val="nil"/>
              <w:right w:val="nil"/>
            </w:tcBorders>
            <w:noWrap/>
          </w:tcPr>
          <w:p w14:paraId="4A61FE97" w14:textId="7D079E03" w:rsidR="00FD5086" w:rsidRDefault="00FD5086" w:rsidP="00CB02CB">
            <w:pPr>
              <w:tabs>
                <w:tab w:val="num" w:pos="1080"/>
              </w:tabs>
              <w:spacing w:after="0" w:line="240" w:lineRule="auto"/>
              <w:jc w:val="both"/>
              <w:rPr>
                <w:rFonts w:ascii="Times New Roman" w:eastAsia="Times New Roman" w:hAnsi="Times New Roman" w:cs="Times New Roman"/>
                <w:bCs/>
                <w:sz w:val="24"/>
                <w:szCs w:val="20"/>
                <w:lang w:eastAsia="sk-SK"/>
              </w:rPr>
            </w:pPr>
            <w:r w:rsidRPr="00FD5086">
              <w:rPr>
                <w:rFonts w:ascii="Times New Roman" w:eastAsia="Times New Roman" w:hAnsi="Times New Roman" w:cs="Times New Roman"/>
                <w:bCs/>
                <w:sz w:val="24"/>
                <w:szCs w:val="20"/>
                <w:lang w:eastAsia="sk-SK"/>
              </w:rPr>
              <w:t>Platné pre Národný bezpečnostný úrad.</w:t>
            </w:r>
          </w:p>
          <w:p w14:paraId="56B2DE24" w14:textId="11209D5B" w:rsidR="00D554AB" w:rsidRPr="007B7470" w:rsidRDefault="00D554AB" w:rsidP="00875F6F">
            <w:pPr>
              <w:tabs>
                <w:tab w:val="num" w:pos="1080"/>
              </w:tabs>
              <w:spacing w:before="120"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7010237"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6CBECA79"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r>
      <w:tr w:rsidR="00D554AB" w:rsidRPr="007B7470" w14:paraId="1464E6E6" w14:textId="77777777" w:rsidTr="00CB02CB">
        <w:trPr>
          <w:trHeight w:val="255"/>
        </w:trPr>
        <w:tc>
          <w:tcPr>
            <w:tcW w:w="10394" w:type="dxa"/>
            <w:gridSpan w:val="4"/>
            <w:tcBorders>
              <w:top w:val="nil"/>
              <w:left w:val="nil"/>
              <w:bottom w:val="nil"/>
              <w:right w:val="nil"/>
            </w:tcBorders>
            <w:noWrap/>
            <w:vAlign w:val="bottom"/>
          </w:tcPr>
          <w:p w14:paraId="0748CB7A"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0EB2B0E9"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14:paraId="783986D9"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14:paraId="51F7397A" w14:textId="77777777" w:rsidR="00D554AB" w:rsidRPr="007B7470" w:rsidRDefault="00D554AB" w:rsidP="00CB02CB">
            <w:pPr>
              <w:spacing w:after="0" w:line="240" w:lineRule="auto"/>
              <w:rPr>
                <w:rFonts w:ascii="Times New Roman" w:eastAsia="Times New Roman" w:hAnsi="Times New Roman" w:cs="Times New Roman"/>
                <w:sz w:val="24"/>
                <w:szCs w:val="24"/>
                <w:lang w:eastAsia="sk-SK"/>
              </w:rPr>
            </w:pPr>
          </w:p>
        </w:tc>
      </w:tr>
    </w:tbl>
    <w:p w14:paraId="7DFAB668" w14:textId="54A8586A" w:rsidR="009C3844" w:rsidRDefault="009C3844" w:rsidP="00D554AB">
      <w:pPr>
        <w:spacing w:after="0" w:line="240" w:lineRule="auto"/>
        <w:rPr>
          <w:rFonts w:ascii="Times New Roman" w:eastAsia="Times New Roman" w:hAnsi="Times New Roman" w:cs="Times New Roman"/>
          <w:b/>
          <w:bCs/>
          <w:sz w:val="24"/>
          <w:szCs w:val="24"/>
          <w:lang w:eastAsia="sk-SK"/>
        </w:rPr>
      </w:pPr>
    </w:p>
    <w:p w14:paraId="5954B22C" w14:textId="77777777" w:rsidR="009C3844" w:rsidRDefault="009C3844">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14:paraId="3442E66D" w14:textId="77777777" w:rsidR="00D554AB" w:rsidRPr="007B7470" w:rsidRDefault="00D554AB" w:rsidP="00D554AB">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14:paraId="058EABAF" w14:textId="77777777" w:rsidR="00D554AB" w:rsidRPr="007B7470" w:rsidRDefault="00D554AB" w:rsidP="00D554AB">
      <w:pPr>
        <w:spacing w:after="0" w:line="240" w:lineRule="auto"/>
        <w:jc w:val="both"/>
        <w:rPr>
          <w:rFonts w:ascii="Times New Roman" w:eastAsia="Times New Roman" w:hAnsi="Times New Roman" w:cs="Times New Roman"/>
          <w:sz w:val="24"/>
          <w:szCs w:val="24"/>
          <w:lang w:eastAsia="sk-SK"/>
        </w:rPr>
      </w:pPr>
    </w:p>
    <w:p w14:paraId="4D5D0202" w14:textId="77777777" w:rsidR="00D554AB" w:rsidRPr="007B7470" w:rsidRDefault="00D554AB" w:rsidP="00D554AB">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0422F1BA" w14:textId="77777777" w:rsidR="00D554AB" w:rsidRPr="007B7470" w:rsidRDefault="00D554AB" w:rsidP="00D554AB">
      <w:pPr>
        <w:spacing w:after="0" w:line="240" w:lineRule="auto"/>
        <w:jc w:val="both"/>
        <w:rPr>
          <w:rFonts w:ascii="Times New Roman" w:eastAsia="Times New Roman" w:hAnsi="Times New Roman" w:cs="Times New Roman"/>
          <w:sz w:val="24"/>
          <w:szCs w:val="24"/>
          <w:lang w:eastAsia="sk-SK"/>
        </w:rPr>
      </w:pPr>
    </w:p>
    <w:p w14:paraId="4BA02EBB" w14:textId="77777777" w:rsidR="00D554AB" w:rsidRPr="007B7470" w:rsidRDefault="00D554AB" w:rsidP="00D554AB">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14:paraId="5B2DA4AF" w14:textId="77777777" w:rsidR="00D554AB" w:rsidRPr="007B7470" w:rsidRDefault="00D554AB" w:rsidP="00D554AB">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D554AB" w:rsidRPr="007B7470" w14:paraId="3A95B53E" w14:textId="77777777" w:rsidTr="00CB02CB">
        <w:trPr>
          <w:trHeight w:val="284"/>
        </w:trPr>
        <w:tc>
          <w:tcPr>
            <w:tcW w:w="2943" w:type="dxa"/>
            <w:vMerge w:val="restart"/>
            <w:shd w:val="clear" w:color="auto" w:fill="BFBFBF" w:themeFill="background1" w:themeFillShade="BF"/>
            <w:vAlign w:val="center"/>
          </w:tcPr>
          <w:p w14:paraId="0113A4DF" w14:textId="77777777" w:rsidR="00D554AB" w:rsidRPr="007B7470" w:rsidRDefault="00D554AB" w:rsidP="00CB0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69A8A393" w14:textId="77777777" w:rsidR="00D554AB" w:rsidRPr="007B7470" w:rsidRDefault="00D554AB" w:rsidP="00CB0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059830D3" w14:textId="77777777" w:rsidR="00D554AB" w:rsidRPr="007B7470" w:rsidRDefault="00D554AB" w:rsidP="00CB0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D554AB" w:rsidRPr="007B7470" w14:paraId="40144DF4" w14:textId="77777777" w:rsidTr="00CB02CB">
        <w:trPr>
          <w:trHeight w:val="284"/>
        </w:trPr>
        <w:tc>
          <w:tcPr>
            <w:tcW w:w="2943" w:type="dxa"/>
            <w:vMerge/>
            <w:shd w:val="clear" w:color="auto" w:fill="BFBFBF" w:themeFill="background1" w:themeFillShade="BF"/>
          </w:tcPr>
          <w:p w14:paraId="1C56D3E8"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4A0C3097" w14:textId="77777777" w:rsidR="00D554AB" w:rsidRPr="007B7470" w:rsidRDefault="00D554AB" w:rsidP="00CB0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50B0EB5E" w14:textId="77777777" w:rsidR="00D554AB" w:rsidRPr="007B7470" w:rsidRDefault="00D554AB" w:rsidP="00CB0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14:paraId="2E425F2C" w14:textId="77777777" w:rsidR="00D554AB" w:rsidRPr="007B7470" w:rsidRDefault="00D554AB" w:rsidP="00CB0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14:paraId="4349F5A6" w14:textId="77777777" w:rsidR="00D554AB" w:rsidRPr="007B7470" w:rsidRDefault="00D554AB" w:rsidP="00CB0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14:paraId="0761B2E8" w14:textId="77777777" w:rsidR="00D554AB" w:rsidRPr="007B7470" w:rsidRDefault="00D554AB" w:rsidP="00CB0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14:paraId="4A191A57"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D554AB" w:rsidRPr="007B7470" w14:paraId="64913D8A" w14:textId="77777777" w:rsidTr="00CB02CB">
        <w:trPr>
          <w:trHeight w:val="284"/>
        </w:trPr>
        <w:tc>
          <w:tcPr>
            <w:tcW w:w="2943" w:type="dxa"/>
            <w:shd w:val="clear" w:color="auto" w:fill="auto"/>
            <w:vAlign w:val="bottom"/>
          </w:tcPr>
          <w:p w14:paraId="65FF5504" w14:textId="77777777" w:rsidR="00D554AB" w:rsidRPr="007B7470" w:rsidRDefault="00D554AB" w:rsidP="00CB0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14:paraId="0F6D7052"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47AA28C"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FBACDDF"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5C78A4F9"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1B5DD0CE"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79203B56"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D554AB" w:rsidRPr="007B7470" w14:paraId="35635C87" w14:textId="77777777" w:rsidTr="00CB02CB">
        <w:trPr>
          <w:trHeight w:val="284"/>
        </w:trPr>
        <w:tc>
          <w:tcPr>
            <w:tcW w:w="2943" w:type="dxa"/>
            <w:shd w:val="clear" w:color="auto" w:fill="auto"/>
          </w:tcPr>
          <w:p w14:paraId="32F2B52B" w14:textId="77777777" w:rsidR="00D554AB" w:rsidRPr="007B7470" w:rsidRDefault="00D554AB" w:rsidP="00CB0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14:paraId="241D0AE3"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09377F42"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3119C3D2"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447A15A6"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1A9D4A4A"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1F37A937"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D554AB" w:rsidRPr="007B7470" w14:paraId="418891A1" w14:textId="77777777" w:rsidTr="00CB02CB">
        <w:trPr>
          <w:trHeight w:val="284"/>
        </w:trPr>
        <w:tc>
          <w:tcPr>
            <w:tcW w:w="2943" w:type="dxa"/>
            <w:shd w:val="clear" w:color="auto" w:fill="auto"/>
          </w:tcPr>
          <w:p w14:paraId="3FE16DB3" w14:textId="77777777" w:rsidR="00D554AB" w:rsidRPr="007B7470" w:rsidRDefault="00D554AB" w:rsidP="00CB0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14:paraId="463A50E1"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63DB44F"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83B1C1B"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1EB216BF"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311F562F"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1A3A16C7" w14:textId="77777777" w:rsidR="00D554AB" w:rsidRPr="007B7470" w:rsidRDefault="00D554AB" w:rsidP="00CB0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2F47B650" w14:textId="77777777" w:rsidR="00D554AB" w:rsidRPr="007B7470" w:rsidRDefault="00D554AB" w:rsidP="00D554AB">
      <w:pPr>
        <w:spacing w:after="0" w:line="240" w:lineRule="auto"/>
        <w:jc w:val="both"/>
        <w:rPr>
          <w:rFonts w:ascii="Times New Roman" w:eastAsia="Times New Roman" w:hAnsi="Times New Roman" w:cs="Times New Roman"/>
          <w:sz w:val="24"/>
          <w:szCs w:val="24"/>
          <w:lang w:eastAsia="sk-SK"/>
        </w:rPr>
      </w:pPr>
    </w:p>
    <w:p w14:paraId="6D29F952" w14:textId="77777777" w:rsidR="00D554AB" w:rsidRPr="007B7470" w:rsidRDefault="00D554AB" w:rsidP="00D554AB">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14:paraId="7E4EABF5" w14:textId="77777777" w:rsidR="00D554AB" w:rsidRPr="007B7470" w:rsidRDefault="00D554AB" w:rsidP="00D554AB">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14:paraId="2B27C8DF" w14:textId="77777777" w:rsidR="00D554AB" w:rsidRDefault="00D554AB" w:rsidP="00D554AB">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zavedeni</w:t>
      </w:r>
      <w:r>
        <w:rPr>
          <w:rFonts w:ascii="Times New Roman" w:eastAsia="Times New Roman" w:hAnsi="Times New Roman" w:cs="Times New Roman"/>
          <w:sz w:val="24"/>
          <w:szCs w:val="24"/>
          <w:lang w:eastAsia="sk-SK"/>
        </w:rPr>
        <w:t>a všetkých opatrení súčasne.</w:t>
      </w:r>
    </w:p>
    <w:p w14:paraId="3051D806" w14:textId="77777777" w:rsidR="00D554AB" w:rsidRDefault="00D554AB" w:rsidP="00D554A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14:paraId="62F6A844" w14:textId="77777777" w:rsidR="00D554AB" w:rsidRDefault="00D554AB">
      <w:pPr>
        <w:sectPr w:rsidR="00D554AB" w:rsidSect="00596A03">
          <w:pgSz w:w="16838" w:h="11906" w:orient="landscape"/>
          <w:pgMar w:top="1417" w:right="993" w:bottom="1417" w:left="1417" w:header="708" w:footer="708" w:gutter="0"/>
          <w:cols w:space="708"/>
          <w:docGrid w:linePitch="360"/>
        </w:sectPr>
      </w:pPr>
    </w:p>
    <w:p w14:paraId="04B39BD6" w14:textId="77777777" w:rsidR="00D830E8" w:rsidRPr="00D830E8" w:rsidRDefault="00D830E8" w:rsidP="00D830E8">
      <w:pPr>
        <w:spacing w:after="0" w:line="240" w:lineRule="auto"/>
        <w:jc w:val="center"/>
        <w:rPr>
          <w:rFonts w:ascii="Times New Roman" w:eastAsia="Calibri" w:hAnsi="Times New Roman" w:cs="Times New Roman"/>
          <w:b/>
          <w:sz w:val="28"/>
          <w:szCs w:val="28"/>
          <w:lang w:eastAsia="en-GB"/>
        </w:rPr>
      </w:pPr>
      <w:r w:rsidRPr="00D830E8">
        <w:rPr>
          <w:rFonts w:ascii="Times New Roman" w:eastAsia="Calibri" w:hAnsi="Times New Roman" w:cs="Times New Roman"/>
          <w:b/>
          <w:sz w:val="28"/>
          <w:szCs w:val="28"/>
          <w:lang w:eastAsia="en-GB"/>
        </w:rPr>
        <w:lastRenderedPageBreak/>
        <w:t>Analýza vplyvov na podnikateľské prostredie</w:t>
      </w:r>
    </w:p>
    <w:p w14:paraId="796E054E" w14:textId="77777777" w:rsidR="00D830E8" w:rsidRPr="00D830E8" w:rsidRDefault="00D830E8" w:rsidP="00D830E8">
      <w:pPr>
        <w:spacing w:after="0" w:line="240" w:lineRule="auto"/>
        <w:jc w:val="both"/>
        <w:rPr>
          <w:rFonts w:ascii="Times New Roman" w:eastAsia="Calibri" w:hAnsi="Times New Roman" w:cs="Times New Roman"/>
          <w:b/>
          <w:sz w:val="24"/>
          <w:szCs w:val="24"/>
          <w:lang w:eastAsia="en-GB"/>
        </w:rPr>
      </w:pPr>
    </w:p>
    <w:p w14:paraId="0CCE73C1" w14:textId="1B859427" w:rsidR="00D830E8" w:rsidRPr="00D830E8" w:rsidRDefault="00D830E8" w:rsidP="00055648">
      <w:pPr>
        <w:spacing w:after="0" w:line="240" w:lineRule="auto"/>
        <w:jc w:val="both"/>
        <w:rPr>
          <w:rFonts w:ascii="Times New Roman" w:eastAsia="Calibri" w:hAnsi="Times New Roman" w:cs="Times New Roman"/>
          <w:b/>
          <w:sz w:val="24"/>
          <w:szCs w:val="24"/>
          <w:lang w:eastAsia="en-GB"/>
        </w:rPr>
      </w:pPr>
      <w:r w:rsidRPr="00D830E8">
        <w:rPr>
          <w:rFonts w:ascii="Times New Roman" w:eastAsia="Calibri" w:hAnsi="Times New Roman" w:cs="Times New Roman"/>
          <w:b/>
          <w:sz w:val="24"/>
          <w:szCs w:val="24"/>
          <w:lang w:eastAsia="en-GB"/>
        </w:rPr>
        <w:t xml:space="preserve">Názov materiálu: Zákon z ... 2024, </w:t>
      </w:r>
      <w:r w:rsidR="00055648" w:rsidRPr="00055648">
        <w:rPr>
          <w:rFonts w:ascii="Times New Roman" w:eastAsia="Calibri" w:hAnsi="Times New Roman" w:cs="Times New Roman"/>
          <w:b/>
          <w:sz w:val="24"/>
          <w:szCs w:val="24"/>
          <w:lang w:eastAsia="en-GB"/>
        </w:rPr>
        <w:t>ktorým sa mení a dopĺňa zákon č. 272/2016 Z. z. o dôveryhodných službách pre elektronické transakcie na vnútornom trhu a o zmene a doplnení niektorých zákonov (zákon o dôveryhodných službách) v znení zákona č. 211/2019 Z. z. a ktorým sa mení  zákon č. 305/2013 Z. z. o elektronickej podobe výkonu pôsobnosti orgánov verejnej moci a o zmene a doplnení niektorých zákonov (zákon o e-Governmente) v znení neskorších predpisov</w:t>
      </w:r>
    </w:p>
    <w:p w14:paraId="673B74AC" w14:textId="77777777" w:rsidR="00D830E8" w:rsidRPr="00D830E8" w:rsidRDefault="00D830E8" w:rsidP="00D830E8">
      <w:pPr>
        <w:spacing w:after="0" w:line="240" w:lineRule="auto"/>
        <w:jc w:val="both"/>
        <w:rPr>
          <w:rFonts w:ascii="Times New Roman" w:eastAsia="Calibri" w:hAnsi="Times New Roman" w:cs="Times New Roman"/>
          <w:b/>
          <w:sz w:val="24"/>
          <w:szCs w:val="24"/>
          <w:lang w:eastAsia="en-GB"/>
        </w:rPr>
      </w:pPr>
      <w:r w:rsidRPr="00D830E8">
        <w:rPr>
          <w:rFonts w:ascii="Times New Roman" w:eastAsia="Calibri" w:hAnsi="Times New Roman" w:cs="Times New Roman"/>
          <w:b/>
          <w:sz w:val="24"/>
          <w:szCs w:val="24"/>
          <w:lang w:eastAsia="en-GB"/>
        </w:rPr>
        <w:t>Predkladateľ: Národný bezpečnostný úrad</w:t>
      </w:r>
    </w:p>
    <w:p w14:paraId="6EF7E836" w14:textId="77777777" w:rsidR="00D830E8" w:rsidRPr="00D830E8" w:rsidRDefault="00D830E8" w:rsidP="00D830E8">
      <w:pPr>
        <w:spacing w:after="0" w:line="240" w:lineRule="auto"/>
        <w:jc w:val="both"/>
        <w:rPr>
          <w:rFonts w:ascii="Times New Roman" w:eastAsia="Calibri" w:hAnsi="Times New Roman" w:cs="Times New Roman"/>
          <w:b/>
          <w:sz w:val="24"/>
          <w:szCs w:val="24"/>
          <w:lang w:eastAsia="en-GB"/>
        </w:rPr>
      </w:pPr>
    </w:p>
    <w:p w14:paraId="379457E1" w14:textId="77777777" w:rsidR="00D830E8" w:rsidRPr="00D830E8" w:rsidRDefault="00D830E8" w:rsidP="00D830E8">
      <w:pPr>
        <w:spacing w:after="0" w:line="240" w:lineRule="auto"/>
        <w:jc w:val="both"/>
        <w:rPr>
          <w:rFonts w:ascii="Times New Roman" w:eastAsia="Calibri" w:hAnsi="Times New Roman" w:cs="Times New Roman"/>
          <w:b/>
          <w:sz w:val="24"/>
          <w:szCs w:val="24"/>
          <w:lang w:eastAsia="en-GB"/>
        </w:rPr>
      </w:pPr>
      <w:r w:rsidRPr="00D830E8">
        <w:rPr>
          <w:rFonts w:ascii="Times New Roman" w:eastAsia="Calibri" w:hAnsi="Times New Roman" w:cs="Times New Roman"/>
          <w:b/>
          <w:sz w:val="24"/>
          <w:szCs w:val="24"/>
          <w:lang w:eastAsia="en-GB"/>
        </w:rPr>
        <w:t>3.1 Náklady regulácie</w:t>
      </w:r>
    </w:p>
    <w:p w14:paraId="50FC1ABE" w14:textId="77777777" w:rsidR="00D830E8" w:rsidRPr="00D830E8" w:rsidRDefault="00D830E8" w:rsidP="00D830E8">
      <w:pPr>
        <w:tabs>
          <w:tab w:val="left" w:pos="8025"/>
        </w:tabs>
        <w:spacing w:after="0" w:line="240" w:lineRule="auto"/>
        <w:rPr>
          <w:rFonts w:ascii="Times New Roman" w:eastAsia="Calibri" w:hAnsi="Times New Roman" w:cs="Times New Roman"/>
          <w:bCs/>
          <w:i/>
          <w:iCs/>
          <w:sz w:val="24"/>
          <w:szCs w:val="24"/>
          <w:lang w:eastAsia="en-GB"/>
        </w:rPr>
      </w:pPr>
      <w:r w:rsidRPr="00D830E8">
        <w:rPr>
          <w:rFonts w:ascii="Times New Roman" w:eastAsia="Calibri" w:hAnsi="Times New Roman" w:cs="Times New Roman"/>
          <w:b/>
          <w:i/>
          <w:iCs/>
          <w:sz w:val="24"/>
          <w:szCs w:val="24"/>
          <w:lang w:eastAsia="en-GB"/>
        </w:rPr>
        <w:t xml:space="preserve">3.1.1 Súhrnná tabuľka nákladov regulácie </w:t>
      </w:r>
      <w:r w:rsidRPr="00D830E8">
        <w:rPr>
          <w:rFonts w:ascii="Times New Roman" w:eastAsia="Calibri" w:hAnsi="Times New Roman" w:cs="Times New Roman"/>
          <w:b/>
          <w:i/>
          <w:iCs/>
          <w:sz w:val="24"/>
          <w:szCs w:val="24"/>
          <w:lang w:eastAsia="en-GB"/>
        </w:rPr>
        <w:tab/>
      </w:r>
    </w:p>
    <w:p w14:paraId="729ADA37" w14:textId="77777777" w:rsidR="00D830E8" w:rsidRPr="00D830E8" w:rsidRDefault="00D830E8" w:rsidP="00D830E8">
      <w:pPr>
        <w:spacing w:after="0" w:line="240" w:lineRule="auto"/>
        <w:jc w:val="both"/>
        <w:rPr>
          <w:rFonts w:ascii="Times New Roman" w:eastAsia="Calibri" w:hAnsi="Times New Roman" w:cs="Times New Roman"/>
          <w:i/>
          <w:sz w:val="24"/>
          <w:szCs w:val="24"/>
          <w:lang w:eastAsia="en-GB"/>
        </w:rPr>
      </w:pPr>
      <w:r w:rsidRPr="00D830E8">
        <w:rPr>
          <w:rFonts w:ascii="Times New Roman" w:eastAsia="Calibri" w:hAnsi="Times New Roman" w:cs="Times New Roman"/>
          <w:i/>
          <w:sz w:val="24"/>
          <w:szCs w:val="24"/>
          <w:lang w:eastAsia="en-GB"/>
        </w:rPr>
        <w:t xml:space="preserve">Tabuľka č. 1: Zmeny nákladov (ročne) v prepočte na podnikateľské prostredie (PP), vyhodnotenie mechanizmu znižovania byrokracie a nákladov, náklady </w:t>
      </w:r>
      <w:proofErr w:type="spellStart"/>
      <w:r w:rsidRPr="00D830E8">
        <w:rPr>
          <w:rFonts w:ascii="Times New Roman" w:eastAsia="Calibri" w:hAnsi="Times New Roman" w:cs="Times New Roman"/>
          <w:i/>
          <w:sz w:val="24"/>
          <w:szCs w:val="24"/>
          <w:lang w:eastAsia="en-GB"/>
        </w:rPr>
        <w:t>goldplatingu</w:t>
      </w:r>
      <w:proofErr w:type="spellEnd"/>
      <w:r w:rsidRPr="00D830E8">
        <w:rPr>
          <w:rFonts w:ascii="Times New Roman" w:eastAsia="Calibri" w:hAnsi="Times New Roman" w:cs="Times New Roman"/>
          <w:i/>
          <w:sz w:val="24"/>
          <w:szCs w:val="24"/>
          <w:vertAlign w:val="superscript"/>
          <w:lang w:eastAsia="en-GB"/>
        </w:rPr>
        <w:footnoteReference w:id="1"/>
      </w:r>
      <w:r w:rsidRPr="00D830E8">
        <w:rPr>
          <w:rFonts w:ascii="Times New Roman" w:eastAsia="Calibri" w:hAnsi="Times New Roman" w:cs="Times New Roman"/>
          <w:i/>
          <w:sz w:val="24"/>
          <w:szCs w:val="24"/>
          <w:lang w:eastAsia="en-GB"/>
        </w:rPr>
        <w:t xml:space="preserve"> na podnikateľské prostredie. </w:t>
      </w:r>
    </w:p>
    <w:p w14:paraId="39B25F1A" w14:textId="77777777" w:rsidR="00D830E8" w:rsidRPr="00D830E8" w:rsidRDefault="00D830E8" w:rsidP="00D830E8">
      <w:pPr>
        <w:spacing w:after="0" w:line="240" w:lineRule="auto"/>
        <w:jc w:val="both"/>
        <w:rPr>
          <w:rFonts w:ascii="Times New Roman" w:eastAsia="Calibri" w:hAnsi="Times New Roman" w:cs="Times New Roman"/>
          <w:i/>
          <w:sz w:val="24"/>
          <w:szCs w:val="24"/>
          <w:lang w:eastAsia="en-GB"/>
        </w:rPr>
      </w:pPr>
    </w:p>
    <w:tbl>
      <w:tblPr>
        <w:tblW w:w="9460" w:type="dxa"/>
        <w:tblLook w:val="04A0" w:firstRow="1" w:lastRow="0" w:firstColumn="1" w:lastColumn="0" w:noHBand="0" w:noVBand="1"/>
      </w:tblPr>
      <w:tblGrid>
        <w:gridCol w:w="5180"/>
        <w:gridCol w:w="2140"/>
        <w:gridCol w:w="2140"/>
      </w:tblGrid>
      <w:tr w:rsidR="00CB02CB" w:rsidRPr="00CB02CB" w14:paraId="70C50718" w14:textId="77777777" w:rsidTr="00CB02CB">
        <w:trPr>
          <w:trHeight w:val="675"/>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B9AAAAC" w14:textId="77777777" w:rsidR="00CB02CB" w:rsidRPr="00CB02CB" w:rsidRDefault="00CB02CB" w:rsidP="00CB02CB">
            <w:pPr>
              <w:spacing w:after="0" w:line="240" w:lineRule="auto"/>
              <w:jc w:val="center"/>
              <w:rPr>
                <w:rFonts w:ascii="Times New Roman" w:eastAsia="Times New Roman" w:hAnsi="Times New Roman" w:cs="Times New Roman"/>
                <w:b/>
                <w:bCs/>
                <w:i/>
                <w:iCs/>
                <w:color w:val="000000"/>
                <w:sz w:val="20"/>
                <w:szCs w:val="20"/>
                <w:lang w:eastAsia="en-GB"/>
              </w:rPr>
            </w:pPr>
            <w:r w:rsidRPr="00CB02CB">
              <w:rPr>
                <w:rFonts w:ascii="Times New Roman" w:eastAsia="Times New Roman" w:hAnsi="Times New Roman" w:cs="Times New Roman"/>
                <w:b/>
                <w:bCs/>
                <w:i/>
                <w:iCs/>
                <w:color w:val="000000"/>
                <w:sz w:val="20"/>
                <w:szCs w:val="20"/>
                <w:lang w:eastAsia="en-GB"/>
              </w:rPr>
              <w:t>TYP NÁKLADOV</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679251D6"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Zvýšenie nákladov v € na PP</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735A7846"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Zníženie nákladov v € na PP</w:t>
            </w:r>
          </w:p>
        </w:tc>
      </w:tr>
      <w:tr w:rsidR="00CB02CB" w:rsidRPr="00CB02CB" w14:paraId="1DDEAA77" w14:textId="77777777" w:rsidTr="00CB02CB">
        <w:trPr>
          <w:trHeight w:val="81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51AE12B0" w14:textId="77777777" w:rsidR="00CB02CB" w:rsidRPr="00CB02CB" w:rsidRDefault="00CB02CB" w:rsidP="00CB02CB">
            <w:pPr>
              <w:spacing w:after="0" w:line="240" w:lineRule="auto"/>
              <w:rPr>
                <w:rFonts w:ascii="Times New Roman" w:eastAsia="Times New Roman" w:hAnsi="Times New Roman" w:cs="Times New Roman"/>
                <w:b/>
                <w:bCs/>
                <w:i/>
                <w:iCs/>
                <w:color w:val="000000"/>
                <w:sz w:val="20"/>
                <w:szCs w:val="20"/>
                <w:lang w:eastAsia="en-GB"/>
              </w:rPr>
            </w:pPr>
            <w:r w:rsidRPr="00CB02CB">
              <w:rPr>
                <w:rFonts w:ascii="Times New Roman" w:eastAsia="Times New Roman" w:hAnsi="Times New Roman" w:cs="Times New Roman"/>
                <w:b/>
                <w:bCs/>
                <w:i/>
                <w:iCs/>
                <w:color w:val="000000"/>
                <w:sz w:val="20"/>
                <w:szCs w:val="20"/>
                <w:lang w:eastAsia="en-GB"/>
              </w:rPr>
              <w:t>A.Dane, odvody, clá a poplatky, ktorých cieľom je znižovať negatívne externality</w:t>
            </w:r>
          </w:p>
        </w:tc>
        <w:tc>
          <w:tcPr>
            <w:tcW w:w="2140" w:type="dxa"/>
            <w:tcBorders>
              <w:top w:val="nil"/>
              <w:left w:val="nil"/>
              <w:bottom w:val="single" w:sz="4" w:space="0" w:color="auto"/>
              <w:right w:val="single" w:sz="4" w:space="0" w:color="auto"/>
            </w:tcBorders>
            <w:shd w:val="clear" w:color="000000" w:fill="FFC000"/>
            <w:vAlign w:val="center"/>
            <w:hideMark/>
          </w:tcPr>
          <w:p w14:paraId="1E0FC43A"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sz w:val="20"/>
                <w:szCs w:val="20"/>
                <w:lang w:eastAsia="en-GB"/>
              </w:rPr>
              <w:t>0</w:t>
            </w:r>
          </w:p>
        </w:tc>
        <w:tc>
          <w:tcPr>
            <w:tcW w:w="2140" w:type="dxa"/>
            <w:tcBorders>
              <w:top w:val="nil"/>
              <w:left w:val="nil"/>
              <w:bottom w:val="single" w:sz="4" w:space="0" w:color="auto"/>
              <w:right w:val="single" w:sz="8" w:space="0" w:color="auto"/>
            </w:tcBorders>
            <w:shd w:val="clear" w:color="000000" w:fill="92D050"/>
            <w:vAlign w:val="center"/>
            <w:hideMark/>
          </w:tcPr>
          <w:p w14:paraId="5DE7BA30"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r>
      <w:tr w:rsidR="00CB02CB" w:rsidRPr="00CB02CB" w14:paraId="174E6E9D" w14:textId="77777777" w:rsidTr="00CB02CB">
        <w:trPr>
          <w:trHeight w:val="30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023E67B5" w14:textId="77777777" w:rsidR="00CB02CB" w:rsidRPr="00CB02CB" w:rsidRDefault="00CB02CB" w:rsidP="00CB02CB">
            <w:pPr>
              <w:spacing w:after="0" w:line="240" w:lineRule="auto"/>
              <w:rPr>
                <w:rFonts w:ascii="Times New Roman" w:eastAsia="Times New Roman" w:hAnsi="Times New Roman" w:cs="Times New Roman"/>
                <w:b/>
                <w:bCs/>
                <w:i/>
                <w:iCs/>
                <w:color w:val="000000"/>
                <w:sz w:val="20"/>
                <w:szCs w:val="20"/>
                <w:lang w:eastAsia="en-GB"/>
              </w:rPr>
            </w:pPr>
            <w:r w:rsidRPr="00CB02CB">
              <w:rPr>
                <w:rFonts w:ascii="Times New Roman" w:eastAsia="Times New Roman" w:hAnsi="Times New Roman" w:cs="Times New Roman"/>
                <w:b/>
                <w:bCs/>
                <w:i/>
                <w:iCs/>
                <w:color w:val="000000"/>
                <w:sz w:val="20"/>
                <w:szCs w:val="20"/>
                <w:lang w:eastAsia="en-GB"/>
              </w:rPr>
              <w:t>B. Iné poplatky</w:t>
            </w:r>
          </w:p>
        </w:tc>
        <w:tc>
          <w:tcPr>
            <w:tcW w:w="2140" w:type="dxa"/>
            <w:tcBorders>
              <w:top w:val="nil"/>
              <w:left w:val="nil"/>
              <w:bottom w:val="single" w:sz="4" w:space="0" w:color="auto"/>
              <w:right w:val="single" w:sz="4" w:space="0" w:color="auto"/>
            </w:tcBorders>
            <w:shd w:val="clear" w:color="000000" w:fill="FFC000"/>
            <w:vAlign w:val="center"/>
            <w:hideMark/>
          </w:tcPr>
          <w:p w14:paraId="2F1D4161"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sz w:val="20"/>
                <w:szCs w:val="20"/>
                <w:lang w:eastAsia="en-GB"/>
              </w:rPr>
              <w:t>0</w:t>
            </w:r>
          </w:p>
        </w:tc>
        <w:tc>
          <w:tcPr>
            <w:tcW w:w="2140" w:type="dxa"/>
            <w:tcBorders>
              <w:top w:val="nil"/>
              <w:left w:val="nil"/>
              <w:bottom w:val="single" w:sz="4" w:space="0" w:color="auto"/>
              <w:right w:val="single" w:sz="8" w:space="0" w:color="auto"/>
            </w:tcBorders>
            <w:shd w:val="clear" w:color="000000" w:fill="92D050"/>
            <w:vAlign w:val="center"/>
            <w:hideMark/>
          </w:tcPr>
          <w:p w14:paraId="1061E9AE"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r>
      <w:tr w:rsidR="00CB02CB" w:rsidRPr="00CB02CB" w14:paraId="052ED8C8" w14:textId="77777777" w:rsidTr="00CB02CB">
        <w:trPr>
          <w:trHeight w:val="30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36F62B91" w14:textId="77777777" w:rsidR="00CB02CB" w:rsidRPr="00CB02CB" w:rsidRDefault="00CB02CB" w:rsidP="00CB02CB">
            <w:pPr>
              <w:spacing w:after="0" w:line="240" w:lineRule="auto"/>
              <w:rPr>
                <w:rFonts w:ascii="Times New Roman" w:eastAsia="Times New Roman" w:hAnsi="Times New Roman" w:cs="Times New Roman"/>
                <w:b/>
                <w:bCs/>
                <w:i/>
                <w:iCs/>
                <w:color w:val="000000"/>
                <w:sz w:val="20"/>
                <w:szCs w:val="20"/>
                <w:lang w:eastAsia="en-GB"/>
              </w:rPr>
            </w:pPr>
            <w:r w:rsidRPr="00CB02CB">
              <w:rPr>
                <w:rFonts w:ascii="Times New Roman" w:eastAsia="Times New Roman" w:hAnsi="Times New Roman" w:cs="Times New Roman"/>
                <w:b/>
                <w:bCs/>
                <w:i/>
                <w:iCs/>
                <w:color w:val="000000"/>
                <w:sz w:val="20"/>
                <w:szCs w:val="20"/>
                <w:lang w:eastAsia="en-GB"/>
              </w:rPr>
              <w:t>C. Sankcie a pokuty</w:t>
            </w:r>
          </w:p>
        </w:tc>
        <w:tc>
          <w:tcPr>
            <w:tcW w:w="2140" w:type="dxa"/>
            <w:tcBorders>
              <w:top w:val="nil"/>
              <w:left w:val="nil"/>
              <w:bottom w:val="single" w:sz="4" w:space="0" w:color="auto"/>
              <w:right w:val="single" w:sz="4" w:space="0" w:color="auto"/>
            </w:tcBorders>
            <w:shd w:val="clear" w:color="000000" w:fill="FFC000"/>
            <w:vAlign w:val="center"/>
            <w:hideMark/>
          </w:tcPr>
          <w:p w14:paraId="1CF22BCD"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sz w:val="20"/>
                <w:szCs w:val="20"/>
                <w:lang w:eastAsia="en-GB"/>
              </w:rPr>
              <w:t>0</w:t>
            </w:r>
          </w:p>
        </w:tc>
        <w:tc>
          <w:tcPr>
            <w:tcW w:w="2140" w:type="dxa"/>
            <w:tcBorders>
              <w:top w:val="nil"/>
              <w:left w:val="nil"/>
              <w:bottom w:val="single" w:sz="4" w:space="0" w:color="auto"/>
              <w:right w:val="single" w:sz="8" w:space="0" w:color="auto"/>
            </w:tcBorders>
            <w:shd w:val="clear" w:color="000000" w:fill="92D050"/>
            <w:vAlign w:val="center"/>
            <w:hideMark/>
          </w:tcPr>
          <w:p w14:paraId="11870DF3"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r>
      <w:tr w:rsidR="00CB02CB" w:rsidRPr="00CB02CB" w14:paraId="3790003A" w14:textId="77777777" w:rsidTr="00CB02CB">
        <w:trPr>
          <w:trHeight w:val="30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713F184A" w14:textId="77777777" w:rsidR="00CB02CB" w:rsidRPr="00CB02CB" w:rsidRDefault="00CB02CB" w:rsidP="00CB02CB">
            <w:pPr>
              <w:spacing w:after="0" w:line="240" w:lineRule="auto"/>
              <w:rPr>
                <w:rFonts w:ascii="Times New Roman" w:eastAsia="Times New Roman" w:hAnsi="Times New Roman" w:cs="Times New Roman"/>
                <w:b/>
                <w:bCs/>
                <w:i/>
                <w:iCs/>
                <w:color w:val="000000"/>
                <w:sz w:val="20"/>
                <w:szCs w:val="20"/>
                <w:lang w:eastAsia="en-GB"/>
              </w:rPr>
            </w:pPr>
            <w:r w:rsidRPr="00CB02CB">
              <w:rPr>
                <w:rFonts w:ascii="Times New Roman" w:eastAsia="Times New Roman" w:hAnsi="Times New Roman" w:cs="Times New Roman"/>
                <w:b/>
                <w:bCs/>
                <w:i/>
                <w:iCs/>
                <w:color w:val="000000"/>
                <w:sz w:val="20"/>
                <w:szCs w:val="20"/>
                <w:lang w:eastAsia="en-GB"/>
              </w:rPr>
              <w:t>D. Nepriame finančné náklady</w:t>
            </w:r>
          </w:p>
        </w:tc>
        <w:tc>
          <w:tcPr>
            <w:tcW w:w="2140" w:type="dxa"/>
            <w:tcBorders>
              <w:top w:val="nil"/>
              <w:left w:val="nil"/>
              <w:bottom w:val="single" w:sz="4" w:space="0" w:color="auto"/>
              <w:right w:val="single" w:sz="4" w:space="0" w:color="auto"/>
            </w:tcBorders>
            <w:shd w:val="clear" w:color="000000" w:fill="FFC000"/>
            <w:vAlign w:val="center"/>
            <w:hideMark/>
          </w:tcPr>
          <w:p w14:paraId="1C93D276"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sz w:val="20"/>
                <w:szCs w:val="20"/>
                <w:lang w:eastAsia="en-GB"/>
              </w:rPr>
              <w:t>161 000</w:t>
            </w:r>
          </w:p>
        </w:tc>
        <w:tc>
          <w:tcPr>
            <w:tcW w:w="2140" w:type="dxa"/>
            <w:tcBorders>
              <w:top w:val="nil"/>
              <w:left w:val="nil"/>
              <w:bottom w:val="single" w:sz="4" w:space="0" w:color="auto"/>
              <w:right w:val="single" w:sz="8" w:space="0" w:color="auto"/>
            </w:tcBorders>
            <w:shd w:val="clear" w:color="000000" w:fill="92D050"/>
            <w:vAlign w:val="center"/>
            <w:hideMark/>
          </w:tcPr>
          <w:p w14:paraId="6DFDAAD8"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r>
      <w:tr w:rsidR="00CB02CB" w:rsidRPr="00CB02CB" w14:paraId="563088C0" w14:textId="77777777" w:rsidTr="00CB02CB">
        <w:trPr>
          <w:trHeight w:val="300"/>
        </w:trPr>
        <w:tc>
          <w:tcPr>
            <w:tcW w:w="5180" w:type="dxa"/>
            <w:tcBorders>
              <w:top w:val="nil"/>
              <w:left w:val="single" w:sz="8" w:space="0" w:color="auto"/>
              <w:bottom w:val="nil"/>
              <w:right w:val="single" w:sz="4" w:space="0" w:color="auto"/>
            </w:tcBorders>
            <w:shd w:val="clear" w:color="auto" w:fill="auto"/>
            <w:vAlign w:val="center"/>
            <w:hideMark/>
          </w:tcPr>
          <w:p w14:paraId="2A65904E" w14:textId="77777777" w:rsidR="00CB02CB" w:rsidRPr="00CB02CB" w:rsidRDefault="00CB02CB" w:rsidP="00CB02CB">
            <w:pPr>
              <w:spacing w:after="0" w:line="240" w:lineRule="auto"/>
              <w:rPr>
                <w:rFonts w:ascii="Times New Roman" w:eastAsia="Times New Roman" w:hAnsi="Times New Roman" w:cs="Times New Roman"/>
                <w:b/>
                <w:bCs/>
                <w:i/>
                <w:iCs/>
                <w:color w:val="000000"/>
                <w:sz w:val="20"/>
                <w:szCs w:val="20"/>
                <w:lang w:eastAsia="en-GB"/>
              </w:rPr>
            </w:pPr>
            <w:r w:rsidRPr="00CB02CB">
              <w:rPr>
                <w:rFonts w:ascii="Times New Roman" w:eastAsia="Times New Roman" w:hAnsi="Times New Roman" w:cs="Times New Roman"/>
                <w:b/>
                <w:bCs/>
                <w:i/>
                <w:iCs/>
                <w:color w:val="000000"/>
                <w:sz w:val="20"/>
                <w:szCs w:val="20"/>
                <w:lang w:eastAsia="en-GB"/>
              </w:rPr>
              <w:t>E. Administratívne náklady</w:t>
            </w:r>
          </w:p>
        </w:tc>
        <w:tc>
          <w:tcPr>
            <w:tcW w:w="2140" w:type="dxa"/>
            <w:tcBorders>
              <w:top w:val="nil"/>
              <w:left w:val="nil"/>
              <w:bottom w:val="nil"/>
              <w:right w:val="single" w:sz="4" w:space="0" w:color="auto"/>
            </w:tcBorders>
            <w:shd w:val="clear" w:color="000000" w:fill="FFC000"/>
            <w:vAlign w:val="center"/>
            <w:hideMark/>
          </w:tcPr>
          <w:p w14:paraId="155DD502"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sz w:val="20"/>
                <w:szCs w:val="20"/>
                <w:lang w:eastAsia="en-GB"/>
              </w:rPr>
              <w:t>132 148</w:t>
            </w:r>
          </w:p>
        </w:tc>
        <w:tc>
          <w:tcPr>
            <w:tcW w:w="2140" w:type="dxa"/>
            <w:tcBorders>
              <w:top w:val="nil"/>
              <w:left w:val="nil"/>
              <w:bottom w:val="nil"/>
              <w:right w:val="single" w:sz="8" w:space="0" w:color="auto"/>
            </w:tcBorders>
            <w:shd w:val="clear" w:color="000000" w:fill="92D050"/>
            <w:vAlign w:val="center"/>
            <w:hideMark/>
          </w:tcPr>
          <w:p w14:paraId="4BC16AF1"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r>
      <w:tr w:rsidR="00CB02CB" w:rsidRPr="00CB02CB" w14:paraId="0C0B1BFC" w14:textId="77777777" w:rsidTr="00CB02CB">
        <w:trPr>
          <w:trHeight w:val="300"/>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FB087E" w14:textId="77777777" w:rsidR="00CB02CB" w:rsidRPr="00CB02CB" w:rsidRDefault="00CB02CB" w:rsidP="00CB02CB">
            <w:pPr>
              <w:spacing w:after="0" w:line="240" w:lineRule="auto"/>
              <w:rPr>
                <w:rFonts w:ascii="Times New Roman" w:eastAsia="Times New Roman" w:hAnsi="Times New Roman" w:cs="Times New Roman"/>
                <w:b/>
                <w:bCs/>
                <w:i/>
                <w:iCs/>
                <w:color w:val="000000"/>
                <w:sz w:val="20"/>
                <w:szCs w:val="20"/>
                <w:lang w:eastAsia="en-GB"/>
              </w:rPr>
            </w:pPr>
            <w:r w:rsidRPr="00CB02CB">
              <w:rPr>
                <w:rFonts w:ascii="Times New Roman" w:eastAsia="Times New Roman" w:hAnsi="Times New Roman" w:cs="Times New Roman"/>
                <w:b/>
                <w:bCs/>
                <w:i/>
                <w:iCs/>
                <w:color w:val="000000"/>
                <w:sz w:val="20"/>
                <w:szCs w:val="20"/>
                <w:lang w:eastAsia="en-GB"/>
              </w:rPr>
              <w:t>Spolu = A+B+C+D+E</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1F817BFA"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sz w:val="20"/>
                <w:szCs w:val="20"/>
                <w:lang w:eastAsia="en-GB"/>
              </w:rPr>
              <w:t>293 148</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457DF41F"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r>
      <w:tr w:rsidR="00CB02CB" w:rsidRPr="00CB02CB" w14:paraId="5B1B80DE" w14:textId="77777777" w:rsidTr="00CB02CB">
        <w:trPr>
          <w:trHeight w:val="300"/>
        </w:trPr>
        <w:tc>
          <w:tcPr>
            <w:tcW w:w="5180" w:type="dxa"/>
            <w:tcBorders>
              <w:top w:val="nil"/>
              <w:left w:val="nil"/>
              <w:bottom w:val="nil"/>
              <w:right w:val="nil"/>
            </w:tcBorders>
            <w:shd w:val="clear" w:color="auto" w:fill="auto"/>
            <w:vAlign w:val="center"/>
            <w:hideMark/>
          </w:tcPr>
          <w:p w14:paraId="213D5A68"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p>
        </w:tc>
        <w:tc>
          <w:tcPr>
            <w:tcW w:w="2140" w:type="dxa"/>
            <w:tcBorders>
              <w:top w:val="nil"/>
              <w:left w:val="nil"/>
              <w:bottom w:val="nil"/>
              <w:right w:val="nil"/>
            </w:tcBorders>
            <w:shd w:val="clear" w:color="auto" w:fill="auto"/>
            <w:vAlign w:val="center"/>
            <w:hideMark/>
          </w:tcPr>
          <w:p w14:paraId="49C202AD" w14:textId="77777777" w:rsidR="00CB02CB" w:rsidRPr="00CB02CB" w:rsidRDefault="00CB02CB" w:rsidP="00CB02CB">
            <w:pPr>
              <w:spacing w:after="0" w:line="240" w:lineRule="auto"/>
              <w:rPr>
                <w:rFonts w:ascii="Times New Roman" w:eastAsia="Times New Roman" w:hAnsi="Times New Roman" w:cs="Times New Roman"/>
                <w:sz w:val="20"/>
                <w:szCs w:val="20"/>
                <w:lang w:eastAsia="en-GB"/>
              </w:rPr>
            </w:pPr>
          </w:p>
        </w:tc>
        <w:tc>
          <w:tcPr>
            <w:tcW w:w="2140" w:type="dxa"/>
            <w:tcBorders>
              <w:top w:val="nil"/>
              <w:left w:val="nil"/>
              <w:bottom w:val="nil"/>
              <w:right w:val="nil"/>
            </w:tcBorders>
            <w:shd w:val="clear" w:color="auto" w:fill="auto"/>
            <w:vAlign w:val="center"/>
            <w:hideMark/>
          </w:tcPr>
          <w:p w14:paraId="32ED77D9" w14:textId="77777777" w:rsidR="00CB02CB" w:rsidRPr="00CB02CB" w:rsidRDefault="00CB02CB" w:rsidP="00CB02CB">
            <w:pPr>
              <w:spacing w:after="0" w:line="240" w:lineRule="auto"/>
              <w:rPr>
                <w:rFonts w:ascii="Times New Roman" w:eastAsia="Times New Roman" w:hAnsi="Times New Roman" w:cs="Times New Roman"/>
                <w:sz w:val="20"/>
                <w:szCs w:val="20"/>
                <w:lang w:eastAsia="en-GB"/>
              </w:rPr>
            </w:pPr>
          </w:p>
        </w:tc>
      </w:tr>
      <w:tr w:rsidR="00CB02CB" w:rsidRPr="00CB02CB" w14:paraId="363A80FC" w14:textId="77777777" w:rsidTr="00CB02CB">
        <w:trPr>
          <w:trHeight w:val="600"/>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BB7F6" w14:textId="77777777" w:rsidR="00CB02CB" w:rsidRPr="00CB02CB" w:rsidRDefault="00CB02CB" w:rsidP="00CB02CB">
            <w:pPr>
              <w:spacing w:after="0" w:line="240" w:lineRule="auto"/>
              <w:rPr>
                <w:rFonts w:ascii="Times New Roman" w:eastAsia="Times New Roman" w:hAnsi="Times New Roman" w:cs="Times New Roman"/>
                <w:b/>
                <w:bCs/>
                <w:i/>
                <w:iCs/>
                <w:color w:val="000000"/>
                <w:sz w:val="20"/>
                <w:szCs w:val="20"/>
                <w:lang w:eastAsia="en-GB"/>
              </w:rPr>
            </w:pPr>
            <w:r w:rsidRPr="00CB02CB">
              <w:rPr>
                <w:rFonts w:ascii="Times New Roman" w:eastAsia="Times New Roman" w:hAnsi="Times New Roman" w:cs="Times New Roman"/>
                <w:b/>
                <w:bCs/>
                <w:i/>
                <w:iCs/>
                <w:color w:val="000000"/>
                <w:sz w:val="20"/>
                <w:szCs w:val="20"/>
                <w:lang w:eastAsia="en-GB"/>
              </w:rPr>
              <w:t>Harmonizácia práva EÚ</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2D3D471D"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Zvýšenie nákladov v € na PP</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22DDE8D9"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Zníženie nákladov v € na PP</w:t>
            </w:r>
          </w:p>
        </w:tc>
      </w:tr>
      <w:tr w:rsidR="00CB02CB" w:rsidRPr="00CB02CB" w14:paraId="44C42A42" w14:textId="77777777" w:rsidTr="00CB02CB">
        <w:trPr>
          <w:trHeight w:val="990"/>
        </w:trPr>
        <w:tc>
          <w:tcPr>
            <w:tcW w:w="5180" w:type="dxa"/>
            <w:tcBorders>
              <w:top w:val="nil"/>
              <w:left w:val="single" w:sz="8" w:space="0" w:color="auto"/>
              <w:bottom w:val="nil"/>
              <w:right w:val="single" w:sz="4" w:space="0" w:color="auto"/>
            </w:tcBorders>
            <w:shd w:val="clear" w:color="auto" w:fill="auto"/>
            <w:vAlign w:val="center"/>
            <w:hideMark/>
          </w:tcPr>
          <w:p w14:paraId="7D730734" w14:textId="77777777" w:rsidR="00CB02CB" w:rsidRPr="00CB02CB" w:rsidRDefault="00CB02CB" w:rsidP="00CB02CB">
            <w:pPr>
              <w:spacing w:after="0" w:line="240" w:lineRule="auto"/>
              <w:rPr>
                <w:rFonts w:ascii="Times New Roman" w:eastAsia="Times New Roman" w:hAnsi="Times New Roman" w:cs="Times New Roman"/>
                <w:b/>
                <w:bCs/>
                <w:i/>
                <w:iCs/>
                <w:color w:val="000000"/>
                <w:sz w:val="20"/>
                <w:szCs w:val="20"/>
                <w:lang w:eastAsia="en-GB"/>
              </w:rPr>
            </w:pPr>
            <w:r w:rsidRPr="00CB02CB">
              <w:rPr>
                <w:rFonts w:ascii="Times New Roman" w:eastAsia="Times New Roman" w:hAnsi="Times New Roman" w:cs="Times New Roman"/>
                <w:b/>
                <w:bCs/>
                <w:i/>
                <w:iCs/>
                <w:color w:val="000000"/>
                <w:sz w:val="20"/>
                <w:szCs w:val="20"/>
                <w:lang w:eastAsia="en-GB"/>
              </w:rPr>
              <w:t>F. Úplná harmonizácia práva EÚ</w:t>
            </w:r>
            <w:r w:rsidRPr="00CB02CB">
              <w:rPr>
                <w:rFonts w:ascii="Times New Roman" w:eastAsia="Times New Roman" w:hAnsi="Times New Roman" w:cs="Times New Roman"/>
                <w:b/>
                <w:bCs/>
                <w:i/>
                <w:iCs/>
                <w:color w:val="000000"/>
                <w:sz w:val="20"/>
                <w:szCs w:val="20"/>
                <w:lang w:eastAsia="en-GB"/>
              </w:rPr>
              <w:br/>
            </w:r>
            <w:r w:rsidRPr="00CB02CB">
              <w:rPr>
                <w:rFonts w:ascii="Times New Roman" w:eastAsia="Times New Roman" w:hAnsi="Times New Roman" w:cs="Times New Roman"/>
                <w:i/>
                <w:iCs/>
                <w:color w:val="000000"/>
                <w:sz w:val="16"/>
                <w:szCs w:val="16"/>
                <w:lang w:eastAsia="en-GB"/>
              </w:rPr>
              <w:t>(okrem daní, odvodov, ciel a poplatkov, ktorých cieľom je znižovať negatívne externality)</w:t>
            </w:r>
          </w:p>
        </w:tc>
        <w:tc>
          <w:tcPr>
            <w:tcW w:w="2140" w:type="dxa"/>
            <w:tcBorders>
              <w:top w:val="nil"/>
              <w:left w:val="nil"/>
              <w:bottom w:val="nil"/>
              <w:right w:val="single" w:sz="4" w:space="0" w:color="auto"/>
            </w:tcBorders>
            <w:shd w:val="clear" w:color="000000" w:fill="FFC000"/>
            <w:vAlign w:val="center"/>
            <w:hideMark/>
          </w:tcPr>
          <w:p w14:paraId="40E856EB"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293 148</w:t>
            </w:r>
          </w:p>
        </w:tc>
        <w:tc>
          <w:tcPr>
            <w:tcW w:w="2140" w:type="dxa"/>
            <w:tcBorders>
              <w:top w:val="nil"/>
              <w:left w:val="nil"/>
              <w:bottom w:val="nil"/>
              <w:right w:val="single" w:sz="8" w:space="0" w:color="auto"/>
            </w:tcBorders>
            <w:shd w:val="clear" w:color="000000" w:fill="92D050"/>
            <w:vAlign w:val="center"/>
            <w:hideMark/>
          </w:tcPr>
          <w:p w14:paraId="2C5B471F"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r>
      <w:tr w:rsidR="00CB02CB" w:rsidRPr="00CB02CB" w14:paraId="7D9FB82C" w14:textId="77777777" w:rsidTr="00CB02CB">
        <w:trPr>
          <w:trHeight w:val="270"/>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495F015" w14:textId="77777777" w:rsidR="00CB02CB" w:rsidRPr="00CB02CB" w:rsidRDefault="00CB02CB" w:rsidP="00CB02CB">
            <w:pPr>
              <w:spacing w:after="0" w:line="240" w:lineRule="auto"/>
              <w:rPr>
                <w:rFonts w:ascii="Times New Roman" w:eastAsia="Times New Roman" w:hAnsi="Times New Roman" w:cs="Times New Roman"/>
                <w:b/>
                <w:bCs/>
                <w:i/>
                <w:iCs/>
                <w:color w:val="000000"/>
                <w:sz w:val="20"/>
                <w:szCs w:val="20"/>
                <w:lang w:eastAsia="en-GB"/>
              </w:rPr>
            </w:pPr>
            <w:r w:rsidRPr="00CB02CB">
              <w:rPr>
                <w:rFonts w:ascii="Times New Roman" w:eastAsia="Times New Roman" w:hAnsi="Times New Roman" w:cs="Times New Roman"/>
                <w:b/>
                <w:bCs/>
                <w:i/>
                <w:iCs/>
                <w:color w:val="000000"/>
                <w:sz w:val="20"/>
                <w:szCs w:val="20"/>
                <w:lang w:eastAsia="en-GB"/>
              </w:rPr>
              <w:t>G. Goldplating</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772821C1"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59A3D7EE"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r>
      <w:tr w:rsidR="00CB02CB" w:rsidRPr="00CB02CB" w14:paraId="260459B9" w14:textId="77777777" w:rsidTr="00CB02CB">
        <w:trPr>
          <w:trHeight w:val="270"/>
        </w:trPr>
        <w:tc>
          <w:tcPr>
            <w:tcW w:w="5180" w:type="dxa"/>
            <w:tcBorders>
              <w:top w:val="nil"/>
              <w:left w:val="nil"/>
              <w:bottom w:val="nil"/>
              <w:right w:val="nil"/>
            </w:tcBorders>
            <w:shd w:val="clear" w:color="auto" w:fill="auto"/>
            <w:noWrap/>
            <w:vAlign w:val="bottom"/>
            <w:hideMark/>
          </w:tcPr>
          <w:p w14:paraId="736973B5"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p>
        </w:tc>
        <w:tc>
          <w:tcPr>
            <w:tcW w:w="2140" w:type="dxa"/>
            <w:tcBorders>
              <w:top w:val="nil"/>
              <w:left w:val="nil"/>
              <w:bottom w:val="nil"/>
              <w:right w:val="nil"/>
            </w:tcBorders>
            <w:shd w:val="clear" w:color="auto" w:fill="auto"/>
            <w:vAlign w:val="center"/>
            <w:hideMark/>
          </w:tcPr>
          <w:p w14:paraId="2F88CD2F" w14:textId="77777777" w:rsidR="00CB02CB" w:rsidRPr="00CB02CB" w:rsidRDefault="00CB02CB" w:rsidP="00CB02CB">
            <w:pPr>
              <w:spacing w:after="0" w:line="240" w:lineRule="auto"/>
              <w:rPr>
                <w:rFonts w:ascii="Times New Roman" w:eastAsia="Times New Roman" w:hAnsi="Times New Roman" w:cs="Times New Roman"/>
                <w:sz w:val="20"/>
                <w:szCs w:val="20"/>
                <w:lang w:eastAsia="en-GB"/>
              </w:rPr>
            </w:pPr>
          </w:p>
        </w:tc>
        <w:tc>
          <w:tcPr>
            <w:tcW w:w="2140" w:type="dxa"/>
            <w:tcBorders>
              <w:top w:val="nil"/>
              <w:left w:val="nil"/>
              <w:bottom w:val="nil"/>
              <w:right w:val="nil"/>
            </w:tcBorders>
            <w:shd w:val="clear" w:color="auto" w:fill="auto"/>
            <w:vAlign w:val="center"/>
            <w:hideMark/>
          </w:tcPr>
          <w:p w14:paraId="2E34433D" w14:textId="77777777" w:rsidR="00CB02CB" w:rsidRPr="00CB02CB" w:rsidRDefault="00CB02CB" w:rsidP="00CB02CB">
            <w:pPr>
              <w:spacing w:after="0" w:line="240" w:lineRule="auto"/>
              <w:rPr>
                <w:rFonts w:ascii="Times New Roman" w:eastAsia="Times New Roman" w:hAnsi="Times New Roman" w:cs="Times New Roman"/>
                <w:sz w:val="20"/>
                <w:szCs w:val="20"/>
                <w:lang w:eastAsia="en-GB"/>
              </w:rPr>
            </w:pPr>
          </w:p>
        </w:tc>
      </w:tr>
      <w:tr w:rsidR="00CB02CB" w:rsidRPr="00CB02CB" w14:paraId="29A5B405" w14:textId="77777777" w:rsidTr="00CB02CB">
        <w:trPr>
          <w:trHeight w:val="270"/>
        </w:trPr>
        <w:tc>
          <w:tcPr>
            <w:tcW w:w="5180" w:type="dxa"/>
            <w:tcBorders>
              <w:top w:val="nil"/>
              <w:left w:val="nil"/>
              <w:bottom w:val="nil"/>
              <w:right w:val="nil"/>
            </w:tcBorders>
            <w:shd w:val="clear" w:color="auto" w:fill="auto"/>
            <w:noWrap/>
            <w:vAlign w:val="bottom"/>
            <w:hideMark/>
          </w:tcPr>
          <w:p w14:paraId="0FF2CA87" w14:textId="77777777" w:rsidR="00CB02CB" w:rsidRPr="00CB02CB" w:rsidRDefault="00CB02CB" w:rsidP="00CB02CB">
            <w:pPr>
              <w:spacing w:after="0" w:line="240" w:lineRule="auto"/>
              <w:rPr>
                <w:rFonts w:ascii="Times New Roman" w:eastAsia="Times New Roman" w:hAnsi="Times New Roman" w:cs="Times New Roman"/>
                <w:sz w:val="20"/>
                <w:szCs w:val="20"/>
                <w:lang w:eastAsia="en-GB"/>
              </w:rPr>
            </w:pPr>
          </w:p>
        </w:tc>
        <w:tc>
          <w:tcPr>
            <w:tcW w:w="2140" w:type="dxa"/>
            <w:tcBorders>
              <w:top w:val="nil"/>
              <w:left w:val="nil"/>
              <w:bottom w:val="nil"/>
              <w:right w:val="nil"/>
            </w:tcBorders>
            <w:shd w:val="clear" w:color="auto" w:fill="auto"/>
            <w:vAlign w:val="center"/>
            <w:hideMark/>
          </w:tcPr>
          <w:p w14:paraId="705058FC" w14:textId="77777777" w:rsidR="00CB02CB" w:rsidRPr="00CB02CB" w:rsidRDefault="00CB02CB" w:rsidP="00CB02CB">
            <w:pPr>
              <w:spacing w:after="0" w:line="240" w:lineRule="auto"/>
              <w:rPr>
                <w:rFonts w:ascii="Times New Roman" w:eastAsia="Times New Roman" w:hAnsi="Times New Roman" w:cs="Times New Roman"/>
                <w:sz w:val="20"/>
                <w:szCs w:val="20"/>
                <w:lang w:eastAsia="en-GB"/>
              </w:rPr>
            </w:pPr>
          </w:p>
        </w:tc>
        <w:tc>
          <w:tcPr>
            <w:tcW w:w="2140" w:type="dxa"/>
            <w:tcBorders>
              <w:top w:val="nil"/>
              <w:left w:val="nil"/>
              <w:bottom w:val="nil"/>
              <w:right w:val="nil"/>
            </w:tcBorders>
            <w:shd w:val="clear" w:color="auto" w:fill="auto"/>
            <w:vAlign w:val="center"/>
            <w:hideMark/>
          </w:tcPr>
          <w:p w14:paraId="5572A160" w14:textId="77777777" w:rsidR="00CB02CB" w:rsidRPr="00CB02CB" w:rsidRDefault="00CB02CB" w:rsidP="00CB02CB">
            <w:pPr>
              <w:spacing w:after="0" w:line="240" w:lineRule="auto"/>
              <w:rPr>
                <w:rFonts w:ascii="Times New Roman" w:eastAsia="Times New Roman" w:hAnsi="Times New Roman" w:cs="Times New Roman"/>
                <w:sz w:val="20"/>
                <w:szCs w:val="20"/>
                <w:lang w:eastAsia="en-GB"/>
              </w:rPr>
            </w:pPr>
          </w:p>
        </w:tc>
      </w:tr>
      <w:tr w:rsidR="00CB02CB" w:rsidRPr="00CB02CB" w14:paraId="10F99E0F" w14:textId="77777777" w:rsidTr="00CB02CB">
        <w:trPr>
          <w:trHeight w:val="330"/>
        </w:trPr>
        <w:tc>
          <w:tcPr>
            <w:tcW w:w="51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F7FCFB" w14:textId="77777777" w:rsidR="00CB02CB" w:rsidRPr="00CB02CB" w:rsidRDefault="00CB02CB" w:rsidP="00CB02CB">
            <w:pPr>
              <w:spacing w:after="0" w:line="240" w:lineRule="auto"/>
              <w:rPr>
                <w:rFonts w:ascii="Times New Roman" w:eastAsia="Times New Roman" w:hAnsi="Times New Roman" w:cs="Times New Roman"/>
                <w:i/>
                <w:iCs/>
                <w:color w:val="000000"/>
                <w:sz w:val="20"/>
                <w:szCs w:val="20"/>
                <w:lang w:eastAsia="en-GB"/>
              </w:rPr>
            </w:pPr>
            <w:r w:rsidRPr="00CB02CB">
              <w:rPr>
                <w:rFonts w:ascii="Times New Roman" w:eastAsia="Times New Roman" w:hAnsi="Times New Roman" w:cs="Times New Roman"/>
                <w:i/>
                <w:iCs/>
                <w:color w:val="000000"/>
                <w:sz w:val="20"/>
                <w:szCs w:val="20"/>
                <w:lang w:eastAsia="en-GB"/>
              </w:rPr>
              <w:t>VÝPOČET PRAVIDLA 1in2out:</w:t>
            </w:r>
          </w:p>
        </w:tc>
        <w:tc>
          <w:tcPr>
            <w:tcW w:w="2140" w:type="dxa"/>
            <w:tcBorders>
              <w:top w:val="single" w:sz="8" w:space="0" w:color="auto"/>
              <w:left w:val="nil"/>
              <w:bottom w:val="single" w:sz="4" w:space="0" w:color="auto"/>
              <w:right w:val="single" w:sz="4" w:space="0" w:color="auto"/>
            </w:tcBorders>
            <w:shd w:val="clear" w:color="000000" w:fill="FFC000"/>
            <w:vAlign w:val="center"/>
            <w:hideMark/>
          </w:tcPr>
          <w:p w14:paraId="48B108DE"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IN</w:t>
            </w:r>
          </w:p>
        </w:tc>
        <w:tc>
          <w:tcPr>
            <w:tcW w:w="2140" w:type="dxa"/>
            <w:tcBorders>
              <w:top w:val="single" w:sz="8" w:space="0" w:color="auto"/>
              <w:left w:val="nil"/>
              <w:bottom w:val="single" w:sz="4" w:space="0" w:color="auto"/>
              <w:right w:val="single" w:sz="8" w:space="0" w:color="auto"/>
            </w:tcBorders>
            <w:shd w:val="clear" w:color="000000" w:fill="92D050"/>
            <w:vAlign w:val="center"/>
            <w:hideMark/>
          </w:tcPr>
          <w:p w14:paraId="4AAE04C4"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OUT</w:t>
            </w:r>
          </w:p>
        </w:tc>
      </w:tr>
      <w:tr w:rsidR="00CB02CB" w:rsidRPr="00CB02CB" w14:paraId="7201BFE0" w14:textId="77777777" w:rsidTr="00CB02CB">
        <w:trPr>
          <w:trHeight w:val="345"/>
        </w:trPr>
        <w:tc>
          <w:tcPr>
            <w:tcW w:w="5180" w:type="dxa"/>
            <w:tcBorders>
              <w:top w:val="nil"/>
              <w:left w:val="single" w:sz="8" w:space="0" w:color="auto"/>
              <w:bottom w:val="single" w:sz="8" w:space="0" w:color="auto"/>
              <w:right w:val="single" w:sz="4" w:space="0" w:color="auto"/>
            </w:tcBorders>
            <w:shd w:val="clear" w:color="auto" w:fill="auto"/>
            <w:vAlign w:val="center"/>
            <w:hideMark/>
          </w:tcPr>
          <w:p w14:paraId="53316A88" w14:textId="77777777" w:rsidR="00CB02CB" w:rsidRPr="00CB02CB" w:rsidRDefault="00CB02CB" w:rsidP="00CB02CB">
            <w:pPr>
              <w:spacing w:after="0" w:line="240" w:lineRule="auto"/>
              <w:rPr>
                <w:rFonts w:ascii="Times New Roman" w:eastAsia="Times New Roman" w:hAnsi="Times New Roman" w:cs="Times New Roman"/>
                <w:i/>
                <w:iCs/>
                <w:color w:val="000000"/>
                <w:sz w:val="20"/>
                <w:szCs w:val="20"/>
                <w:lang w:eastAsia="en-GB"/>
              </w:rPr>
            </w:pPr>
            <w:r w:rsidRPr="00CB02CB">
              <w:rPr>
                <w:rFonts w:ascii="Times New Roman" w:eastAsia="Times New Roman" w:hAnsi="Times New Roman" w:cs="Times New Roman"/>
                <w:i/>
                <w:iCs/>
                <w:color w:val="000000"/>
                <w:sz w:val="20"/>
                <w:szCs w:val="20"/>
                <w:lang w:eastAsia="en-GB"/>
              </w:rPr>
              <w:t>H</w:t>
            </w:r>
            <w:r w:rsidRPr="00CB02CB">
              <w:rPr>
                <w:rFonts w:ascii="Times New Roman" w:eastAsia="Times New Roman" w:hAnsi="Times New Roman" w:cs="Times New Roman"/>
                <w:b/>
                <w:bCs/>
                <w:i/>
                <w:iCs/>
                <w:color w:val="000000"/>
                <w:sz w:val="20"/>
                <w:szCs w:val="20"/>
                <w:lang w:eastAsia="en-GB"/>
              </w:rPr>
              <w:t>.</w:t>
            </w:r>
            <w:r w:rsidRPr="00CB02CB">
              <w:rPr>
                <w:rFonts w:ascii="Times New Roman" w:eastAsia="Times New Roman" w:hAnsi="Times New Roman" w:cs="Times New Roman"/>
                <w:i/>
                <w:iCs/>
                <w:color w:val="000000"/>
                <w:sz w:val="20"/>
                <w:szCs w:val="20"/>
                <w:lang w:eastAsia="en-GB"/>
              </w:rPr>
              <w:t xml:space="preserve"> Náklady okrem výnimiek = B+D+E-F</w:t>
            </w:r>
          </w:p>
        </w:tc>
        <w:tc>
          <w:tcPr>
            <w:tcW w:w="2140" w:type="dxa"/>
            <w:tcBorders>
              <w:top w:val="nil"/>
              <w:left w:val="nil"/>
              <w:bottom w:val="single" w:sz="8" w:space="0" w:color="auto"/>
              <w:right w:val="single" w:sz="4" w:space="0" w:color="auto"/>
            </w:tcBorders>
            <w:shd w:val="clear" w:color="000000" w:fill="FFC000"/>
            <w:vAlign w:val="center"/>
            <w:hideMark/>
          </w:tcPr>
          <w:p w14:paraId="29D0CF61"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c>
          <w:tcPr>
            <w:tcW w:w="2140" w:type="dxa"/>
            <w:tcBorders>
              <w:top w:val="nil"/>
              <w:left w:val="nil"/>
              <w:bottom w:val="single" w:sz="8" w:space="0" w:color="auto"/>
              <w:right w:val="single" w:sz="8" w:space="0" w:color="auto"/>
            </w:tcBorders>
            <w:shd w:val="clear" w:color="000000" w:fill="92D050"/>
            <w:vAlign w:val="center"/>
            <w:hideMark/>
          </w:tcPr>
          <w:p w14:paraId="4AB08C43" w14:textId="77777777" w:rsidR="00CB02CB" w:rsidRPr="00CB02CB" w:rsidRDefault="00CB02CB" w:rsidP="00CB02CB">
            <w:pPr>
              <w:spacing w:after="0" w:line="240" w:lineRule="auto"/>
              <w:jc w:val="center"/>
              <w:rPr>
                <w:rFonts w:ascii="Times New Roman" w:eastAsia="Times New Roman" w:hAnsi="Times New Roman" w:cs="Times New Roman"/>
                <w:b/>
                <w:bCs/>
                <w:color w:val="000000"/>
                <w:sz w:val="20"/>
                <w:szCs w:val="20"/>
                <w:lang w:eastAsia="en-GB"/>
              </w:rPr>
            </w:pPr>
            <w:r w:rsidRPr="00CB02CB">
              <w:rPr>
                <w:rFonts w:ascii="Times New Roman" w:eastAsia="Times New Roman" w:hAnsi="Times New Roman" w:cs="Times New Roman"/>
                <w:b/>
                <w:bCs/>
                <w:color w:val="000000"/>
                <w:sz w:val="20"/>
                <w:szCs w:val="20"/>
                <w:lang w:eastAsia="en-GB"/>
              </w:rPr>
              <w:t>0</w:t>
            </w:r>
          </w:p>
        </w:tc>
      </w:tr>
    </w:tbl>
    <w:p w14:paraId="16F63BAE" w14:textId="77777777" w:rsidR="00D830E8" w:rsidRPr="00D830E8" w:rsidRDefault="00D830E8" w:rsidP="00D830E8">
      <w:pPr>
        <w:spacing w:after="0" w:line="240" w:lineRule="auto"/>
        <w:rPr>
          <w:rFonts w:ascii="Times New Roman" w:eastAsia="Calibri" w:hAnsi="Times New Roman" w:cs="Times New Roman"/>
          <w:b/>
          <w:sz w:val="24"/>
          <w:szCs w:val="24"/>
          <w:highlight w:val="yellow"/>
          <w:lang w:eastAsia="en-GB"/>
        </w:rPr>
        <w:sectPr w:rsidR="00D830E8" w:rsidRPr="00D830E8" w:rsidSect="00596A03">
          <w:pgSz w:w="11906" w:h="16838"/>
          <w:pgMar w:top="993" w:right="1417" w:bottom="1417" w:left="1417" w:header="708" w:footer="708" w:gutter="0"/>
          <w:cols w:space="708"/>
          <w:docGrid w:linePitch="360"/>
        </w:sectPr>
      </w:pPr>
    </w:p>
    <w:p w14:paraId="7F5C4BDD" w14:textId="77777777" w:rsidR="00D830E8" w:rsidRPr="00D830E8" w:rsidRDefault="00D830E8" w:rsidP="00D830E8">
      <w:pPr>
        <w:spacing w:after="0" w:line="240" w:lineRule="auto"/>
        <w:rPr>
          <w:rFonts w:ascii="Times New Roman" w:eastAsia="Calibri" w:hAnsi="Times New Roman" w:cs="Times New Roman"/>
          <w:b/>
          <w:i/>
          <w:iCs/>
          <w:sz w:val="24"/>
          <w:szCs w:val="24"/>
          <w:lang w:eastAsia="en-GB"/>
        </w:rPr>
      </w:pPr>
      <w:r w:rsidRPr="00D830E8">
        <w:rPr>
          <w:rFonts w:ascii="Times New Roman" w:eastAsia="Calibri" w:hAnsi="Times New Roman" w:cs="Times New Roman"/>
          <w:b/>
          <w:i/>
          <w:iCs/>
          <w:sz w:val="24"/>
          <w:szCs w:val="24"/>
          <w:lang w:eastAsia="en-GB"/>
        </w:rPr>
        <w:lastRenderedPageBreak/>
        <w:t>3.1.2 Výpočty vplyvov jednotlivých regulácií na zmeny v nákladoch podnikateľov</w:t>
      </w:r>
      <w:r w:rsidRPr="00D830E8">
        <w:rPr>
          <w:rFonts w:ascii="Times New Roman" w:eastAsia="Calibri" w:hAnsi="Times New Roman" w:cs="Times New Roman"/>
          <w:i/>
          <w:sz w:val="24"/>
          <w:szCs w:val="24"/>
          <w:lang w:eastAsia="en-GB"/>
        </w:rPr>
        <w:tab/>
      </w:r>
      <w:r w:rsidRPr="00D830E8">
        <w:rPr>
          <w:rFonts w:ascii="Times New Roman" w:eastAsia="Calibri" w:hAnsi="Times New Roman" w:cs="Times New Roman"/>
          <w:i/>
          <w:sz w:val="24"/>
          <w:szCs w:val="24"/>
          <w:lang w:eastAsia="en-GB"/>
        </w:rPr>
        <w:tab/>
      </w:r>
      <w:r w:rsidRPr="00D830E8">
        <w:rPr>
          <w:rFonts w:ascii="Times New Roman" w:eastAsia="Calibri" w:hAnsi="Times New Roman" w:cs="Times New Roman"/>
          <w:i/>
          <w:sz w:val="24"/>
          <w:szCs w:val="24"/>
          <w:lang w:eastAsia="en-GB"/>
        </w:rPr>
        <w:tab/>
      </w:r>
      <w:r w:rsidRPr="00D830E8">
        <w:rPr>
          <w:rFonts w:ascii="Times New Roman" w:eastAsia="Calibri" w:hAnsi="Times New Roman" w:cs="Times New Roman"/>
          <w:i/>
          <w:sz w:val="24"/>
          <w:szCs w:val="24"/>
          <w:lang w:eastAsia="en-GB"/>
        </w:rPr>
        <w:tab/>
      </w:r>
      <w:r w:rsidRPr="00D830E8">
        <w:rPr>
          <w:rFonts w:ascii="Times New Roman" w:eastAsia="Calibri" w:hAnsi="Times New Roman" w:cs="Times New Roman"/>
          <w:i/>
          <w:sz w:val="24"/>
          <w:szCs w:val="24"/>
          <w:lang w:eastAsia="en-GB"/>
        </w:rPr>
        <w:tab/>
      </w:r>
      <w:r w:rsidRPr="00D830E8">
        <w:rPr>
          <w:rFonts w:ascii="Times New Roman" w:eastAsia="Calibri" w:hAnsi="Times New Roman" w:cs="Times New Roman"/>
          <w:i/>
          <w:sz w:val="24"/>
          <w:szCs w:val="24"/>
          <w:lang w:eastAsia="en-GB"/>
        </w:rPr>
        <w:tab/>
      </w:r>
      <w:r w:rsidRPr="00D830E8">
        <w:rPr>
          <w:rFonts w:ascii="Times New Roman" w:eastAsia="Calibri" w:hAnsi="Times New Roman" w:cs="Times New Roman"/>
          <w:i/>
          <w:sz w:val="24"/>
          <w:szCs w:val="24"/>
          <w:lang w:eastAsia="en-GB"/>
        </w:rPr>
        <w:tab/>
      </w:r>
      <w:r w:rsidRPr="00D830E8">
        <w:rPr>
          <w:rFonts w:ascii="Times New Roman" w:eastAsia="Calibri" w:hAnsi="Times New Roman" w:cs="Times New Roman"/>
          <w:i/>
          <w:sz w:val="24"/>
          <w:szCs w:val="24"/>
          <w:lang w:eastAsia="en-GB"/>
        </w:rPr>
        <w:tab/>
      </w:r>
    </w:p>
    <w:p w14:paraId="12D74C55" w14:textId="77777777" w:rsidR="00D830E8" w:rsidRPr="00D830E8" w:rsidRDefault="00D830E8" w:rsidP="00D830E8">
      <w:pPr>
        <w:spacing w:after="0" w:line="240" w:lineRule="auto"/>
        <w:jc w:val="both"/>
        <w:rPr>
          <w:rFonts w:ascii="Times New Roman" w:eastAsia="Calibri" w:hAnsi="Times New Roman" w:cs="Times New Roman"/>
          <w:i/>
          <w:sz w:val="24"/>
          <w:szCs w:val="24"/>
          <w:lang w:eastAsia="en-GB"/>
        </w:rPr>
      </w:pPr>
      <w:r w:rsidRPr="00D830E8">
        <w:rPr>
          <w:rFonts w:ascii="Times New Roman" w:eastAsia="Calibri" w:hAnsi="Times New Roman" w:cs="Times New Roman"/>
          <w:i/>
          <w:sz w:val="24"/>
          <w:szCs w:val="24"/>
          <w:lang w:eastAsia="en-GB"/>
        </w:rPr>
        <w:t>Tabuľka č. 2: Výpočet vplyvov jednotlivých regulácií (nahraďte rovnakou tabuľkou po vyplnení Kalkulačky nákladov):</w:t>
      </w:r>
    </w:p>
    <w:p w14:paraId="7C5CA73D" w14:textId="77777777" w:rsidR="00D830E8" w:rsidRPr="00D830E8" w:rsidRDefault="00D830E8" w:rsidP="00D830E8">
      <w:pPr>
        <w:spacing w:after="0" w:line="240" w:lineRule="auto"/>
        <w:jc w:val="both"/>
        <w:rPr>
          <w:rFonts w:ascii="Times New Roman" w:eastAsia="Calibri" w:hAnsi="Times New Roman" w:cs="Times New Roman"/>
          <w:i/>
          <w:sz w:val="24"/>
          <w:szCs w:val="24"/>
          <w:highlight w:val="yellow"/>
          <w:lang w:eastAsia="en-GB"/>
        </w:rPr>
      </w:pPr>
    </w:p>
    <w:tbl>
      <w:tblPr>
        <w:tblW w:w="14214" w:type="dxa"/>
        <w:tblLayout w:type="fixed"/>
        <w:tblLook w:val="04A0" w:firstRow="1" w:lastRow="0" w:firstColumn="1" w:lastColumn="0" w:noHBand="0" w:noVBand="1"/>
      </w:tblPr>
      <w:tblGrid>
        <w:gridCol w:w="562"/>
        <w:gridCol w:w="3017"/>
        <w:gridCol w:w="1181"/>
        <w:gridCol w:w="1189"/>
        <w:gridCol w:w="1351"/>
        <w:gridCol w:w="1143"/>
        <w:gridCol w:w="1432"/>
        <w:gridCol w:w="1050"/>
        <w:gridCol w:w="930"/>
        <w:gridCol w:w="1009"/>
        <w:gridCol w:w="1350"/>
      </w:tblGrid>
      <w:tr w:rsidR="00002E2F" w:rsidRPr="00002E2F" w14:paraId="02EBE77D" w14:textId="77777777" w:rsidTr="00F07C84">
        <w:trPr>
          <w:trHeight w:val="458"/>
        </w:trPr>
        <w:tc>
          <w:tcPr>
            <w:tcW w:w="5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ECE1F0E"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P.č.</w:t>
            </w:r>
          </w:p>
        </w:tc>
        <w:tc>
          <w:tcPr>
            <w:tcW w:w="30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48A54DE"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 xml:space="preserve">Zrozumiteľný a stručný opis regulácie </w:t>
            </w:r>
            <w:r w:rsidRPr="00002E2F">
              <w:rPr>
                <w:rFonts w:ascii="Times New Roman" w:eastAsia="Times New Roman" w:hAnsi="Times New Roman" w:cs="Times New Roman"/>
                <w:b/>
                <w:bCs/>
                <w:color w:val="000000"/>
                <w:sz w:val="18"/>
                <w:szCs w:val="18"/>
                <w:lang w:eastAsia="en-GB"/>
              </w:rPr>
              <w:br/>
              <w:t>(dôvod zvýšenia/zníženia nákladov na PP a dôvod ponechania nákladov na PP, ktoré su goldplatingom)</w:t>
            </w:r>
          </w:p>
        </w:tc>
        <w:tc>
          <w:tcPr>
            <w:tcW w:w="118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9E6C15B"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Číslo normy</w:t>
            </w:r>
            <w:r w:rsidRPr="00002E2F">
              <w:rPr>
                <w:rFonts w:ascii="Times New Roman" w:eastAsia="Times New Roman" w:hAnsi="Times New Roman" w:cs="Times New Roman"/>
                <w:b/>
                <w:bCs/>
                <w:color w:val="000000"/>
                <w:sz w:val="18"/>
                <w:szCs w:val="18"/>
                <w:lang w:eastAsia="en-GB"/>
              </w:rPr>
              <w:br/>
            </w:r>
            <w:r w:rsidRPr="00002E2F">
              <w:rPr>
                <w:rFonts w:ascii="Times New Roman" w:eastAsia="Times New Roman" w:hAnsi="Times New Roman" w:cs="Times New Roman"/>
                <w:color w:val="000000"/>
                <w:sz w:val="18"/>
                <w:szCs w:val="18"/>
                <w:lang w:eastAsia="en-GB"/>
              </w:rPr>
              <w:t>(zákona, vyhlášky a pod.)</w:t>
            </w:r>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494B1E0"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Lokalizácia</w:t>
            </w:r>
            <w:r w:rsidRPr="00002E2F">
              <w:rPr>
                <w:rFonts w:ascii="Times New Roman" w:eastAsia="Times New Roman" w:hAnsi="Times New Roman" w:cs="Times New Roman"/>
                <w:b/>
                <w:bCs/>
                <w:color w:val="000000"/>
                <w:sz w:val="18"/>
                <w:szCs w:val="18"/>
                <w:lang w:eastAsia="en-GB"/>
              </w:rPr>
              <w:br/>
              <w:t>(§, ods., čl.,...)</w:t>
            </w:r>
          </w:p>
        </w:tc>
        <w:tc>
          <w:tcPr>
            <w:tcW w:w="13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778B4EA"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 xml:space="preserve">Pôvod regulácie: </w:t>
            </w:r>
            <w:r w:rsidRPr="00002E2F">
              <w:rPr>
                <w:rFonts w:ascii="Times New Roman" w:eastAsia="Times New Roman" w:hAnsi="Times New Roman" w:cs="Times New Roman"/>
                <w:b/>
                <w:bCs/>
                <w:color w:val="000000"/>
                <w:sz w:val="18"/>
                <w:szCs w:val="18"/>
                <w:lang w:eastAsia="en-GB"/>
              </w:rPr>
              <w:br/>
            </w:r>
            <w:r w:rsidRPr="00002E2F">
              <w:rPr>
                <w:rFonts w:ascii="Times New Roman" w:eastAsia="Times New Roman" w:hAnsi="Times New Roman" w:cs="Times New Roman"/>
                <w:color w:val="000000"/>
                <w:sz w:val="18"/>
                <w:szCs w:val="18"/>
                <w:lang w:eastAsia="en-GB"/>
              </w:rPr>
              <w:t>SK/EÚ úplná harm./</w:t>
            </w:r>
            <w:r w:rsidRPr="00002E2F">
              <w:rPr>
                <w:rFonts w:ascii="Times New Roman" w:eastAsia="Times New Roman" w:hAnsi="Times New Roman" w:cs="Times New Roman"/>
                <w:color w:val="000000"/>
                <w:sz w:val="18"/>
                <w:szCs w:val="18"/>
                <w:lang w:eastAsia="en-GB"/>
              </w:rPr>
              <w:br/>
              <w:t>goldplating</w:t>
            </w:r>
          </w:p>
        </w:tc>
        <w:tc>
          <w:tcPr>
            <w:tcW w:w="11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CC16D57"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Účinnosť regulácie</w:t>
            </w:r>
          </w:p>
        </w:tc>
        <w:tc>
          <w:tcPr>
            <w:tcW w:w="143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38C9804"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Kategória dotk. subjektov</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3B0C391"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 xml:space="preserve">Počet dotk. subjektov spolu </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F4B8404"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Vplyv na 1 podnik. v €</w:t>
            </w:r>
          </w:p>
        </w:tc>
        <w:tc>
          <w:tcPr>
            <w:tcW w:w="10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F146E56"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Vplyv na kategóriu dotk. subjektov v €</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DD9ADC3" w14:textId="77777777" w:rsidR="00002E2F" w:rsidRPr="00002E2F" w:rsidRDefault="00002E2F" w:rsidP="00002E2F">
            <w:pPr>
              <w:spacing w:after="0" w:line="240" w:lineRule="auto"/>
              <w:jc w:val="center"/>
              <w:rPr>
                <w:rFonts w:ascii="Times New Roman" w:eastAsia="Times New Roman" w:hAnsi="Times New Roman" w:cs="Times New Roman"/>
                <w:b/>
                <w:bCs/>
                <w:color w:val="000000"/>
                <w:sz w:val="18"/>
                <w:szCs w:val="18"/>
                <w:lang w:eastAsia="en-GB"/>
              </w:rPr>
            </w:pPr>
            <w:r w:rsidRPr="00002E2F">
              <w:rPr>
                <w:rFonts w:ascii="Times New Roman" w:eastAsia="Times New Roman" w:hAnsi="Times New Roman" w:cs="Times New Roman"/>
                <w:b/>
                <w:bCs/>
                <w:color w:val="000000"/>
                <w:sz w:val="18"/>
                <w:szCs w:val="18"/>
                <w:lang w:eastAsia="en-GB"/>
              </w:rPr>
              <w:t>Druh vplyvu</w:t>
            </w:r>
            <w:r w:rsidRPr="00002E2F">
              <w:rPr>
                <w:rFonts w:ascii="Times New Roman" w:eastAsia="Times New Roman" w:hAnsi="Times New Roman" w:cs="Times New Roman"/>
                <w:b/>
                <w:bCs/>
                <w:color w:val="000000"/>
                <w:sz w:val="18"/>
                <w:szCs w:val="18"/>
                <w:lang w:eastAsia="en-GB"/>
              </w:rPr>
              <w:br/>
            </w:r>
            <w:r w:rsidRPr="00002E2F">
              <w:rPr>
                <w:rFonts w:ascii="Times New Roman" w:eastAsia="Times New Roman" w:hAnsi="Times New Roman" w:cs="Times New Roman"/>
                <w:color w:val="000000"/>
                <w:sz w:val="18"/>
                <w:szCs w:val="18"/>
                <w:lang w:eastAsia="en-GB"/>
              </w:rPr>
              <w:t xml:space="preserve">In (zvyšuje náklady) / </w:t>
            </w:r>
            <w:r w:rsidRPr="00002E2F">
              <w:rPr>
                <w:rFonts w:ascii="Times New Roman" w:eastAsia="Times New Roman" w:hAnsi="Times New Roman" w:cs="Times New Roman"/>
                <w:color w:val="000000"/>
                <w:sz w:val="18"/>
                <w:szCs w:val="18"/>
                <w:lang w:eastAsia="en-GB"/>
              </w:rPr>
              <w:br/>
              <w:t>Out (znižuje náklady) / Nemení sa</w:t>
            </w:r>
          </w:p>
        </w:tc>
      </w:tr>
      <w:tr w:rsidR="00002E2F" w:rsidRPr="00002E2F" w14:paraId="37E9C268" w14:textId="77777777" w:rsidTr="00F07C84">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F1C4B20"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6B7AE49D"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64A151A5"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1BC61577"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193226A3"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3400FBBB"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24C5F779"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9B39BD2"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5A6DB056"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3D12C668"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14526497"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r>
      <w:tr w:rsidR="00002E2F" w:rsidRPr="00002E2F" w14:paraId="3BF41210" w14:textId="77777777" w:rsidTr="00F07C84">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DD3E98C"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65B36A90"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2F0BF3D3"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7895B380"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22142B24"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7AC7BE72"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5BE2085C"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9678F76"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64F753C4"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7F55855A"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EE9D744"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r>
      <w:tr w:rsidR="00002E2F" w:rsidRPr="00002E2F" w14:paraId="5A557802" w14:textId="77777777" w:rsidTr="00F07C84">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D65B8CC"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626F1A70"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5B561A98"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1147263E"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7192D703"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294F7AAA"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692186E0"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6402547"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5E2EFD5"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0E178C75"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8742252"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r>
      <w:tr w:rsidR="00002E2F" w:rsidRPr="00002E2F" w14:paraId="1D61A5C2" w14:textId="77777777" w:rsidTr="00F07C84">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BE9C4DD"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7232077B"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0455F88B"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712C8D89"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553EC4F1"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64163B46"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43ECD195"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6F312335"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B209F8A"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3D955191"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466F8C0"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r>
      <w:tr w:rsidR="00002E2F" w:rsidRPr="00002E2F" w14:paraId="05699382" w14:textId="77777777" w:rsidTr="00F07C84">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620CC4F"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734ABB74"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1506394B"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2AD0B84E"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243B5BCF"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143DD504"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2321B280"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EC9AD3E"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7A080E11"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2210AD9F"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74E16195" w14:textId="77777777" w:rsidR="00002E2F" w:rsidRPr="00002E2F" w:rsidRDefault="00002E2F" w:rsidP="00002E2F">
            <w:pPr>
              <w:spacing w:after="0" w:line="240" w:lineRule="auto"/>
              <w:rPr>
                <w:rFonts w:ascii="Times New Roman" w:eastAsia="Times New Roman" w:hAnsi="Times New Roman" w:cs="Times New Roman"/>
                <w:b/>
                <w:bCs/>
                <w:color w:val="000000"/>
                <w:sz w:val="18"/>
                <w:szCs w:val="18"/>
                <w:lang w:eastAsia="en-GB"/>
              </w:rPr>
            </w:pPr>
          </w:p>
        </w:tc>
      </w:tr>
      <w:tr w:rsidR="00002E2F" w:rsidRPr="00002E2F" w14:paraId="5CC466F4" w14:textId="77777777" w:rsidTr="00F07C84">
        <w:trPr>
          <w:trHeight w:val="330"/>
        </w:trPr>
        <w:tc>
          <w:tcPr>
            <w:tcW w:w="562" w:type="dxa"/>
            <w:tcBorders>
              <w:top w:val="nil"/>
              <w:left w:val="single" w:sz="4" w:space="0" w:color="auto"/>
              <w:bottom w:val="single" w:sz="4" w:space="0" w:color="auto"/>
              <w:right w:val="single" w:sz="4" w:space="0" w:color="auto"/>
            </w:tcBorders>
            <w:shd w:val="clear" w:color="auto" w:fill="auto"/>
            <w:hideMark/>
          </w:tcPr>
          <w:p w14:paraId="3E4C97CD"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1</w:t>
            </w:r>
          </w:p>
        </w:tc>
        <w:tc>
          <w:tcPr>
            <w:tcW w:w="3017" w:type="dxa"/>
            <w:tcBorders>
              <w:top w:val="nil"/>
              <w:left w:val="nil"/>
              <w:bottom w:val="single" w:sz="4" w:space="0" w:color="auto"/>
              <w:right w:val="single" w:sz="4" w:space="0" w:color="auto"/>
            </w:tcBorders>
            <w:shd w:val="clear" w:color="auto" w:fill="auto"/>
            <w:hideMark/>
          </w:tcPr>
          <w:p w14:paraId="1B686872"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Zavedenie povinnosti pre kvalifikovaného poskytovateľa dôveryhodnej služby vykonať audit </w:t>
            </w:r>
          </w:p>
        </w:tc>
        <w:tc>
          <w:tcPr>
            <w:tcW w:w="1181" w:type="dxa"/>
            <w:tcBorders>
              <w:top w:val="nil"/>
              <w:left w:val="nil"/>
              <w:bottom w:val="single" w:sz="4" w:space="0" w:color="auto"/>
              <w:right w:val="single" w:sz="4" w:space="0" w:color="auto"/>
            </w:tcBorders>
            <w:shd w:val="clear" w:color="auto" w:fill="auto"/>
            <w:hideMark/>
          </w:tcPr>
          <w:p w14:paraId="0F7B9025"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hideMark/>
          </w:tcPr>
          <w:p w14:paraId="12558DCC"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3 odsek 4</w:t>
            </w:r>
          </w:p>
        </w:tc>
        <w:tc>
          <w:tcPr>
            <w:tcW w:w="1351" w:type="dxa"/>
            <w:tcBorders>
              <w:top w:val="nil"/>
              <w:left w:val="nil"/>
              <w:bottom w:val="single" w:sz="4" w:space="0" w:color="auto"/>
              <w:right w:val="single" w:sz="4" w:space="0" w:color="auto"/>
            </w:tcBorders>
            <w:shd w:val="clear" w:color="auto" w:fill="auto"/>
            <w:hideMark/>
          </w:tcPr>
          <w:p w14:paraId="772D80FB"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hideMark/>
          </w:tcPr>
          <w:p w14:paraId="27BA0E07"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hideMark/>
          </w:tcPr>
          <w:p w14:paraId="27B8EB4D"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hideMark/>
          </w:tcPr>
          <w:p w14:paraId="7C27AAC2" w14:textId="77777777" w:rsidR="00002E2F" w:rsidRPr="00002E2F" w:rsidRDefault="00002E2F" w:rsidP="00002E2F">
            <w:pPr>
              <w:spacing w:after="0" w:line="240" w:lineRule="auto"/>
              <w:jc w:val="both"/>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 6 </w:t>
            </w:r>
          </w:p>
        </w:tc>
        <w:tc>
          <w:tcPr>
            <w:tcW w:w="930" w:type="dxa"/>
            <w:tcBorders>
              <w:top w:val="nil"/>
              <w:left w:val="nil"/>
              <w:bottom w:val="single" w:sz="4" w:space="0" w:color="auto"/>
              <w:right w:val="single" w:sz="4" w:space="0" w:color="auto"/>
            </w:tcBorders>
            <w:shd w:val="clear" w:color="000000" w:fill="FFFFFF"/>
            <w:hideMark/>
          </w:tcPr>
          <w:p w14:paraId="18CEC0C0"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17 500</w:t>
            </w:r>
          </w:p>
        </w:tc>
        <w:tc>
          <w:tcPr>
            <w:tcW w:w="1009" w:type="dxa"/>
            <w:tcBorders>
              <w:top w:val="nil"/>
              <w:left w:val="nil"/>
              <w:bottom w:val="single" w:sz="4" w:space="0" w:color="auto"/>
              <w:right w:val="single" w:sz="4" w:space="0" w:color="auto"/>
            </w:tcBorders>
            <w:shd w:val="clear" w:color="auto" w:fill="auto"/>
            <w:hideMark/>
          </w:tcPr>
          <w:p w14:paraId="4EC54B5C"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105 000</w:t>
            </w:r>
          </w:p>
        </w:tc>
        <w:tc>
          <w:tcPr>
            <w:tcW w:w="1350" w:type="dxa"/>
            <w:tcBorders>
              <w:top w:val="nil"/>
              <w:left w:val="nil"/>
              <w:bottom w:val="single" w:sz="4" w:space="0" w:color="auto"/>
              <w:right w:val="single" w:sz="4" w:space="0" w:color="auto"/>
            </w:tcBorders>
            <w:shd w:val="clear" w:color="auto" w:fill="auto"/>
            <w:hideMark/>
          </w:tcPr>
          <w:p w14:paraId="01E8D873"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In (zvyšuje náklady)</w:t>
            </w:r>
          </w:p>
        </w:tc>
      </w:tr>
      <w:tr w:rsidR="00002E2F" w:rsidRPr="00002E2F" w14:paraId="04506DBE" w14:textId="77777777" w:rsidTr="00F07C84">
        <w:trPr>
          <w:trHeight w:val="840"/>
        </w:trPr>
        <w:tc>
          <w:tcPr>
            <w:tcW w:w="562" w:type="dxa"/>
            <w:tcBorders>
              <w:top w:val="nil"/>
              <w:left w:val="single" w:sz="4" w:space="0" w:color="auto"/>
              <w:bottom w:val="single" w:sz="4" w:space="0" w:color="auto"/>
              <w:right w:val="single" w:sz="4" w:space="0" w:color="auto"/>
            </w:tcBorders>
            <w:shd w:val="clear" w:color="auto" w:fill="auto"/>
            <w:hideMark/>
          </w:tcPr>
          <w:p w14:paraId="75AE7ACD"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w:t>
            </w:r>
          </w:p>
        </w:tc>
        <w:tc>
          <w:tcPr>
            <w:tcW w:w="3017" w:type="dxa"/>
            <w:tcBorders>
              <w:top w:val="nil"/>
              <w:left w:val="nil"/>
              <w:bottom w:val="single" w:sz="4" w:space="0" w:color="auto"/>
              <w:right w:val="single" w:sz="4" w:space="0" w:color="auto"/>
            </w:tcBorders>
            <w:shd w:val="clear" w:color="auto" w:fill="auto"/>
            <w:hideMark/>
          </w:tcPr>
          <w:p w14:paraId="41AA0B59"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Zavedenie povinnosti poskytovateľa európskej peňaženky digitálnej identity predložiť certifikát súladu európskych peňaženiek digitálnej identity </w:t>
            </w:r>
          </w:p>
        </w:tc>
        <w:tc>
          <w:tcPr>
            <w:tcW w:w="1181" w:type="dxa"/>
            <w:tcBorders>
              <w:top w:val="nil"/>
              <w:left w:val="nil"/>
              <w:bottom w:val="single" w:sz="4" w:space="0" w:color="auto"/>
              <w:right w:val="single" w:sz="4" w:space="0" w:color="auto"/>
            </w:tcBorders>
            <w:shd w:val="clear" w:color="auto" w:fill="auto"/>
            <w:hideMark/>
          </w:tcPr>
          <w:p w14:paraId="33823F5B"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hideMark/>
          </w:tcPr>
          <w:p w14:paraId="26C560B9"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10 ods. 1</w:t>
            </w:r>
          </w:p>
        </w:tc>
        <w:tc>
          <w:tcPr>
            <w:tcW w:w="1351" w:type="dxa"/>
            <w:tcBorders>
              <w:top w:val="nil"/>
              <w:left w:val="nil"/>
              <w:bottom w:val="single" w:sz="4" w:space="0" w:color="auto"/>
              <w:right w:val="single" w:sz="4" w:space="0" w:color="auto"/>
            </w:tcBorders>
            <w:shd w:val="clear" w:color="auto" w:fill="auto"/>
            <w:hideMark/>
          </w:tcPr>
          <w:p w14:paraId="7D1C6ACD"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hideMark/>
          </w:tcPr>
          <w:p w14:paraId="463A3342"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hideMark/>
          </w:tcPr>
          <w:p w14:paraId="41CD3D53"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hideMark/>
          </w:tcPr>
          <w:p w14:paraId="79B66487" w14:textId="77777777" w:rsidR="00002E2F" w:rsidRPr="00002E2F" w:rsidRDefault="00002E2F" w:rsidP="00002E2F">
            <w:pPr>
              <w:spacing w:after="0" w:line="240" w:lineRule="auto"/>
              <w:jc w:val="both"/>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 472 </w:t>
            </w:r>
          </w:p>
        </w:tc>
        <w:tc>
          <w:tcPr>
            <w:tcW w:w="930" w:type="dxa"/>
            <w:tcBorders>
              <w:top w:val="nil"/>
              <w:left w:val="nil"/>
              <w:bottom w:val="single" w:sz="4" w:space="0" w:color="auto"/>
              <w:right w:val="single" w:sz="4" w:space="0" w:color="auto"/>
            </w:tcBorders>
            <w:shd w:val="clear" w:color="auto" w:fill="auto"/>
            <w:hideMark/>
          </w:tcPr>
          <w:p w14:paraId="653B84E7"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23</w:t>
            </w:r>
          </w:p>
        </w:tc>
        <w:tc>
          <w:tcPr>
            <w:tcW w:w="1009" w:type="dxa"/>
            <w:tcBorders>
              <w:top w:val="nil"/>
              <w:left w:val="nil"/>
              <w:bottom w:val="single" w:sz="4" w:space="0" w:color="auto"/>
              <w:right w:val="single" w:sz="4" w:space="0" w:color="auto"/>
            </w:tcBorders>
            <w:shd w:val="clear" w:color="auto" w:fill="auto"/>
            <w:hideMark/>
          </w:tcPr>
          <w:p w14:paraId="3766877B"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10 773</w:t>
            </w:r>
          </w:p>
        </w:tc>
        <w:tc>
          <w:tcPr>
            <w:tcW w:w="1350" w:type="dxa"/>
            <w:tcBorders>
              <w:top w:val="nil"/>
              <w:left w:val="nil"/>
              <w:bottom w:val="single" w:sz="4" w:space="0" w:color="auto"/>
              <w:right w:val="single" w:sz="4" w:space="0" w:color="auto"/>
            </w:tcBorders>
            <w:shd w:val="clear" w:color="auto" w:fill="auto"/>
            <w:hideMark/>
          </w:tcPr>
          <w:p w14:paraId="7368534C"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In (zvyšuje náklady)</w:t>
            </w:r>
          </w:p>
        </w:tc>
      </w:tr>
      <w:tr w:rsidR="00002E2F" w:rsidRPr="00002E2F" w14:paraId="414DD7E8" w14:textId="77777777" w:rsidTr="00F07C84">
        <w:trPr>
          <w:trHeight w:val="840"/>
        </w:trPr>
        <w:tc>
          <w:tcPr>
            <w:tcW w:w="562" w:type="dxa"/>
            <w:tcBorders>
              <w:top w:val="nil"/>
              <w:left w:val="single" w:sz="4" w:space="0" w:color="auto"/>
              <w:bottom w:val="single" w:sz="4" w:space="0" w:color="auto"/>
              <w:right w:val="single" w:sz="4" w:space="0" w:color="auto"/>
            </w:tcBorders>
            <w:shd w:val="clear" w:color="auto" w:fill="auto"/>
            <w:hideMark/>
          </w:tcPr>
          <w:p w14:paraId="1C8ED17D"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3</w:t>
            </w:r>
          </w:p>
        </w:tc>
        <w:tc>
          <w:tcPr>
            <w:tcW w:w="3017" w:type="dxa"/>
            <w:tcBorders>
              <w:top w:val="nil"/>
              <w:left w:val="nil"/>
              <w:bottom w:val="single" w:sz="4" w:space="0" w:color="auto"/>
              <w:right w:val="single" w:sz="4" w:space="0" w:color="auto"/>
            </w:tcBorders>
            <w:shd w:val="clear" w:color="auto" w:fill="auto"/>
            <w:hideMark/>
          </w:tcPr>
          <w:p w14:paraId="2E077C7B"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Zavedenie povinnosti poskytovateľa európskej peňaženky digitálnej identity zrušiť platnosť vydanej peňaženky digitálnej identity</w:t>
            </w:r>
          </w:p>
        </w:tc>
        <w:tc>
          <w:tcPr>
            <w:tcW w:w="1181" w:type="dxa"/>
            <w:tcBorders>
              <w:top w:val="nil"/>
              <w:left w:val="nil"/>
              <w:bottom w:val="single" w:sz="4" w:space="0" w:color="auto"/>
              <w:right w:val="single" w:sz="4" w:space="0" w:color="auto"/>
            </w:tcBorders>
            <w:shd w:val="clear" w:color="auto" w:fill="auto"/>
            <w:hideMark/>
          </w:tcPr>
          <w:p w14:paraId="703F4CE1"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hideMark/>
          </w:tcPr>
          <w:p w14:paraId="4775378B"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10 ods. 3</w:t>
            </w:r>
          </w:p>
        </w:tc>
        <w:tc>
          <w:tcPr>
            <w:tcW w:w="1351" w:type="dxa"/>
            <w:tcBorders>
              <w:top w:val="nil"/>
              <w:left w:val="nil"/>
              <w:bottom w:val="single" w:sz="4" w:space="0" w:color="auto"/>
              <w:right w:val="single" w:sz="4" w:space="0" w:color="auto"/>
            </w:tcBorders>
            <w:shd w:val="clear" w:color="auto" w:fill="auto"/>
            <w:hideMark/>
          </w:tcPr>
          <w:p w14:paraId="76E0A73C"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hideMark/>
          </w:tcPr>
          <w:p w14:paraId="237C9D8A"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hideMark/>
          </w:tcPr>
          <w:p w14:paraId="7EB46A9B"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hideMark/>
          </w:tcPr>
          <w:p w14:paraId="6A6AB457" w14:textId="77777777" w:rsidR="00002E2F" w:rsidRPr="00002E2F" w:rsidRDefault="00002E2F" w:rsidP="00002E2F">
            <w:pPr>
              <w:spacing w:after="0" w:line="240" w:lineRule="auto"/>
              <w:jc w:val="both"/>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 472 </w:t>
            </w:r>
          </w:p>
        </w:tc>
        <w:tc>
          <w:tcPr>
            <w:tcW w:w="930" w:type="dxa"/>
            <w:tcBorders>
              <w:top w:val="nil"/>
              <w:left w:val="nil"/>
              <w:bottom w:val="single" w:sz="4" w:space="0" w:color="auto"/>
              <w:right w:val="single" w:sz="4" w:space="0" w:color="auto"/>
            </w:tcBorders>
            <w:shd w:val="clear" w:color="auto" w:fill="auto"/>
            <w:hideMark/>
          </w:tcPr>
          <w:p w14:paraId="1A956D83"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20</w:t>
            </w:r>
          </w:p>
        </w:tc>
        <w:tc>
          <w:tcPr>
            <w:tcW w:w="1009" w:type="dxa"/>
            <w:tcBorders>
              <w:top w:val="nil"/>
              <w:left w:val="nil"/>
              <w:bottom w:val="single" w:sz="4" w:space="0" w:color="auto"/>
              <w:right w:val="single" w:sz="4" w:space="0" w:color="auto"/>
            </w:tcBorders>
            <w:shd w:val="clear" w:color="auto" w:fill="auto"/>
            <w:hideMark/>
          </w:tcPr>
          <w:p w14:paraId="7196F063"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9 337</w:t>
            </w:r>
          </w:p>
        </w:tc>
        <w:tc>
          <w:tcPr>
            <w:tcW w:w="1350" w:type="dxa"/>
            <w:tcBorders>
              <w:top w:val="nil"/>
              <w:left w:val="nil"/>
              <w:bottom w:val="single" w:sz="4" w:space="0" w:color="auto"/>
              <w:right w:val="single" w:sz="4" w:space="0" w:color="auto"/>
            </w:tcBorders>
            <w:shd w:val="clear" w:color="auto" w:fill="auto"/>
            <w:hideMark/>
          </w:tcPr>
          <w:p w14:paraId="4690EFD7"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In (zvyšuje náklady)</w:t>
            </w:r>
          </w:p>
        </w:tc>
      </w:tr>
      <w:tr w:rsidR="00002E2F" w:rsidRPr="00002E2F" w14:paraId="383ABB47" w14:textId="77777777" w:rsidTr="00F07C84">
        <w:trPr>
          <w:trHeight w:val="840"/>
        </w:trPr>
        <w:tc>
          <w:tcPr>
            <w:tcW w:w="562" w:type="dxa"/>
            <w:tcBorders>
              <w:top w:val="nil"/>
              <w:left w:val="single" w:sz="4" w:space="0" w:color="auto"/>
              <w:bottom w:val="single" w:sz="4" w:space="0" w:color="auto"/>
              <w:right w:val="single" w:sz="4" w:space="0" w:color="auto"/>
            </w:tcBorders>
            <w:shd w:val="clear" w:color="auto" w:fill="auto"/>
            <w:hideMark/>
          </w:tcPr>
          <w:p w14:paraId="6260C016"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4</w:t>
            </w:r>
          </w:p>
        </w:tc>
        <w:tc>
          <w:tcPr>
            <w:tcW w:w="3017" w:type="dxa"/>
            <w:tcBorders>
              <w:top w:val="nil"/>
              <w:left w:val="nil"/>
              <w:bottom w:val="single" w:sz="4" w:space="0" w:color="auto"/>
              <w:right w:val="single" w:sz="4" w:space="0" w:color="auto"/>
            </w:tcBorders>
            <w:shd w:val="clear" w:color="auto" w:fill="auto"/>
            <w:hideMark/>
          </w:tcPr>
          <w:p w14:paraId="34B5FFE8"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Povinnosti poskytovateľa európskej peňaženky digitálnej identity</w:t>
            </w:r>
          </w:p>
        </w:tc>
        <w:tc>
          <w:tcPr>
            <w:tcW w:w="1181" w:type="dxa"/>
            <w:tcBorders>
              <w:top w:val="nil"/>
              <w:left w:val="nil"/>
              <w:bottom w:val="single" w:sz="4" w:space="0" w:color="auto"/>
              <w:right w:val="single" w:sz="4" w:space="0" w:color="auto"/>
            </w:tcBorders>
            <w:shd w:val="clear" w:color="auto" w:fill="auto"/>
            <w:hideMark/>
          </w:tcPr>
          <w:p w14:paraId="4527410C"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hideMark/>
          </w:tcPr>
          <w:p w14:paraId="0DF73411"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10 ods. 5a - 5f</w:t>
            </w:r>
          </w:p>
        </w:tc>
        <w:tc>
          <w:tcPr>
            <w:tcW w:w="1351" w:type="dxa"/>
            <w:tcBorders>
              <w:top w:val="nil"/>
              <w:left w:val="nil"/>
              <w:bottom w:val="single" w:sz="4" w:space="0" w:color="auto"/>
              <w:right w:val="single" w:sz="4" w:space="0" w:color="auto"/>
            </w:tcBorders>
            <w:shd w:val="clear" w:color="auto" w:fill="auto"/>
            <w:hideMark/>
          </w:tcPr>
          <w:p w14:paraId="5F952752"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hideMark/>
          </w:tcPr>
          <w:p w14:paraId="78126900"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hideMark/>
          </w:tcPr>
          <w:p w14:paraId="75531AA2"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hideMark/>
          </w:tcPr>
          <w:p w14:paraId="1031BFF3" w14:textId="77777777" w:rsidR="00002E2F" w:rsidRPr="00002E2F" w:rsidRDefault="00002E2F" w:rsidP="00002E2F">
            <w:pPr>
              <w:spacing w:after="0" w:line="240" w:lineRule="auto"/>
              <w:jc w:val="both"/>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 472 </w:t>
            </w:r>
          </w:p>
        </w:tc>
        <w:tc>
          <w:tcPr>
            <w:tcW w:w="930" w:type="dxa"/>
            <w:tcBorders>
              <w:top w:val="nil"/>
              <w:left w:val="nil"/>
              <w:bottom w:val="single" w:sz="4" w:space="0" w:color="auto"/>
              <w:right w:val="single" w:sz="4" w:space="0" w:color="auto"/>
            </w:tcBorders>
            <w:shd w:val="clear" w:color="auto" w:fill="auto"/>
            <w:hideMark/>
          </w:tcPr>
          <w:p w14:paraId="5F9D93EF"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237</w:t>
            </w:r>
          </w:p>
        </w:tc>
        <w:tc>
          <w:tcPr>
            <w:tcW w:w="1009" w:type="dxa"/>
            <w:tcBorders>
              <w:top w:val="nil"/>
              <w:left w:val="nil"/>
              <w:bottom w:val="single" w:sz="4" w:space="0" w:color="auto"/>
              <w:right w:val="single" w:sz="4" w:space="0" w:color="auto"/>
            </w:tcBorders>
            <w:shd w:val="clear" w:color="auto" w:fill="auto"/>
            <w:hideMark/>
          </w:tcPr>
          <w:p w14:paraId="3B411CAE"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112 039</w:t>
            </w:r>
          </w:p>
        </w:tc>
        <w:tc>
          <w:tcPr>
            <w:tcW w:w="1350" w:type="dxa"/>
            <w:tcBorders>
              <w:top w:val="nil"/>
              <w:left w:val="nil"/>
              <w:bottom w:val="single" w:sz="4" w:space="0" w:color="auto"/>
              <w:right w:val="single" w:sz="4" w:space="0" w:color="auto"/>
            </w:tcBorders>
            <w:shd w:val="clear" w:color="auto" w:fill="auto"/>
            <w:hideMark/>
          </w:tcPr>
          <w:p w14:paraId="4BF6056B"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In (zvyšuje náklady)</w:t>
            </w:r>
          </w:p>
        </w:tc>
      </w:tr>
      <w:tr w:rsidR="00002E2F" w:rsidRPr="00002E2F" w14:paraId="632398EF" w14:textId="77777777" w:rsidTr="00F07C84">
        <w:trPr>
          <w:trHeight w:val="840"/>
        </w:trPr>
        <w:tc>
          <w:tcPr>
            <w:tcW w:w="562" w:type="dxa"/>
            <w:tcBorders>
              <w:top w:val="nil"/>
              <w:left w:val="single" w:sz="4" w:space="0" w:color="auto"/>
              <w:bottom w:val="single" w:sz="4" w:space="0" w:color="auto"/>
              <w:right w:val="single" w:sz="4" w:space="0" w:color="auto"/>
            </w:tcBorders>
            <w:shd w:val="clear" w:color="auto" w:fill="auto"/>
            <w:hideMark/>
          </w:tcPr>
          <w:p w14:paraId="402F71BA"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5</w:t>
            </w:r>
          </w:p>
        </w:tc>
        <w:tc>
          <w:tcPr>
            <w:tcW w:w="3017" w:type="dxa"/>
            <w:tcBorders>
              <w:top w:val="nil"/>
              <w:left w:val="nil"/>
              <w:bottom w:val="single" w:sz="4" w:space="0" w:color="auto"/>
              <w:right w:val="single" w:sz="4" w:space="0" w:color="auto"/>
            </w:tcBorders>
            <w:shd w:val="clear" w:color="auto" w:fill="auto"/>
            <w:hideMark/>
          </w:tcPr>
          <w:p w14:paraId="772ACBBA"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Zavedenie novej pokuty pre právnické osoby a fyzické osoby podnikateľov</w:t>
            </w:r>
          </w:p>
        </w:tc>
        <w:tc>
          <w:tcPr>
            <w:tcW w:w="1181" w:type="dxa"/>
            <w:tcBorders>
              <w:top w:val="nil"/>
              <w:left w:val="nil"/>
              <w:bottom w:val="single" w:sz="4" w:space="0" w:color="auto"/>
              <w:right w:val="single" w:sz="4" w:space="0" w:color="auto"/>
            </w:tcBorders>
            <w:shd w:val="clear" w:color="auto" w:fill="auto"/>
            <w:hideMark/>
          </w:tcPr>
          <w:p w14:paraId="3FD692A2"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hideMark/>
          </w:tcPr>
          <w:p w14:paraId="25C438A1"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14 ods. 6</w:t>
            </w:r>
          </w:p>
        </w:tc>
        <w:tc>
          <w:tcPr>
            <w:tcW w:w="1351" w:type="dxa"/>
            <w:tcBorders>
              <w:top w:val="nil"/>
              <w:left w:val="nil"/>
              <w:bottom w:val="single" w:sz="4" w:space="0" w:color="auto"/>
              <w:right w:val="single" w:sz="4" w:space="0" w:color="auto"/>
            </w:tcBorders>
            <w:shd w:val="clear" w:color="auto" w:fill="auto"/>
            <w:hideMark/>
          </w:tcPr>
          <w:p w14:paraId="73BD41EA"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hideMark/>
          </w:tcPr>
          <w:p w14:paraId="3E96AE83"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hideMark/>
          </w:tcPr>
          <w:p w14:paraId="35B19ED9"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hideMark/>
          </w:tcPr>
          <w:p w14:paraId="7A27BAB4" w14:textId="77777777" w:rsidR="00002E2F" w:rsidRPr="00002E2F" w:rsidRDefault="00002E2F" w:rsidP="00002E2F">
            <w:pPr>
              <w:spacing w:after="0" w:line="240" w:lineRule="auto"/>
              <w:jc w:val="both"/>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 670 817 </w:t>
            </w:r>
          </w:p>
        </w:tc>
        <w:tc>
          <w:tcPr>
            <w:tcW w:w="930" w:type="dxa"/>
            <w:tcBorders>
              <w:top w:val="nil"/>
              <w:left w:val="nil"/>
              <w:bottom w:val="single" w:sz="4" w:space="0" w:color="auto"/>
              <w:right w:val="single" w:sz="4" w:space="0" w:color="auto"/>
            </w:tcBorders>
            <w:shd w:val="clear" w:color="auto" w:fill="auto"/>
            <w:hideMark/>
          </w:tcPr>
          <w:p w14:paraId="61327D5B"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0</w:t>
            </w:r>
          </w:p>
        </w:tc>
        <w:tc>
          <w:tcPr>
            <w:tcW w:w="1009" w:type="dxa"/>
            <w:tcBorders>
              <w:top w:val="nil"/>
              <w:left w:val="nil"/>
              <w:bottom w:val="single" w:sz="4" w:space="0" w:color="auto"/>
              <w:right w:val="single" w:sz="4" w:space="0" w:color="auto"/>
            </w:tcBorders>
            <w:shd w:val="clear" w:color="auto" w:fill="auto"/>
            <w:hideMark/>
          </w:tcPr>
          <w:p w14:paraId="68FFF089"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6 000</w:t>
            </w:r>
          </w:p>
        </w:tc>
        <w:tc>
          <w:tcPr>
            <w:tcW w:w="1350" w:type="dxa"/>
            <w:tcBorders>
              <w:top w:val="nil"/>
              <w:left w:val="nil"/>
              <w:bottom w:val="single" w:sz="4" w:space="0" w:color="auto"/>
              <w:right w:val="single" w:sz="4" w:space="0" w:color="auto"/>
            </w:tcBorders>
            <w:shd w:val="clear" w:color="auto" w:fill="auto"/>
            <w:hideMark/>
          </w:tcPr>
          <w:p w14:paraId="3DBBA7DD"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In (zvyšuje náklady)</w:t>
            </w:r>
          </w:p>
        </w:tc>
      </w:tr>
      <w:tr w:rsidR="00002E2F" w:rsidRPr="00002E2F" w14:paraId="5461D058" w14:textId="77777777" w:rsidTr="00F07C84">
        <w:trPr>
          <w:trHeight w:val="840"/>
        </w:trPr>
        <w:tc>
          <w:tcPr>
            <w:tcW w:w="562" w:type="dxa"/>
            <w:tcBorders>
              <w:top w:val="nil"/>
              <w:left w:val="single" w:sz="4" w:space="0" w:color="auto"/>
              <w:bottom w:val="single" w:sz="4" w:space="0" w:color="auto"/>
              <w:right w:val="single" w:sz="4" w:space="0" w:color="auto"/>
            </w:tcBorders>
            <w:shd w:val="clear" w:color="auto" w:fill="auto"/>
          </w:tcPr>
          <w:p w14:paraId="67AEE5E2"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6</w:t>
            </w:r>
          </w:p>
        </w:tc>
        <w:tc>
          <w:tcPr>
            <w:tcW w:w="3017" w:type="dxa"/>
            <w:tcBorders>
              <w:top w:val="nil"/>
              <w:left w:val="nil"/>
              <w:bottom w:val="single" w:sz="4" w:space="0" w:color="auto"/>
              <w:right w:val="single" w:sz="4" w:space="0" w:color="auto"/>
            </w:tcBorders>
            <w:shd w:val="clear" w:color="auto" w:fill="auto"/>
          </w:tcPr>
          <w:p w14:paraId="3BB5FFDF"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Zavedenie novej pokuty pre nekvalifikovaného poskytovateľa dôveryhodných služieb </w:t>
            </w:r>
          </w:p>
        </w:tc>
        <w:tc>
          <w:tcPr>
            <w:tcW w:w="1181" w:type="dxa"/>
            <w:tcBorders>
              <w:top w:val="nil"/>
              <w:left w:val="nil"/>
              <w:bottom w:val="single" w:sz="4" w:space="0" w:color="auto"/>
              <w:right w:val="single" w:sz="4" w:space="0" w:color="auto"/>
            </w:tcBorders>
            <w:shd w:val="clear" w:color="auto" w:fill="auto"/>
          </w:tcPr>
          <w:p w14:paraId="5025CFA6"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tcPr>
          <w:p w14:paraId="559BF1A3"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14 ods. 8</w:t>
            </w:r>
          </w:p>
        </w:tc>
        <w:tc>
          <w:tcPr>
            <w:tcW w:w="1351" w:type="dxa"/>
            <w:tcBorders>
              <w:top w:val="nil"/>
              <w:left w:val="nil"/>
              <w:bottom w:val="single" w:sz="4" w:space="0" w:color="auto"/>
              <w:right w:val="single" w:sz="4" w:space="0" w:color="auto"/>
            </w:tcBorders>
            <w:shd w:val="clear" w:color="auto" w:fill="auto"/>
          </w:tcPr>
          <w:p w14:paraId="5A91EE5A"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tcPr>
          <w:p w14:paraId="2B71E15E"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tcPr>
          <w:p w14:paraId="4ADF917D"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tcPr>
          <w:p w14:paraId="7DDD470B" w14:textId="77777777" w:rsidR="00002E2F" w:rsidRPr="00002E2F" w:rsidRDefault="00002E2F" w:rsidP="00002E2F">
            <w:pPr>
              <w:spacing w:after="0" w:line="240" w:lineRule="auto"/>
              <w:jc w:val="both"/>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 1 </w:t>
            </w:r>
          </w:p>
        </w:tc>
        <w:tc>
          <w:tcPr>
            <w:tcW w:w="930" w:type="dxa"/>
            <w:tcBorders>
              <w:top w:val="nil"/>
              <w:left w:val="nil"/>
              <w:bottom w:val="single" w:sz="4" w:space="0" w:color="auto"/>
              <w:right w:val="single" w:sz="4" w:space="0" w:color="auto"/>
            </w:tcBorders>
            <w:shd w:val="clear" w:color="auto" w:fill="auto"/>
          </w:tcPr>
          <w:p w14:paraId="2CFB5AA6"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20 000</w:t>
            </w:r>
          </w:p>
        </w:tc>
        <w:tc>
          <w:tcPr>
            <w:tcW w:w="1009" w:type="dxa"/>
            <w:tcBorders>
              <w:top w:val="nil"/>
              <w:left w:val="nil"/>
              <w:bottom w:val="single" w:sz="4" w:space="0" w:color="auto"/>
              <w:right w:val="single" w:sz="4" w:space="0" w:color="auto"/>
            </w:tcBorders>
            <w:shd w:val="clear" w:color="auto" w:fill="auto"/>
          </w:tcPr>
          <w:p w14:paraId="41D14A47"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20 000</w:t>
            </w:r>
          </w:p>
        </w:tc>
        <w:tc>
          <w:tcPr>
            <w:tcW w:w="1350" w:type="dxa"/>
            <w:tcBorders>
              <w:top w:val="nil"/>
              <w:left w:val="nil"/>
              <w:bottom w:val="single" w:sz="4" w:space="0" w:color="auto"/>
              <w:right w:val="single" w:sz="4" w:space="0" w:color="auto"/>
            </w:tcBorders>
            <w:shd w:val="clear" w:color="auto" w:fill="auto"/>
          </w:tcPr>
          <w:p w14:paraId="151B5392"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In (zvyšuje náklady)</w:t>
            </w:r>
          </w:p>
        </w:tc>
      </w:tr>
      <w:tr w:rsidR="00002E2F" w:rsidRPr="00002E2F" w14:paraId="134FA442" w14:textId="77777777" w:rsidTr="00F07C84">
        <w:trPr>
          <w:trHeight w:val="840"/>
        </w:trPr>
        <w:tc>
          <w:tcPr>
            <w:tcW w:w="562" w:type="dxa"/>
            <w:tcBorders>
              <w:top w:val="nil"/>
              <w:left w:val="single" w:sz="4" w:space="0" w:color="auto"/>
              <w:bottom w:val="single" w:sz="4" w:space="0" w:color="auto"/>
              <w:right w:val="single" w:sz="4" w:space="0" w:color="auto"/>
            </w:tcBorders>
            <w:shd w:val="clear" w:color="auto" w:fill="auto"/>
          </w:tcPr>
          <w:p w14:paraId="4782A4AC"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lastRenderedPageBreak/>
              <w:t>7</w:t>
            </w:r>
          </w:p>
        </w:tc>
        <w:tc>
          <w:tcPr>
            <w:tcW w:w="3017" w:type="dxa"/>
            <w:tcBorders>
              <w:top w:val="nil"/>
              <w:left w:val="nil"/>
              <w:bottom w:val="single" w:sz="4" w:space="0" w:color="auto"/>
              <w:right w:val="single" w:sz="4" w:space="0" w:color="auto"/>
            </w:tcBorders>
            <w:shd w:val="clear" w:color="auto" w:fill="auto"/>
          </w:tcPr>
          <w:p w14:paraId="79F4391E"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Zavedenie novej pokuty pre kvalifikovaného poskytovateľa dôveryhodných služieb </w:t>
            </w:r>
          </w:p>
        </w:tc>
        <w:tc>
          <w:tcPr>
            <w:tcW w:w="1181" w:type="dxa"/>
            <w:tcBorders>
              <w:top w:val="nil"/>
              <w:left w:val="nil"/>
              <w:bottom w:val="single" w:sz="4" w:space="0" w:color="auto"/>
              <w:right w:val="single" w:sz="4" w:space="0" w:color="auto"/>
            </w:tcBorders>
            <w:shd w:val="clear" w:color="auto" w:fill="auto"/>
          </w:tcPr>
          <w:p w14:paraId="29401D8D"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tcPr>
          <w:p w14:paraId="1BBA6232"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14 ods. 10</w:t>
            </w:r>
          </w:p>
        </w:tc>
        <w:tc>
          <w:tcPr>
            <w:tcW w:w="1351" w:type="dxa"/>
            <w:tcBorders>
              <w:top w:val="nil"/>
              <w:left w:val="nil"/>
              <w:bottom w:val="single" w:sz="4" w:space="0" w:color="auto"/>
              <w:right w:val="single" w:sz="4" w:space="0" w:color="auto"/>
            </w:tcBorders>
            <w:shd w:val="clear" w:color="auto" w:fill="auto"/>
          </w:tcPr>
          <w:p w14:paraId="5855E5F0"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tcPr>
          <w:p w14:paraId="726316DB"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tcPr>
          <w:p w14:paraId="5E70B443"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tcPr>
          <w:p w14:paraId="24C04CFA" w14:textId="77777777" w:rsidR="00002E2F" w:rsidRPr="00002E2F" w:rsidRDefault="00002E2F" w:rsidP="00002E2F">
            <w:pPr>
              <w:spacing w:after="0" w:line="240" w:lineRule="auto"/>
              <w:jc w:val="both"/>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 6 </w:t>
            </w:r>
          </w:p>
        </w:tc>
        <w:tc>
          <w:tcPr>
            <w:tcW w:w="930" w:type="dxa"/>
            <w:tcBorders>
              <w:top w:val="nil"/>
              <w:left w:val="nil"/>
              <w:bottom w:val="single" w:sz="4" w:space="0" w:color="auto"/>
              <w:right w:val="single" w:sz="4" w:space="0" w:color="auto"/>
            </w:tcBorders>
            <w:shd w:val="clear" w:color="auto" w:fill="auto"/>
          </w:tcPr>
          <w:p w14:paraId="0055D61C"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3333,333333</w:t>
            </w:r>
          </w:p>
        </w:tc>
        <w:tc>
          <w:tcPr>
            <w:tcW w:w="1009" w:type="dxa"/>
            <w:tcBorders>
              <w:top w:val="nil"/>
              <w:left w:val="nil"/>
              <w:bottom w:val="single" w:sz="4" w:space="0" w:color="auto"/>
              <w:right w:val="single" w:sz="4" w:space="0" w:color="auto"/>
            </w:tcBorders>
            <w:shd w:val="clear" w:color="auto" w:fill="auto"/>
          </w:tcPr>
          <w:p w14:paraId="7803A7FE"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20000</w:t>
            </w:r>
          </w:p>
        </w:tc>
        <w:tc>
          <w:tcPr>
            <w:tcW w:w="1350" w:type="dxa"/>
            <w:tcBorders>
              <w:top w:val="nil"/>
              <w:left w:val="nil"/>
              <w:bottom w:val="single" w:sz="4" w:space="0" w:color="auto"/>
              <w:right w:val="single" w:sz="4" w:space="0" w:color="auto"/>
            </w:tcBorders>
            <w:shd w:val="clear" w:color="auto" w:fill="auto"/>
          </w:tcPr>
          <w:p w14:paraId="3F50A17A"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In (zvyšuje náklady)</w:t>
            </w:r>
          </w:p>
        </w:tc>
      </w:tr>
      <w:tr w:rsidR="00002E2F" w:rsidRPr="00002E2F" w14:paraId="6874104D" w14:textId="77777777" w:rsidTr="00F07C84">
        <w:trPr>
          <w:trHeight w:val="840"/>
        </w:trPr>
        <w:tc>
          <w:tcPr>
            <w:tcW w:w="562" w:type="dxa"/>
            <w:tcBorders>
              <w:top w:val="nil"/>
              <w:left w:val="single" w:sz="4" w:space="0" w:color="auto"/>
              <w:bottom w:val="single" w:sz="4" w:space="0" w:color="auto"/>
              <w:right w:val="single" w:sz="4" w:space="0" w:color="auto"/>
            </w:tcBorders>
            <w:shd w:val="clear" w:color="auto" w:fill="auto"/>
          </w:tcPr>
          <w:p w14:paraId="715D30C5"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8</w:t>
            </w:r>
          </w:p>
        </w:tc>
        <w:tc>
          <w:tcPr>
            <w:tcW w:w="3017" w:type="dxa"/>
            <w:tcBorders>
              <w:top w:val="nil"/>
              <w:left w:val="nil"/>
              <w:bottom w:val="single" w:sz="4" w:space="0" w:color="auto"/>
              <w:right w:val="single" w:sz="4" w:space="0" w:color="auto"/>
            </w:tcBorders>
            <w:shd w:val="clear" w:color="auto" w:fill="auto"/>
          </w:tcPr>
          <w:p w14:paraId="1F24E9A2"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Zavedenie novej pokuty pre poskytovateľa európskej peňaženky digitálnej identity</w:t>
            </w:r>
          </w:p>
        </w:tc>
        <w:tc>
          <w:tcPr>
            <w:tcW w:w="1181" w:type="dxa"/>
            <w:tcBorders>
              <w:top w:val="nil"/>
              <w:left w:val="nil"/>
              <w:bottom w:val="single" w:sz="4" w:space="0" w:color="auto"/>
              <w:right w:val="single" w:sz="4" w:space="0" w:color="auto"/>
            </w:tcBorders>
            <w:shd w:val="clear" w:color="auto" w:fill="auto"/>
          </w:tcPr>
          <w:p w14:paraId="6623AD43"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272/2016 Z.z.</w:t>
            </w:r>
          </w:p>
        </w:tc>
        <w:tc>
          <w:tcPr>
            <w:tcW w:w="1189" w:type="dxa"/>
            <w:tcBorders>
              <w:top w:val="nil"/>
              <w:left w:val="nil"/>
              <w:bottom w:val="single" w:sz="4" w:space="0" w:color="auto"/>
              <w:right w:val="single" w:sz="4" w:space="0" w:color="auto"/>
            </w:tcBorders>
            <w:shd w:val="clear" w:color="auto" w:fill="auto"/>
          </w:tcPr>
          <w:p w14:paraId="01BAD323"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14 ods. 12</w:t>
            </w:r>
          </w:p>
        </w:tc>
        <w:tc>
          <w:tcPr>
            <w:tcW w:w="1351" w:type="dxa"/>
            <w:tcBorders>
              <w:top w:val="nil"/>
              <w:left w:val="nil"/>
              <w:bottom w:val="single" w:sz="4" w:space="0" w:color="auto"/>
              <w:right w:val="single" w:sz="4" w:space="0" w:color="auto"/>
            </w:tcBorders>
            <w:shd w:val="clear" w:color="auto" w:fill="auto"/>
          </w:tcPr>
          <w:p w14:paraId="7742997D"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 EÚ úplná harmonizácia</w:t>
            </w:r>
          </w:p>
        </w:tc>
        <w:tc>
          <w:tcPr>
            <w:tcW w:w="1143" w:type="dxa"/>
            <w:tcBorders>
              <w:top w:val="nil"/>
              <w:left w:val="nil"/>
              <w:bottom w:val="single" w:sz="4" w:space="0" w:color="auto"/>
              <w:right w:val="single" w:sz="4" w:space="0" w:color="auto"/>
            </w:tcBorders>
            <w:shd w:val="clear" w:color="auto" w:fill="auto"/>
          </w:tcPr>
          <w:p w14:paraId="51073DF5"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01.01.2025</w:t>
            </w:r>
          </w:p>
        </w:tc>
        <w:tc>
          <w:tcPr>
            <w:tcW w:w="1432" w:type="dxa"/>
            <w:tcBorders>
              <w:top w:val="nil"/>
              <w:left w:val="nil"/>
              <w:bottom w:val="single" w:sz="4" w:space="0" w:color="auto"/>
              <w:right w:val="single" w:sz="4" w:space="0" w:color="auto"/>
            </w:tcBorders>
            <w:shd w:val="clear" w:color="auto" w:fill="auto"/>
          </w:tcPr>
          <w:p w14:paraId="1DE0BFFD"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Právnická osoba alebo fyzická osoba podnikateľ</w:t>
            </w:r>
          </w:p>
        </w:tc>
        <w:tc>
          <w:tcPr>
            <w:tcW w:w="1050" w:type="dxa"/>
            <w:tcBorders>
              <w:top w:val="nil"/>
              <w:left w:val="nil"/>
              <w:bottom w:val="single" w:sz="4" w:space="0" w:color="auto"/>
              <w:right w:val="single" w:sz="4" w:space="0" w:color="auto"/>
            </w:tcBorders>
            <w:shd w:val="clear" w:color="auto" w:fill="auto"/>
          </w:tcPr>
          <w:p w14:paraId="52321A89" w14:textId="77777777" w:rsidR="00002E2F" w:rsidRPr="00002E2F" w:rsidRDefault="00002E2F" w:rsidP="00002E2F">
            <w:pPr>
              <w:spacing w:after="0" w:line="240" w:lineRule="auto"/>
              <w:jc w:val="both"/>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 xml:space="preserve"> 472 </w:t>
            </w:r>
          </w:p>
        </w:tc>
        <w:tc>
          <w:tcPr>
            <w:tcW w:w="930" w:type="dxa"/>
            <w:tcBorders>
              <w:top w:val="nil"/>
              <w:left w:val="nil"/>
              <w:bottom w:val="single" w:sz="4" w:space="0" w:color="auto"/>
              <w:right w:val="single" w:sz="4" w:space="0" w:color="auto"/>
            </w:tcBorders>
            <w:shd w:val="clear" w:color="auto" w:fill="auto"/>
          </w:tcPr>
          <w:p w14:paraId="6730DA80"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21</w:t>
            </w:r>
          </w:p>
        </w:tc>
        <w:tc>
          <w:tcPr>
            <w:tcW w:w="1009" w:type="dxa"/>
            <w:tcBorders>
              <w:top w:val="nil"/>
              <w:left w:val="nil"/>
              <w:bottom w:val="single" w:sz="4" w:space="0" w:color="auto"/>
              <w:right w:val="single" w:sz="4" w:space="0" w:color="auto"/>
            </w:tcBorders>
            <w:shd w:val="clear" w:color="auto" w:fill="auto"/>
          </w:tcPr>
          <w:p w14:paraId="583B4D72"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10 000</w:t>
            </w:r>
          </w:p>
        </w:tc>
        <w:tc>
          <w:tcPr>
            <w:tcW w:w="1350" w:type="dxa"/>
            <w:tcBorders>
              <w:top w:val="nil"/>
              <w:left w:val="nil"/>
              <w:bottom w:val="single" w:sz="4" w:space="0" w:color="auto"/>
              <w:right w:val="single" w:sz="4" w:space="0" w:color="auto"/>
            </w:tcBorders>
            <w:shd w:val="clear" w:color="auto" w:fill="auto"/>
          </w:tcPr>
          <w:p w14:paraId="7616EC4C" w14:textId="77777777" w:rsidR="00002E2F" w:rsidRPr="00002E2F" w:rsidRDefault="00002E2F" w:rsidP="00002E2F">
            <w:pPr>
              <w:spacing w:after="0" w:line="240" w:lineRule="auto"/>
              <w:jc w:val="center"/>
              <w:rPr>
                <w:rFonts w:ascii="Times New Roman" w:eastAsia="Times New Roman" w:hAnsi="Times New Roman" w:cs="Times New Roman"/>
                <w:color w:val="000000"/>
                <w:sz w:val="18"/>
                <w:szCs w:val="18"/>
                <w:lang w:eastAsia="en-GB"/>
              </w:rPr>
            </w:pPr>
            <w:r w:rsidRPr="00002E2F">
              <w:rPr>
                <w:rFonts w:ascii="Times New Roman" w:eastAsia="Times New Roman" w:hAnsi="Times New Roman" w:cs="Times New Roman"/>
                <w:sz w:val="18"/>
                <w:szCs w:val="18"/>
                <w:lang w:eastAsia="en-GB"/>
              </w:rPr>
              <w:t>In (zvyšuje náklady)</w:t>
            </w:r>
          </w:p>
        </w:tc>
      </w:tr>
    </w:tbl>
    <w:p w14:paraId="0988DB34" w14:textId="77777777" w:rsidR="00D830E8" w:rsidRPr="00D830E8" w:rsidRDefault="00D830E8" w:rsidP="00D830E8">
      <w:pPr>
        <w:spacing w:after="0" w:line="240" w:lineRule="auto"/>
        <w:jc w:val="both"/>
        <w:rPr>
          <w:rFonts w:ascii="Times New Roman" w:eastAsia="Calibri" w:hAnsi="Times New Roman" w:cs="Times New Roman"/>
          <w:b/>
          <w:bCs/>
          <w:i/>
          <w:sz w:val="24"/>
          <w:szCs w:val="24"/>
          <w:highlight w:val="yellow"/>
          <w:lang w:eastAsia="en-GB"/>
        </w:rPr>
        <w:sectPr w:rsidR="00D830E8" w:rsidRPr="00D830E8" w:rsidSect="00D830E8">
          <w:pgSz w:w="16838" w:h="11906" w:orient="landscape"/>
          <w:pgMar w:top="1417" w:right="1417" w:bottom="1417" w:left="1417" w:header="708" w:footer="708" w:gutter="0"/>
          <w:cols w:space="708"/>
          <w:docGrid w:linePitch="360"/>
        </w:sectPr>
      </w:pPr>
    </w:p>
    <w:p w14:paraId="624E2019" w14:textId="77777777" w:rsidR="00D830E8" w:rsidRPr="00D830E8" w:rsidRDefault="00D830E8" w:rsidP="00D830E8">
      <w:pPr>
        <w:spacing w:after="0" w:line="240" w:lineRule="auto"/>
        <w:jc w:val="both"/>
        <w:rPr>
          <w:rFonts w:ascii="Times New Roman" w:eastAsia="Calibri" w:hAnsi="Times New Roman" w:cs="Times New Roman"/>
          <w:b/>
          <w:bCs/>
          <w:i/>
          <w:sz w:val="24"/>
          <w:szCs w:val="24"/>
          <w:u w:val="single"/>
          <w:lang w:eastAsia="en-GB"/>
        </w:rPr>
      </w:pPr>
      <w:r w:rsidRPr="00D830E8">
        <w:rPr>
          <w:rFonts w:ascii="Times New Roman" w:eastAsia="Calibri" w:hAnsi="Times New Roman" w:cs="Times New Roman"/>
          <w:b/>
          <w:bCs/>
          <w:i/>
          <w:sz w:val="24"/>
          <w:szCs w:val="24"/>
          <w:u w:val="single"/>
          <w:lang w:eastAsia="en-GB"/>
        </w:rPr>
        <w:lastRenderedPageBreak/>
        <w:t xml:space="preserve">3.1.3 Doplňujúce informácie k spôsobu výpočtu vplyvov jednotlivých regulácií na zmenu nákladov </w:t>
      </w:r>
    </w:p>
    <w:p w14:paraId="6A32407D" w14:textId="77777777" w:rsidR="00D830E8" w:rsidRPr="00D830E8" w:rsidRDefault="00D830E8" w:rsidP="00D830E8">
      <w:pPr>
        <w:spacing w:after="0" w:line="240" w:lineRule="auto"/>
        <w:jc w:val="both"/>
        <w:rPr>
          <w:rFonts w:ascii="Times New Roman" w:eastAsia="Calibri" w:hAnsi="Times New Roman" w:cs="Times New Roman"/>
          <w:bCs/>
          <w:color w:val="000000"/>
          <w:sz w:val="24"/>
          <w:szCs w:val="24"/>
          <w:lang w:eastAsia="en-GB"/>
        </w:rPr>
      </w:pPr>
    </w:p>
    <w:p w14:paraId="27E92BE9" w14:textId="77777777" w:rsidR="00002E2F" w:rsidRPr="00002E2F" w:rsidRDefault="00002E2F" w:rsidP="00002E2F">
      <w:pPr>
        <w:spacing w:after="0" w:line="240" w:lineRule="auto"/>
        <w:jc w:val="both"/>
        <w:rPr>
          <w:rFonts w:ascii="Times New Roman" w:eastAsia="Calibri" w:hAnsi="Times New Roman" w:cs="Times New Roman"/>
          <w:b/>
          <w:color w:val="000000"/>
          <w:sz w:val="24"/>
          <w:szCs w:val="24"/>
          <w:lang w:eastAsia="en-GB"/>
        </w:rPr>
      </w:pPr>
      <w:r w:rsidRPr="00002E2F">
        <w:rPr>
          <w:rFonts w:ascii="Times New Roman" w:eastAsia="Calibri" w:hAnsi="Times New Roman" w:cs="Times New Roman"/>
          <w:b/>
          <w:color w:val="000000"/>
          <w:sz w:val="24"/>
          <w:szCs w:val="24"/>
          <w:lang w:eastAsia="en-GB"/>
        </w:rPr>
        <w:t>3.1.3.1. Vstupné faktory</w:t>
      </w:r>
    </w:p>
    <w:p w14:paraId="37464404" w14:textId="77777777" w:rsidR="00002E2F" w:rsidRPr="00002E2F" w:rsidRDefault="00002E2F" w:rsidP="00002E2F">
      <w:pPr>
        <w:spacing w:after="0" w:line="240" w:lineRule="auto"/>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Základným vstupným faktorom je Početnosť jednotlivých dotknutých subjektov, ktorú zobrazuje nasledujúca tabuľka</w:t>
      </w:r>
    </w:p>
    <w:tbl>
      <w:tblPr>
        <w:tblStyle w:val="Mriekatabuky6"/>
        <w:tblW w:w="0" w:type="auto"/>
        <w:tblLook w:val="04A0" w:firstRow="1" w:lastRow="0" w:firstColumn="1" w:lastColumn="0" w:noHBand="0" w:noVBand="1"/>
      </w:tblPr>
      <w:tblGrid>
        <w:gridCol w:w="5004"/>
        <w:gridCol w:w="1375"/>
        <w:gridCol w:w="2683"/>
      </w:tblGrid>
      <w:tr w:rsidR="00002E2F" w:rsidRPr="00002E2F" w14:paraId="007113F5" w14:textId="77777777" w:rsidTr="00F07C84">
        <w:tc>
          <w:tcPr>
            <w:tcW w:w="5004" w:type="dxa"/>
          </w:tcPr>
          <w:p w14:paraId="1DAC140A" w14:textId="77777777" w:rsidR="00002E2F" w:rsidRPr="00002E2F" w:rsidRDefault="00002E2F" w:rsidP="00002E2F">
            <w:pPr>
              <w:jc w:val="both"/>
              <w:rPr>
                <w:rFonts w:ascii="Times New Roman" w:eastAsia="Calibri" w:hAnsi="Times New Roman" w:cs="Times New Roman"/>
                <w:b/>
                <w:color w:val="000000"/>
                <w:sz w:val="24"/>
                <w:szCs w:val="24"/>
                <w:lang w:eastAsia="en-GB"/>
              </w:rPr>
            </w:pPr>
            <w:r w:rsidRPr="00002E2F">
              <w:rPr>
                <w:rFonts w:ascii="Times New Roman" w:eastAsia="Calibri" w:hAnsi="Times New Roman" w:cs="Times New Roman"/>
                <w:b/>
                <w:color w:val="000000"/>
                <w:sz w:val="24"/>
                <w:szCs w:val="24"/>
                <w:lang w:eastAsia="en-GB"/>
              </w:rPr>
              <w:t>Dotknutý subjekt</w:t>
            </w:r>
          </w:p>
        </w:tc>
        <w:tc>
          <w:tcPr>
            <w:tcW w:w="1375" w:type="dxa"/>
          </w:tcPr>
          <w:p w14:paraId="6D897B27" w14:textId="77777777" w:rsidR="00002E2F" w:rsidRPr="00002E2F" w:rsidRDefault="00002E2F" w:rsidP="00002E2F">
            <w:pPr>
              <w:jc w:val="both"/>
              <w:rPr>
                <w:rFonts w:ascii="Times New Roman" w:eastAsia="Calibri" w:hAnsi="Times New Roman" w:cs="Times New Roman"/>
                <w:b/>
                <w:color w:val="000000"/>
                <w:sz w:val="24"/>
                <w:szCs w:val="24"/>
                <w:lang w:eastAsia="en-GB"/>
              </w:rPr>
            </w:pPr>
            <w:r w:rsidRPr="00002E2F">
              <w:rPr>
                <w:rFonts w:ascii="Times New Roman" w:eastAsia="Calibri" w:hAnsi="Times New Roman" w:cs="Times New Roman"/>
                <w:b/>
                <w:color w:val="000000"/>
                <w:sz w:val="24"/>
                <w:szCs w:val="24"/>
                <w:lang w:eastAsia="en-GB"/>
              </w:rPr>
              <w:t>Početnosť</w:t>
            </w:r>
          </w:p>
        </w:tc>
        <w:tc>
          <w:tcPr>
            <w:tcW w:w="2683" w:type="dxa"/>
          </w:tcPr>
          <w:p w14:paraId="4E4677DC" w14:textId="77777777" w:rsidR="00002E2F" w:rsidRPr="00002E2F" w:rsidRDefault="00002E2F" w:rsidP="00002E2F">
            <w:pPr>
              <w:jc w:val="both"/>
              <w:rPr>
                <w:rFonts w:ascii="Times New Roman" w:eastAsia="Calibri" w:hAnsi="Times New Roman" w:cs="Times New Roman"/>
                <w:b/>
                <w:color w:val="000000"/>
                <w:sz w:val="24"/>
                <w:szCs w:val="24"/>
                <w:lang w:eastAsia="en-GB"/>
              </w:rPr>
            </w:pPr>
            <w:r w:rsidRPr="00002E2F">
              <w:rPr>
                <w:rFonts w:ascii="Times New Roman" w:eastAsia="Calibri" w:hAnsi="Times New Roman" w:cs="Times New Roman"/>
                <w:b/>
                <w:color w:val="000000"/>
                <w:sz w:val="24"/>
                <w:szCs w:val="24"/>
                <w:lang w:eastAsia="en-GB"/>
              </w:rPr>
              <w:t>Zdroj</w:t>
            </w:r>
          </w:p>
        </w:tc>
      </w:tr>
      <w:tr w:rsidR="00002E2F" w:rsidRPr="00002E2F" w14:paraId="38AC2E6F" w14:textId="77777777" w:rsidTr="00F07C84">
        <w:tc>
          <w:tcPr>
            <w:tcW w:w="5004" w:type="dxa"/>
          </w:tcPr>
          <w:p w14:paraId="0D175A1A"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Kvalifikovaný poskytovateľ dôveryhodných služieb (právnická osoba – podnikateľ)</w:t>
            </w:r>
          </w:p>
        </w:tc>
        <w:tc>
          <w:tcPr>
            <w:tcW w:w="1375" w:type="dxa"/>
          </w:tcPr>
          <w:p w14:paraId="53E83E7C"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6</w:t>
            </w:r>
          </w:p>
        </w:tc>
        <w:tc>
          <w:tcPr>
            <w:tcW w:w="2683" w:type="dxa"/>
          </w:tcPr>
          <w:p w14:paraId="0FB1F261"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NBÚ/EK</w:t>
            </w:r>
            <w:r w:rsidRPr="00002E2F">
              <w:rPr>
                <w:rFonts w:ascii="Times New Roman" w:eastAsia="Calibri" w:hAnsi="Times New Roman" w:cs="Times New Roman"/>
                <w:bCs/>
                <w:color w:val="000000"/>
                <w:sz w:val="24"/>
                <w:szCs w:val="24"/>
                <w:vertAlign w:val="superscript"/>
                <w:lang w:eastAsia="en-GB"/>
              </w:rPr>
              <w:footnoteReference w:id="2"/>
            </w:r>
          </w:p>
        </w:tc>
      </w:tr>
      <w:tr w:rsidR="00002E2F" w:rsidRPr="00002E2F" w14:paraId="2D8A321C" w14:textId="77777777" w:rsidTr="00F07C84">
        <w:tc>
          <w:tcPr>
            <w:tcW w:w="5004" w:type="dxa"/>
          </w:tcPr>
          <w:p w14:paraId="407E1ED5"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Nekvalifikovaný poskytovateľ dôveryhodných služieb</w:t>
            </w:r>
          </w:p>
        </w:tc>
        <w:tc>
          <w:tcPr>
            <w:tcW w:w="1375" w:type="dxa"/>
          </w:tcPr>
          <w:p w14:paraId="4171A84C"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0</w:t>
            </w:r>
            <w:r w:rsidRPr="00002E2F">
              <w:rPr>
                <w:rFonts w:ascii="Times New Roman" w:eastAsia="Calibri" w:hAnsi="Times New Roman" w:cs="Times New Roman"/>
                <w:bCs/>
                <w:color w:val="000000"/>
                <w:sz w:val="24"/>
                <w:szCs w:val="24"/>
                <w:vertAlign w:val="superscript"/>
                <w:lang w:eastAsia="en-GB"/>
              </w:rPr>
              <w:footnoteReference w:id="3"/>
            </w:r>
          </w:p>
        </w:tc>
        <w:tc>
          <w:tcPr>
            <w:tcW w:w="2683" w:type="dxa"/>
          </w:tcPr>
          <w:p w14:paraId="40523A0F"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NBÚ/EK</w:t>
            </w:r>
            <w:r w:rsidRPr="00002E2F">
              <w:rPr>
                <w:rFonts w:ascii="Times New Roman" w:eastAsia="Calibri" w:hAnsi="Times New Roman" w:cs="Times New Roman"/>
                <w:bCs/>
                <w:color w:val="000000"/>
                <w:sz w:val="24"/>
                <w:szCs w:val="24"/>
                <w:vertAlign w:val="superscript"/>
                <w:lang w:eastAsia="en-GB"/>
              </w:rPr>
              <w:footnoteReference w:id="4"/>
            </w:r>
          </w:p>
        </w:tc>
      </w:tr>
      <w:tr w:rsidR="00002E2F" w:rsidRPr="00002E2F" w14:paraId="3EF8FAB1" w14:textId="77777777" w:rsidTr="00F07C84">
        <w:tc>
          <w:tcPr>
            <w:tcW w:w="5004" w:type="dxa"/>
          </w:tcPr>
          <w:p w14:paraId="29B11BCA"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Poskytovateľ európskej peňaženky digitálnej identity</w:t>
            </w:r>
          </w:p>
        </w:tc>
        <w:tc>
          <w:tcPr>
            <w:tcW w:w="1375" w:type="dxa"/>
          </w:tcPr>
          <w:p w14:paraId="0A83D008"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472</w:t>
            </w:r>
          </w:p>
        </w:tc>
        <w:tc>
          <w:tcPr>
            <w:tcW w:w="2683" w:type="dxa"/>
          </w:tcPr>
          <w:p w14:paraId="7DD0667E"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Odhad NBÚ na základe údajov poskytnutých NBS</w:t>
            </w:r>
          </w:p>
        </w:tc>
      </w:tr>
      <w:tr w:rsidR="00002E2F" w:rsidRPr="00002E2F" w14:paraId="58D47DB6" w14:textId="77777777" w:rsidTr="00F07C84">
        <w:tc>
          <w:tcPr>
            <w:tcW w:w="5004" w:type="dxa"/>
          </w:tcPr>
          <w:p w14:paraId="70B62925"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Právnické osoby a fyzické osoby podnikatelia</w:t>
            </w:r>
          </w:p>
        </w:tc>
        <w:tc>
          <w:tcPr>
            <w:tcW w:w="1375" w:type="dxa"/>
          </w:tcPr>
          <w:p w14:paraId="17557046"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670 817</w:t>
            </w:r>
          </w:p>
        </w:tc>
        <w:tc>
          <w:tcPr>
            <w:tcW w:w="2683" w:type="dxa"/>
          </w:tcPr>
          <w:p w14:paraId="43C0DC69" w14:textId="77777777" w:rsidR="00002E2F" w:rsidRPr="00002E2F" w:rsidRDefault="00002E2F" w:rsidP="00002E2F">
            <w:pPr>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SBA na základe údajov ŠÚ SR</w:t>
            </w:r>
            <w:r w:rsidRPr="00002E2F">
              <w:rPr>
                <w:rFonts w:ascii="Times New Roman" w:eastAsia="Calibri" w:hAnsi="Times New Roman" w:cs="Times New Roman"/>
                <w:bCs/>
                <w:color w:val="000000"/>
                <w:sz w:val="24"/>
                <w:szCs w:val="24"/>
                <w:vertAlign w:val="superscript"/>
                <w:lang w:eastAsia="en-GB"/>
              </w:rPr>
              <w:footnoteReference w:id="5"/>
            </w:r>
          </w:p>
        </w:tc>
      </w:tr>
    </w:tbl>
    <w:p w14:paraId="6AE79997" w14:textId="77777777" w:rsidR="00002E2F" w:rsidRPr="00002E2F" w:rsidRDefault="00002E2F" w:rsidP="00002E2F">
      <w:pPr>
        <w:widowControl w:val="0"/>
        <w:spacing w:before="120" w:after="120" w:line="240" w:lineRule="auto"/>
        <w:jc w:val="both"/>
        <w:rPr>
          <w:rFonts w:ascii="Times New Roman" w:eastAsia="Calibri" w:hAnsi="Times New Roman" w:cs="Times New Roman"/>
          <w:bCs/>
          <w:i/>
          <w:iCs/>
          <w:color w:val="000000"/>
          <w:sz w:val="24"/>
          <w:szCs w:val="24"/>
          <w:highlight w:val="yellow"/>
          <w:lang w:eastAsia="en-GB"/>
        </w:rPr>
      </w:pPr>
    </w:p>
    <w:p w14:paraId="51FC13F7" w14:textId="77777777" w:rsidR="00002E2F" w:rsidRPr="00002E2F" w:rsidRDefault="00002E2F" w:rsidP="00002E2F">
      <w:pPr>
        <w:spacing w:after="0" w:line="240" w:lineRule="auto"/>
        <w:jc w:val="both"/>
        <w:rPr>
          <w:rFonts w:ascii="Times New Roman" w:eastAsia="Calibri" w:hAnsi="Times New Roman" w:cs="Times New Roman"/>
          <w:b/>
          <w:color w:val="000000"/>
          <w:sz w:val="24"/>
          <w:szCs w:val="24"/>
          <w:lang w:eastAsia="en-GB"/>
        </w:rPr>
      </w:pPr>
      <w:r w:rsidRPr="00002E2F">
        <w:rPr>
          <w:rFonts w:ascii="Times New Roman" w:eastAsia="Calibri" w:hAnsi="Times New Roman" w:cs="Times New Roman"/>
          <w:b/>
          <w:color w:val="000000"/>
          <w:sz w:val="24"/>
          <w:szCs w:val="24"/>
          <w:lang w:eastAsia="en-GB"/>
        </w:rPr>
        <w:t xml:space="preserve">3.1.3.2. Zavedenie povinnosti auditu kybernetickej bezpečnosti pre nové subjekty </w:t>
      </w:r>
    </w:p>
    <w:p w14:paraId="4E96C9F7" w14:textId="77777777" w:rsidR="00002E2F" w:rsidRPr="00002E2F" w:rsidRDefault="00002E2F" w:rsidP="00002E2F">
      <w:pPr>
        <w:spacing w:after="0" w:line="240" w:lineRule="auto"/>
        <w:jc w:val="both"/>
        <w:rPr>
          <w:rFonts w:ascii="Times New Roman" w:eastAsia="Calibri" w:hAnsi="Times New Roman" w:cs="Times New Roman"/>
          <w:bCs/>
          <w:color w:val="000000"/>
          <w:sz w:val="24"/>
          <w:szCs w:val="24"/>
          <w:lang w:eastAsia="en-GB"/>
        </w:rPr>
      </w:pPr>
      <w:r w:rsidRPr="00002E2F">
        <w:rPr>
          <w:rFonts w:ascii="Times New Roman" w:eastAsia="Times New Roman" w:hAnsi="Times New Roman" w:cs="Times New Roman"/>
          <w:sz w:val="24"/>
          <w:szCs w:val="24"/>
          <w:lang w:eastAsia="en-GB"/>
        </w:rPr>
        <w:t>Novela zákona v § 3 ods. 4 dopĺňa povinnosť pre kvalifikovaného poskytovateľa dôveryhodnej služby vykonať audit kybernetickej bezpečnosti.</w:t>
      </w:r>
    </w:p>
    <w:tbl>
      <w:tblPr>
        <w:tblStyle w:val="Mriekatabuky6"/>
        <w:tblW w:w="9467" w:type="dxa"/>
        <w:tblLook w:val="04A0" w:firstRow="1" w:lastRow="0" w:firstColumn="1" w:lastColumn="0" w:noHBand="0" w:noVBand="1"/>
      </w:tblPr>
      <w:tblGrid>
        <w:gridCol w:w="2352"/>
        <w:gridCol w:w="2038"/>
        <w:gridCol w:w="2268"/>
        <w:gridCol w:w="2809"/>
      </w:tblGrid>
      <w:tr w:rsidR="00002E2F" w:rsidRPr="00002E2F" w14:paraId="6149F981" w14:textId="77777777" w:rsidTr="00F07C84">
        <w:tc>
          <w:tcPr>
            <w:tcW w:w="2352" w:type="dxa"/>
            <w:shd w:val="clear" w:color="auto" w:fill="D9D9D9" w:themeFill="background1" w:themeFillShade="D9"/>
          </w:tcPr>
          <w:p w14:paraId="09CEDD67" w14:textId="77777777" w:rsidR="00002E2F" w:rsidRPr="00002E2F" w:rsidRDefault="00002E2F" w:rsidP="00002E2F">
            <w:pPr>
              <w:jc w:val="both"/>
              <w:rPr>
                <w:rFonts w:ascii="Times New Roman" w:eastAsia="Times New Roman" w:hAnsi="Times New Roman" w:cs="Times New Roman"/>
                <w:b/>
                <w:iCs/>
                <w:noProof/>
                <w:sz w:val="24"/>
                <w:szCs w:val="24"/>
                <w:lang w:eastAsia="en-GB"/>
              </w:rPr>
            </w:pPr>
            <w:r w:rsidRPr="00002E2F">
              <w:rPr>
                <w:rFonts w:ascii="Times New Roman" w:eastAsia="Times New Roman" w:hAnsi="Times New Roman" w:cs="Times New Roman"/>
                <w:b/>
                <w:iCs/>
                <w:noProof/>
                <w:sz w:val="24"/>
                <w:szCs w:val="24"/>
                <w:lang w:eastAsia="en-GB"/>
              </w:rPr>
              <w:t>Dotknutý subjekt</w:t>
            </w:r>
          </w:p>
        </w:tc>
        <w:tc>
          <w:tcPr>
            <w:tcW w:w="2038" w:type="dxa"/>
            <w:shd w:val="clear" w:color="auto" w:fill="D9D9D9" w:themeFill="background1" w:themeFillShade="D9"/>
          </w:tcPr>
          <w:p w14:paraId="601075A2" w14:textId="77777777" w:rsidR="00002E2F" w:rsidRPr="00002E2F" w:rsidRDefault="00002E2F" w:rsidP="00002E2F">
            <w:pPr>
              <w:jc w:val="both"/>
              <w:rPr>
                <w:rFonts w:ascii="Times New Roman" w:eastAsia="Times New Roman" w:hAnsi="Times New Roman" w:cs="Times New Roman"/>
                <w:b/>
                <w:iCs/>
                <w:noProof/>
                <w:sz w:val="24"/>
                <w:szCs w:val="24"/>
                <w:lang w:eastAsia="en-GB"/>
              </w:rPr>
            </w:pPr>
            <w:r w:rsidRPr="00002E2F">
              <w:rPr>
                <w:rFonts w:ascii="Times New Roman" w:eastAsia="Times New Roman" w:hAnsi="Times New Roman" w:cs="Times New Roman"/>
                <w:b/>
                <w:iCs/>
                <w:noProof/>
                <w:sz w:val="24"/>
                <w:szCs w:val="24"/>
                <w:lang w:eastAsia="en-GB"/>
              </w:rPr>
              <w:t>Počet človekodní</w:t>
            </w:r>
          </w:p>
        </w:tc>
        <w:tc>
          <w:tcPr>
            <w:tcW w:w="2268" w:type="dxa"/>
            <w:shd w:val="clear" w:color="auto" w:fill="D9D9D9" w:themeFill="background1" w:themeFillShade="D9"/>
          </w:tcPr>
          <w:p w14:paraId="727DB10C" w14:textId="77777777" w:rsidR="00002E2F" w:rsidRPr="00002E2F" w:rsidRDefault="00002E2F" w:rsidP="00002E2F">
            <w:pPr>
              <w:jc w:val="both"/>
              <w:rPr>
                <w:rFonts w:ascii="Times New Roman" w:eastAsia="Times New Roman" w:hAnsi="Times New Roman" w:cs="Times New Roman"/>
                <w:b/>
                <w:iCs/>
                <w:noProof/>
                <w:sz w:val="24"/>
                <w:szCs w:val="24"/>
                <w:lang w:eastAsia="en-GB"/>
              </w:rPr>
            </w:pPr>
            <w:r w:rsidRPr="00002E2F">
              <w:rPr>
                <w:rFonts w:ascii="Times New Roman" w:eastAsia="Times New Roman" w:hAnsi="Times New Roman" w:cs="Times New Roman"/>
                <w:b/>
                <w:iCs/>
                <w:noProof/>
                <w:sz w:val="24"/>
                <w:szCs w:val="24"/>
                <w:lang w:eastAsia="en-GB"/>
              </w:rPr>
              <w:t>Cena za človekodeň</w:t>
            </w:r>
          </w:p>
        </w:tc>
        <w:tc>
          <w:tcPr>
            <w:tcW w:w="2809" w:type="dxa"/>
            <w:shd w:val="clear" w:color="auto" w:fill="D9D9D9" w:themeFill="background1" w:themeFillShade="D9"/>
          </w:tcPr>
          <w:p w14:paraId="5AFE1A76" w14:textId="77777777" w:rsidR="00002E2F" w:rsidRPr="00002E2F" w:rsidRDefault="00002E2F" w:rsidP="00002E2F">
            <w:pPr>
              <w:jc w:val="both"/>
              <w:rPr>
                <w:rFonts w:ascii="Times New Roman" w:eastAsia="Times New Roman" w:hAnsi="Times New Roman" w:cs="Times New Roman"/>
                <w:b/>
                <w:iCs/>
                <w:noProof/>
                <w:sz w:val="24"/>
                <w:szCs w:val="24"/>
                <w:lang w:eastAsia="en-GB"/>
              </w:rPr>
            </w:pPr>
            <w:r w:rsidRPr="00002E2F">
              <w:rPr>
                <w:rFonts w:ascii="Times New Roman" w:eastAsia="Times New Roman" w:hAnsi="Times New Roman" w:cs="Times New Roman"/>
                <w:b/>
                <w:iCs/>
                <w:noProof/>
                <w:sz w:val="24"/>
                <w:szCs w:val="24"/>
                <w:lang w:eastAsia="en-GB"/>
              </w:rPr>
              <w:t>Cena celkom</w:t>
            </w:r>
          </w:p>
        </w:tc>
      </w:tr>
      <w:tr w:rsidR="00002E2F" w:rsidRPr="00002E2F" w14:paraId="06DE35F6" w14:textId="77777777" w:rsidTr="00F07C84">
        <w:tc>
          <w:tcPr>
            <w:tcW w:w="2352" w:type="dxa"/>
          </w:tcPr>
          <w:p w14:paraId="6DF5C57E" w14:textId="77777777" w:rsidR="00002E2F" w:rsidRPr="00002E2F" w:rsidRDefault="00002E2F" w:rsidP="00002E2F">
            <w:pPr>
              <w:jc w:val="both"/>
              <w:rPr>
                <w:rFonts w:ascii="Times New Roman" w:eastAsia="Times New Roman" w:hAnsi="Times New Roman" w:cs="Times New Roman"/>
                <w:bCs/>
                <w:iCs/>
                <w:noProof/>
                <w:sz w:val="24"/>
                <w:szCs w:val="24"/>
                <w:lang w:eastAsia="en-GB"/>
              </w:rPr>
            </w:pPr>
            <w:r w:rsidRPr="00002E2F">
              <w:rPr>
                <w:rFonts w:ascii="Times New Roman" w:eastAsia="Times New Roman" w:hAnsi="Times New Roman" w:cs="Times New Roman"/>
                <w:sz w:val="24"/>
                <w:szCs w:val="24"/>
                <w:lang w:eastAsia="en-GB"/>
              </w:rPr>
              <w:t>Kvalifikovaný poskytovateľ dôveryhodnej služby</w:t>
            </w:r>
          </w:p>
        </w:tc>
        <w:tc>
          <w:tcPr>
            <w:tcW w:w="2038" w:type="dxa"/>
          </w:tcPr>
          <w:p w14:paraId="08A667BD" w14:textId="77777777" w:rsidR="00002E2F" w:rsidRPr="00002E2F" w:rsidRDefault="00002E2F" w:rsidP="00002E2F">
            <w:pPr>
              <w:jc w:val="both"/>
              <w:rPr>
                <w:rFonts w:ascii="Times New Roman" w:eastAsia="Times New Roman" w:hAnsi="Times New Roman" w:cs="Times New Roman"/>
                <w:bCs/>
                <w:iCs/>
                <w:noProof/>
                <w:sz w:val="24"/>
                <w:szCs w:val="24"/>
                <w:lang w:eastAsia="en-GB"/>
              </w:rPr>
            </w:pPr>
            <w:r w:rsidRPr="00002E2F">
              <w:rPr>
                <w:rFonts w:ascii="Times New Roman" w:eastAsia="Times New Roman" w:hAnsi="Times New Roman" w:cs="Times New Roman"/>
                <w:bCs/>
                <w:iCs/>
                <w:noProof/>
                <w:sz w:val="24"/>
                <w:szCs w:val="24"/>
                <w:lang w:eastAsia="en-GB"/>
              </w:rPr>
              <w:t>50</w:t>
            </w:r>
          </w:p>
        </w:tc>
        <w:tc>
          <w:tcPr>
            <w:tcW w:w="2268" w:type="dxa"/>
          </w:tcPr>
          <w:p w14:paraId="72E685F7" w14:textId="77777777" w:rsidR="00002E2F" w:rsidRPr="00002E2F" w:rsidRDefault="00002E2F" w:rsidP="00002E2F">
            <w:pPr>
              <w:jc w:val="both"/>
              <w:rPr>
                <w:rFonts w:ascii="Times New Roman" w:eastAsia="Times New Roman" w:hAnsi="Times New Roman" w:cs="Times New Roman"/>
                <w:bCs/>
                <w:iCs/>
                <w:noProof/>
                <w:sz w:val="24"/>
                <w:szCs w:val="24"/>
                <w:lang w:eastAsia="en-GB"/>
              </w:rPr>
            </w:pPr>
            <w:r w:rsidRPr="00002E2F">
              <w:rPr>
                <w:rFonts w:ascii="Times New Roman" w:eastAsia="Times New Roman" w:hAnsi="Times New Roman" w:cs="Times New Roman"/>
                <w:bCs/>
                <w:iCs/>
                <w:noProof/>
                <w:sz w:val="24"/>
                <w:szCs w:val="24"/>
                <w:lang w:eastAsia="en-GB"/>
              </w:rPr>
              <w:t>700</w:t>
            </w:r>
          </w:p>
        </w:tc>
        <w:tc>
          <w:tcPr>
            <w:tcW w:w="2809" w:type="dxa"/>
          </w:tcPr>
          <w:p w14:paraId="10AE3970" w14:textId="77777777" w:rsidR="00002E2F" w:rsidRPr="00002E2F" w:rsidRDefault="00002E2F" w:rsidP="00002E2F">
            <w:pPr>
              <w:jc w:val="both"/>
              <w:rPr>
                <w:rFonts w:ascii="Times New Roman" w:eastAsia="Times New Roman" w:hAnsi="Times New Roman" w:cs="Times New Roman"/>
                <w:bCs/>
                <w:iCs/>
                <w:noProof/>
                <w:sz w:val="24"/>
                <w:szCs w:val="24"/>
                <w:lang w:eastAsia="en-GB"/>
              </w:rPr>
            </w:pPr>
            <w:r w:rsidRPr="00002E2F">
              <w:rPr>
                <w:rFonts w:ascii="Times New Roman" w:eastAsia="Times New Roman" w:hAnsi="Times New Roman" w:cs="Times New Roman"/>
                <w:bCs/>
                <w:iCs/>
                <w:noProof/>
                <w:sz w:val="24"/>
                <w:szCs w:val="24"/>
                <w:lang w:eastAsia="en-GB"/>
              </w:rPr>
              <w:t>35 000</w:t>
            </w:r>
          </w:p>
        </w:tc>
      </w:tr>
    </w:tbl>
    <w:p w14:paraId="15C8E1A8" w14:textId="77777777" w:rsidR="00002E2F" w:rsidRPr="00002E2F" w:rsidRDefault="00002E2F" w:rsidP="00002E2F">
      <w:pPr>
        <w:spacing w:after="0" w:line="240" w:lineRule="auto"/>
        <w:rPr>
          <w:rFonts w:ascii="Times New Roman" w:eastAsia="Calibri" w:hAnsi="Times New Roman" w:cs="Times New Roman"/>
          <w:bCs/>
          <w:color w:val="000000"/>
          <w:sz w:val="24"/>
          <w:szCs w:val="24"/>
          <w:lang w:eastAsia="en-GB"/>
        </w:rPr>
      </w:pPr>
      <w:r w:rsidRPr="00002E2F">
        <w:rPr>
          <w:rFonts w:ascii="Times New Roman" w:eastAsia="Times New Roman" w:hAnsi="Times New Roman" w:cs="Times New Roman"/>
          <w:bCs/>
          <w:iCs/>
          <w:noProof/>
          <w:sz w:val="24"/>
          <w:szCs w:val="24"/>
          <w:lang w:eastAsia="en-GB"/>
        </w:rPr>
        <w:t xml:space="preserve">Zdroj: Počet človekodní vychádza z expertného odhadu Kompetenčného a certifikačného centra kybernetickej, cena vychádza z cenníku KCCKB </w:t>
      </w:r>
      <w:hyperlink r:id="rId12" w:history="1">
        <w:r w:rsidRPr="00002E2F">
          <w:rPr>
            <w:rFonts w:ascii="Times New Roman" w:eastAsia="Times New Roman" w:hAnsi="Times New Roman" w:cs="Times New Roman"/>
            <w:bCs/>
            <w:iCs/>
            <w:noProof/>
            <w:color w:val="0000FF"/>
            <w:sz w:val="24"/>
            <w:szCs w:val="24"/>
            <w:u w:val="single"/>
            <w:lang w:eastAsia="en-GB"/>
          </w:rPr>
          <w:t>https://cybercompetence.sk/wp-content/uploads/dokumenty/ine/KCCKB-Cennik.pdf</w:t>
        </w:r>
      </w:hyperlink>
      <w:r w:rsidRPr="00002E2F">
        <w:rPr>
          <w:rFonts w:ascii="Times New Roman" w:eastAsia="Times New Roman" w:hAnsi="Times New Roman" w:cs="Times New Roman"/>
          <w:bCs/>
          <w:iCs/>
          <w:noProof/>
          <w:sz w:val="24"/>
          <w:szCs w:val="24"/>
          <w:lang w:eastAsia="en-GB"/>
        </w:rPr>
        <w:t xml:space="preserve"> </w:t>
      </w:r>
    </w:p>
    <w:p w14:paraId="5685A1DA" w14:textId="77777777" w:rsidR="00002E2F" w:rsidRPr="00002E2F" w:rsidRDefault="00002E2F" w:rsidP="00002E2F">
      <w:pPr>
        <w:spacing w:after="0" w:line="240" w:lineRule="auto"/>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Do samotnej kalkulačky pre Výpočet vplyvov jednotlivých regulácií bol doplnený riadok pričom pre subjekty, ktoré vykonajú audit KB bola doplnená cena na základe odhadovaného počtu človekodní a trhovej ceny za človekodeň.</w:t>
      </w:r>
    </w:p>
    <w:p w14:paraId="5F9F0E65" w14:textId="77777777" w:rsidR="00002E2F" w:rsidRPr="00002E2F" w:rsidRDefault="00002E2F" w:rsidP="00002E2F">
      <w:pPr>
        <w:spacing w:after="0" w:line="240" w:lineRule="auto"/>
        <w:jc w:val="both"/>
        <w:rPr>
          <w:rFonts w:ascii="Times New Roman" w:eastAsia="Calibri" w:hAnsi="Times New Roman" w:cs="Times New Roman"/>
          <w:bCs/>
          <w:color w:val="000000"/>
          <w:sz w:val="24"/>
          <w:szCs w:val="24"/>
          <w:highlight w:val="yellow"/>
          <w:lang w:eastAsia="en-GB"/>
        </w:rPr>
      </w:pPr>
    </w:p>
    <w:p w14:paraId="73F82F9A" w14:textId="77777777" w:rsidR="00002E2F" w:rsidRPr="00002E2F" w:rsidRDefault="00002E2F" w:rsidP="00002E2F">
      <w:pPr>
        <w:spacing w:after="0" w:line="240" w:lineRule="auto"/>
        <w:jc w:val="both"/>
        <w:rPr>
          <w:rFonts w:ascii="Times New Roman" w:eastAsia="Calibri" w:hAnsi="Times New Roman" w:cs="Times New Roman"/>
          <w:b/>
          <w:color w:val="000000"/>
          <w:sz w:val="24"/>
          <w:szCs w:val="24"/>
          <w:lang w:eastAsia="en-GB"/>
        </w:rPr>
      </w:pPr>
      <w:r w:rsidRPr="00002E2F">
        <w:rPr>
          <w:rFonts w:ascii="Times New Roman" w:eastAsia="Calibri" w:hAnsi="Times New Roman" w:cs="Times New Roman"/>
          <w:b/>
          <w:color w:val="000000"/>
          <w:sz w:val="24"/>
          <w:szCs w:val="24"/>
          <w:lang w:eastAsia="en-GB"/>
        </w:rPr>
        <w:t>3.1.3.3. Zavedenie povinností pre poskytovateľov európskej peňaženky digitálnej identity</w:t>
      </w:r>
    </w:p>
    <w:p w14:paraId="13470AE7" w14:textId="77777777" w:rsidR="00002E2F" w:rsidRPr="00002E2F" w:rsidRDefault="00002E2F" w:rsidP="00002E2F">
      <w:pPr>
        <w:shd w:val="clear" w:color="auto" w:fill="FFFFFF"/>
        <w:spacing w:after="150" w:line="240" w:lineRule="auto"/>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 xml:space="preserve">Jedným z najdôležitejších doplnení v návrhu zákona sú ustanovenia o európskej peňaženke digitálnej identity. Účelom európskej peňaženky digitálnej identity je poskytnúť fyzickým a právnickým osobám v celej Európskej únii (ďalej len „Únia“) harmonizovaný prostriedok elektronickej identifikácie, ktorý im umožní vykonávať autentifikáciu a zdieľať údaje súvisiace s ich totožnosťou. Prostredníctvom európskej peňaženky digitálnej identity sa poskytne bezpečný prístup k verejným a súkromným službám prostredníctvom zlepšeného ekosystému </w:t>
      </w:r>
      <w:r w:rsidRPr="00002E2F">
        <w:rPr>
          <w:rFonts w:ascii="Times New Roman" w:eastAsia="Calibri" w:hAnsi="Times New Roman" w:cs="Times New Roman"/>
          <w:bCs/>
          <w:color w:val="000000"/>
          <w:sz w:val="24"/>
          <w:szCs w:val="24"/>
          <w:lang w:eastAsia="en-GB"/>
        </w:rPr>
        <w:lastRenderedPageBreak/>
        <w:t xml:space="preserve">dôveryhodných služieb a pomocou overených dôkazov totožnosti a elektronických osvedčení atribútov, ako sú napríklad akademické kvalifikácie vrátane vysokoškolských titulov alebo iné dosiahnuté formy vzdelania alebo odbornej kvalifikácie. Cieľom európskeho rámca digitálnej identity je dosiahnuť posun od výlučného využívania vnútroštátnych riešení digitálnej identity k poskytovaniu elektronických osvedčení atribútov platných a právne uznávaných v celej Únii. Poskytovatelia elektronických osvedčení atribútov by mali profitovať z jasného a jednotného súboru pravidiel, zatiaľ čo orgány verejnej moci by mali mať možnosť využívať elektronické dokumenty v určitom stanovenom formáte. Návrhom zákona sa upravujú postupy ako sa stať poskytovateľom európskej peňaženky digitálnej identity. </w:t>
      </w:r>
    </w:p>
    <w:p w14:paraId="2779FF62" w14:textId="77777777" w:rsidR="00002E2F" w:rsidRPr="00002E2F" w:rsidRDefault="00002E2F" w:rsidP="00002E2F">
      <w:pPr>
        <w:shd w:val="clear" w:color="auto" w:fill="FFFFFF"/>
        <w:spacing w:after="150" w:line="240" w:lineRule="auto"/>
        <w:jc w:val="both"/>
        <w:rPr>
          <w:rFonts w:ascii="Times New Roman" w:eastAsia="Calibri" w:hAnsi="Times New Roman" w:cs="Times New Roman"/>
          <w:bCs/>
          <w:color w:val="000000"/>
          <w:sz w:val="24"/>
          <w:szCs w:val="24"/>
          <w:lang w:eastAsia="en-GB"/>
        </w:rPr>
      </w:pPr>
      <w:r w:rsidRPr="00002E2F">
        <w:rPr>
          <w:rFonts w:ascii="Times New Roman" w:eastAsia="Calibri" w:hAnsi="Times New Roman" w:cs="Times New Roman"/>
          <w:bCs/>
          <w:color w:val="000000"/>
          <w:sz w:val="24"/>
          <w:szCs w:val="24"/>
          <w:lang w:eastAsia="en-GB"/>
        </w:rPr>
        <w:t>Novela zákona určuje poskytovateľom európskej peňaženky digitálnej identity súbor povinností. Keďže poskytovanie európskej peňaženky digitálnej identity je inováciou, ktoré nebola doteraz zavedená, nie je možné stanoviť presnú kvantifikáciu časovej náročnosti. Z tohto dôvodu bola využitá Štandardná časová náročnosť povinnosti v zmysle metodického postupu pre analýzu vplyvov na podnikateľské prostredie</w:t>
      </w:r>
    </w:p>
    <w:p w14:paraId="0E4726AD" w14:textId="77777777" w:rsidR="00002E2F" w:rsidRPr="00002E2F" w:rsidRDefault="00002E2F" w:rsidP="00002E2F">
      <w:pPr>
        <w:spacing w:after="0" w:line="240" w:lineRule="auto"/>
        <w:jc w:val="both"/>
        <w:rPr>
          <w:rFonts w:ascii="Times New Roman" w:eastAsia="Calibri" w:hAnsi="Times New Roman" w:cs="Times New Roman"/>
          <w:bCs/>
          <w:color w:val="000000"/>
          <w:sz w:val="24"/>
          <w:szCs w:val="24"/>
          <w:highlight w:val="yellow"/>
          <w:lang w:eastAsia="en-GB"/>
        </w:rPr>
      </w:pPr>
    </w:p>
    <w:p w14:paraId="5AA366AE" w14:textId="77777777" w:rsidR="00002E2F" w:rsidRPr="00002E2F" w:rsidRDefault="00002E2F" w:rsidP="00002E2F">
      <w:pPr>
        <w:spacing w:after="0" w:line="240" w:lineRule="auto"/>
        <w:jc w:val="both"/>
        <w:rPr>
          <w:rFonts w:ascii="Times New Roman" w:eastAsia="Calibri" w:hAnsi="Times New Roman" w:cs="Times New Roman"/>
          <w:b/>
          <w:color w:val="000000" w:themeColor="text1"/>
          <w:sz w:val="24"/>
          <w:szCs w:val="24"/>
          <w:lang w:eastAsia="en-GB"/>
        </w:rPr>
      </w:pPr>
      <w:r w:rsidRPr="00002E2F">
        <w:rPr>
          <w:rFonts w:ascii="Times New Roman" w:eastAsia="Calibri" w:hAnsi="Times New Roman" w:cs="Times New Roman"/>
          <w:b/>
          <w:color w:val="000000" w:themeColor="text1"/>
          <w:sz w:val="24"/>
          <w:szCs w:val="24"/>
          <w:lang w:eastAsia="en-GB"/>
        </w:rPr>
        <w:t>3.1.3.4. Zavedenie novej pokuty</w:t>
      </w:r>
    </w:p>
    <w:p w14:paraId="49A70504" w14:textId="77777777" w:rsidR="00002E2F" w:rsidRPr="00002E2F" w:rsidRDefault="00002E2F" w:rsidP="00002E2F">
      <w:pPr>
        <w:spacing w:after="0" w:line="240" w:lineRule="auto"/>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 xml:space="preserve">1. V </w:t>
      </w:r>
      <w:r w:rsidRPr="00002E2F">
        <w:rPr>
          <w:rFonts w:ascii="Times New Roman" w:eastAsia="Times New Roman" w:hAnsi="Times New Roman" w:cs="Times New Roman"/>
          <w:b/>
          <w:sz w:val="24"/>
          <w:szCs w:val="24"/>
          <w:lang w:eastAsia="en-GB"/>
        </w:rPr>
        <w:t xml:space="preserve">§ 14 ods. 6 sa zavádza nová pokuta, </w:t>
      </w:r>
      <w:r w:rsidRPr="00002E2F">
        <w:rPr>
          <w:rFonts w:ascii="Times New Roman" w:eastAsia="Times New Roman" w:hAnsi="Times New Roman" w:cs="Times New Roman"/>
          <w:bCs/>
          <w:sz w:val="24"/>
          <w:szCs w:val="24"/>
          <w:lang w:eastAsia="en-GB"/>
        </w:rPr>
        <w:t>ktorú môže úrad uložiť právnickej osobe alebo</w:t>
      </w:r>
      <w:r w:rsidRPr="00002E2F">
        <w:rPr>
          <w:rFonts w:ascii="Times New Roman" w:eastAsia="Times New Roman" w:hAnsi="Times New Roman" w:cs="Times New Roman"/>
          <w:sz w:val="24"/>
          <w:szCs w:val="24"/>
          <w:lang w:eastAsia="en-GB"/>
        </w:rPr>
        <w:t xml:space="preserve"> fyzickej osobe podnikateľovi v maximálnej výške 3 000 EUR. Keďže v roku 2023 nebola uložená žiadna pokuta </w:t>
      </w:r>
      <w:r w:rsidRPr="00002E2F">
        <w:rPr>
          <w:rFonts w:ascii="Times New Roman" w:eastAsia="Times New Roman" w:hAnsi="Times New Roman" w:cs="Times New Roman"/>
          <w:b/>
          <w:sz w:val="24"/>
          <w:szCs w:val="24"/>
          <w:lang w:eastAsia="en-GB"/>
        </w:rPr>
        <w:t>právnickej osobe alebo</w:t>
      </w:r>
      <w:r w:rsidRPr="00002E2F">
        <w:rPr>
          <w:rFonts w:ascii="Times New Roman" w:eastAsia="Times New Roman" w:hAnsi="Times New Roman" w:cs="Times New Roman"/>
          <w:sz w:val="24"/>
          <w:szCs w:val="24"/>
          <w:lang w:eastAsia="en-GB"/>
        </w:rPr>
        <w:t xml:space="preserve"> fyzickej osobe podnikateľovi, nepredpokladá sa výrazný počet nových pokút po účinnosti novely zákona. </w:t>
      </w:r>
    </w:p>
    <w:p w14:paraId="27784232" w14:textId="77777777" w:rsidR="00002E2F" w:rsidRPr="00002E2F" w:rsidRDefault="00002E2F" w:rsidP="00002E2F">
      <w:pPr>
        <w:spacing w:after="0" w:line="240" w:lineRule="auto"/>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 xml:space="preserve">2. V </w:t>
      </w:r>
      <w:r w:rsidRPr="00002E2F">
        <w:rPr>
          <w:rFonts w:ascii="Times New Roman" w:eastAsia="Times New Roman" w:hAnsi="Times New Roman" w:cs="Times New Roman"/>
          <w:b/>
          <w:sz w:val="24"/>
          <w:szCs w:val="24"/>
          <w:lang w:eastAsia="en-GB"/>
        </w:rPr>
        <w:t xml:space="preserve">§ 14 ods. 8 sa zavádza nová pokuta, </w:t>
      </w:r>
      <w:r w:rsidRPr="00002E2F">
        <w:rPr>
          <w:rFonts w:ascii="Times New Roman" w:eastAsia="Times New Roman" w:hAnsi="Times New Roman" w:cs="Times New Roman"/>
          <w:bCs/>
          <w:sz w:val="24"/>
          <w:szCs w:val="24"/>
          <w:lang w:eastAsia="en-GB"/>
        </w:rPr>
        <w:t>ktoré môže Úrad uložiť</w:t>
      </w:r>
      <w:r w:rsidRPr="00002E2F">
        <w:rPr>
          <w:rFonts w:ascii="Times New Roman" w:eastAsia="Times New Roman" w:hAnsi="Times New Roman" w:cs="Times New Roman"/>
          <w:b/>
          <w:sz w:val="24"/>
          <w:szCs w:val="24"/>
          <w:lang w:eastAsia="en-GB"/>
        </w:rPr>
        <w:t xml:space="preserve"> </w:t>
      </w:r>
      <w:r w:rsidRPr="00002E2F">
        <w:rPr>
          <w:rFonts w:ascii="Times New Roman" w:eastAsia="Times New Roman" w:hAnsi="Times New Roman" w:cs="Times New Roman"/>
          <w:sz w:val="24"/>
          <w:szCs w:val="24"/>
          <w:lang w:eastAsia="en-GB"/>
        </w:rPr>
        <w:t>nekvalifikovanému poskytovateľovi dôveryhodných služieb za správny delikt, do 5 000 000 eur, pre právnickú osobu pokutu do 5 000 000 eur alebo do 1 % jeho celosvetového ročného obratu za predchádzajúci účtovný rok, v ktorom k správnemu deliktu došlo, podľa toho, ktorá suma je vyššia. Keďže v roku 2023 nebola uložená žiadna pokuta, nepredpokladá sa výrazný nárast ich počtu po účinnosti novely zákona.</w:t>
      </w:r>
    </w:p>
    <w:p w14:paraId="4B90468A" w14:textId="77777777" w:rsidR="00002E2F" w:rsidRPr="00002E2F" w:rsidRDefault="00002E2F" w:rsidP="00002E2F">
      <w:pPr>
        <w:spacing w:after="0" w:line="240" w:lineRule="auto"/>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 xml:space="preserve">3. V </w:t>
      </w:r>
      <w:r w:rsidRPr="00002E2F">
        <w:rPr>
          <w:rFonts w:ascii="Times New Roman" w:eastAsia="Times New Roman" w:hAnsi="Times New Roman" w:cs="Times New Roman"/>
          <w:b/>
          <w:sz w:val="24"/>
          <w:szCs w:val="24"/>
          <w:lang w:eastAsia="en-GB"/>
        </w:rPr>
        <w:t xml:space="preserve">§ 14 ods. 10 sa zavádza nová pokuta, ktoré môže Úrad uložiť </w:t>
      </w:r>
      <w:r w:rsidRPr="00002E2F">
        <w:rPr>
          <w:rFonts w:ascii="Times New Roman" w:eastAsia="Times New Roman" w:hAnsi="Times New Roman" w:cs="Times New Roman"/>
          <w:sz w:val="24"/>
          <w:szCs w:val="24"/>
          <w:lang w:eastAsia="en-GB"/>
        </w:rPr>
        <w:t>kvalifikovanému poskytovateľovi dôveryhodných služieb za správny delikt, do 5 000 000 eur, pre právnickú osobu pokutu do 5 000 000 eur alebo do 1 % jeho celosvetového ročného obratu za predchádzajúci účtovný rok, v ktorom k správnemu deliktu došlo, podľa toho, ktorá suma je vyššia. Keďže v roku 2023 nebola uložená žiadna pokuta, nepredpokladá sa výrazný nárast ich počtu po účinnosti novely zákona.</w:t>
      </w:r>
    </w:p>
    <w:p w14:paraId="78EEF5D2" w14:textId="77777777" w:rsidR="00002E2F" w:rsidRPr="00002E2F" w:rsidRDefault="00002E2F" w:rsidP="00002E2F">
      <w:pPr>
        <w:spacing w:after="0" w:line="240" w:lineRule="auto"/>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 xml:space="preserve">4. V </w:t>
      </w:r>
      <w:r w:rsidRPr="00002E2F">
        <w:rPr>
          <w:rFonts w:ascii="Times New Roman" w:eastAsia="Times New Roman" w:hAnsi="Times New Roman" w:cs="Times New Roman"/>
          <w:b/>
          <w:sz w:val="24"/>
          <w:szCs w:val="24"/>
          <w:lang w:eastAsia="en-GB"/>
        </w:rPr>
        <w:t>§ 14 ods. 12 sa zavádza nová pokuta, ktorú môže úrad uložiť</w:t>
      </w:r>
      <w:r w:rsidRPr="00002E2F">
        <w:rPr>
          <w:rFonts w:ascii="Times New Roman" w:eastAsia="Times New Roman" w:hAnsi="Times New Roman" w:cs="Times New Roman"/>
          <w:sz w:val="24"/>
          <w:szCs w:val="24"/>
          <w:lang w:eastAsia="en-GB"/>
        </w:rPr>
        <w:t xml:space="preserve"> poskytovateľovi európskej peňaženky digitálnej identity za správny delikt, a to vo výške do 500 000 eur. Keďže v roku 2023 nebola uložená žiadna pokuta, nepredpokladá sa výrazný počet nových pokút po účinnosti novely zákona. </w:t>
      </w:r>
    </w:p>
    <w:p w14:paraId="02596364" w14:textId="77777777" w:rsidR="00002E2F" w:rsidRPr="00002E2F" w:rsidRDefault="00002E2F" w:rsidP="00002E2F">
      <w:pPr>
        <w:spacing w:after="0" w:line="240" w:lineRule="auto"/>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Sumár odhadovaných frekvencií uložených pokút (vstup do ďalšieho výpočtu) a ich výška je uvedená v nasledovnej tabuľke:</w:t>
      </w:r>
    </w:p>
    <w:tbl>
      <w:tblPr>
        <w:tblStyle w:val="Mriekatabuky6"/>
        <w:tblW w:w="0" w:type="auto"/>
        <w:tblLook w:val="04A0" w:firstRow="1" w:lastRow="0" w:firstColumn="1" w:lastColumn="0" w:noHBand="0" w:noVBand="1"/>
      </w:tblPr>
      <w:tblGrid>
        <w:gridCol w:w="3014"/>
        <w:gridCol w:w="3034"/>
        <w:gridCol w:w="3014"/>
      </w:tblGrid>
      <w:tr w:rsidR="00002E2F" w:rsidRPr="00002E2F" w14:paraId="2A1C7B03" w14:textId="77777777" w:rsidTr="00F07C84">
        <w:tc>
          <w:tcPr>
            <w:tcW w:w="3014" w:type="dxa"/>
          </w:tcPr>
          <w:p w14:paraId="3A46AE99" w14:textId="77777777" w:rsidR="00002E2F" w:rsidRPr="00002E2F" w:rsidRDefault="00002E2F" w:rsidP="00002E2F">
            <w:pPr>
              <w:jc w:val="both"/>
              <w:rPr>
                <w:rFonts w:ascii="Times New Roman" w:eastAsia="Times New Roman" w:hAnsi="Times New Roman" w:cs="Times New Roman"/>
                <w:b/>
                <w:bCs/>
                <w:sz w:val="24"/>
                <w:szCs w:val="24"/>
                <w:lang w:eastAsia="en-GB"/>
              </w:rPr>
            </w:pPr>
            <w:r w:rsidRPr="00002E2F">
              <w:rPr>
                <w:rFonts w:ascii="Times New Roman" w:eastAsia="Times New Roman" w:hAnsi="Times New Roman" w:cs="Times New Roman"/>
                <w:b/>
                <w:bCs/>
                <w:sz w:val="24"/>
                <w:szCs w:val="24"/>
                <w:lang w:eastAsia="en-GB"/>
              </w:rPr>
              <w:t>Pokuta podľa</w:t>
            </w:r>
          </w:p>
        </w:tc>
        <w:tc>
          <w:tcPr>
            <w:tcW w:w="3034" w:type="dxa"/>
          </w:tcPr>
          <w:p w14:paraId="44A4F10F" w14:textId="77777777" w:rsidR="00002E2F" w:rsidRPr="00002E2F" w:rsidRDefault="00002E2F" w:rsidP="00002E2F">
            <w:pPr>
              <w:jc w:val="both"/>
              <w:rPr>
                <w:rFonts w:ascii="Times New Roman" w:eastAsia="Times New Roman" w:hAnsi="Times New Roman" w:cs="Times New Roman"/>
                <w:b/>
                <w:bCs/>
                <w:sz w:val="24"/>
                <w:szCs w:val="24"/>
                <w:lang w:eastAsia="en-GB"/>
              </w:rPr>
            </w:pPr>
            <w:r w:rsidRPr="00002E2F">
              <w:rPr>
                <w:rFonts w:ascii="Times New Roman" w:eastAsia="Times New Roman" w:hAnsi="Times New Roman" w:cs="Times New Roman"/>
                <w:b/>
                <w:bCs/>
                <w:sz w:val="24"/>
                <w:szCs w:val="24"/>
                <w:lang w:eastAsia="en-GB"/>
              </w:rPr>
              <w:t>Frekvencia</w:t>
            </w:r>
          </w:p>
        </w:tc>
        <w:tc>
          <w:tcPr>
            <w:tcW w:w="3014" w:type="dxa"/>
          </w:tcPr>
          <w:p w14:paraId="06C0B640" w14:textId="77777777" w:rsidR="00002E2F" w:rsidRPr="00002E2F" w:rsidRDefault="00002E2F" w:rsidP="00002E2F">
            <w:pPr>
              <w:jc w:val="both"/>
              <w:rPr>
                <w:rFonts w:ascii="Times New Roman" w:eastAsia="Times New Roman" w:hAnsi="Times New Roman" w:cs="Times New Roman"/>
                <w:b/>
                <w:bCs/>
                <w:sz w:val="24"/>
                <w:szCs w:val="24"/>
                <w:lang w:eastAsia="en-GB"/>
              </w:rPr>
            </w:pPr>
            <w:r w:rsidRPr="00002E2F">
              <w:rPr>
                <w:rFonts w:ascii="Times New Roman" w:eastAsia="Times New Roman" w:hAnsi="Times New Roman" w:cs="Times New Roman"/>
                <w:b/>
                <w:bCs/>
                <w:sz w:val="24"/>
                <w:szCs w:val="24"/>
                <w:lang w:eastAsia="en-GB"/>
              </w:rPr>
              <w:t>Výška pokuty</w:t>
            </w:r>
          </w:p>
        </w:tc>
      </w:tr>
      <w:tr w:rsidR="00002E2F" w:rsidRPr="00002E2F" w14:paraId="2535EA96" w14:textId="77777777" w:rsidTr="00F07C84">
        <w:tc>
          <w:tcPr>
            <w:tcW w:w="3014" w:type="dxa"/>
          </w:tcPr>
          <w:p w14:paraId="21A7D9B0"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b/>
                <w:sz w:val="24"/>
                <w:szCs w:val="24"/>
                <w:lang w:eastAsia="en-GB"/>
              </w:rPr>
              <w:t>§ 14 ods. 6</w:t>
            </w:r>
          </w:p>
        </w:tc>
        <w:tc>
          <w:tcPr>
            <w:tcW w:w="3034" w:type="dxa"/>
          </w:tcPr>
          <w:p w14:paraId="3F57063C"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10 pokút každých 5 rokov</w:t>
            </w:r>
          </w:p>
        </w:tc>
        <w:tc>
          <w:tcPr>
            <w:tcW w:w="3014" w:type="dxa"/>
          </w:tcPr>
          <w:p w14:paraId="089708B6"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3 000</w:t>
            </w:r>
          </w:p>
        </w:tc>
      </w:tr>
      <w:tr w:rsidR="00002E2F" w:rsidRPr="00002E2F" w14:paraId="097A9813" w14:textId="77777777" w:rsidTr="00F07C84">
        <w:tc>
          <w:tcPr>
            <w:tcW w:w="3014" w:type="dxa"/>
          </w:tcPr>
          <w:p w14:paraId="20754660"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b/>
                <w:sz w:val="24"/>
                <w:szCs w:val="24"/>
                <w:lang w:eastAsia="en-GB"/>
              </w:rPr>
              <w:t>§ 14 ods. 8</w:t>
            </w:r>
          </w:p>
        </w:tc>
        <w:tc>
          <w:tcPr>
            <w:tcW w:w="3034" w:type="dxa"/>
          </w:tcPr>
          <w:p w14:paraId="4E198819"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1 pokuta každých 5 rokov</w:t>
            </w:r>
          </w:p>
        </w:tc>
        <w:tc>
          <w:tcPr>
            <w:tcW w:w="3014" w:type="dxa"/>
          </w:tcPr>
          <w:p w14:paraId="4486FBE7"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100 000</w:t>
            </w:r>
          </w:p>
        </w:tc>
      </w:tr>
      <w:tr w:rsidR="00002E2F" w:rsidRPr="00002E2F" w14:paraId="0CA99CC3" w14:textId="77777777" w:rsidTr="00F07C84">
        <w:tc>
          <w:tcPr>
            <w:tcW w:w="3014" w:type="dxa"/>
          </w:tcPr>
          <w:p w14:paraId="3F28CB7F"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b/>
                <w:sz w:val="24"/>
                <w:szCs w:val="24"/>
                <w:lang w:eastAsia="en-GB"/>
              </w:rPr>
              <w:t>§ 14 ods. 10</w:t>
            </w:r>
          </w:p>
        </w:tc>
        <w:tc>
          <w:tcPr>
            <w:tcW w:w="3034" w:type="dxa"/>
          </w:tcPr>
          <w:p w14:paraId="1B13A2A0"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1 pokuta každých 5 rokov</w:t>
            </w:r>
          </w:p>
        </w:tc>
        <w:tc>
          <w:tcPr>
            <w:tcW w:w="3014" w:type="dxa"/>
          </w:tcPr>
          <w:p w14:paraId="5B52A5A5"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100 000</w:t>
            </w:r>
          </w:p>
        </w:tc>
      </w:tr>
      <w:tr w:rsidR="00002E2F" w:rsidRPr="00002E2F" w14:paraId="3133640F" w14:textId="77777777" w:rsidTr="00F07C84">
        <w:tc>
          <w:tcPr>
            <w:tcW w:w="3014" w:type="dxa"/>
          </w:tcPr>
          <w:p w14:paraId="61EF94F1"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b/>
                <w:sz w:val="24"/>
                <w:szCs w:val="24"/>
                <w:lang w:eastAsia="en-GB"/>
              </w:rPr>
              <w:t>§ 14 ods. 12</w:t>
            </w:r>
          </w:p>
        </w:tc>
        <w:tc>
          <w:tcPr>
            <w:tcW w:w="3034" w:type="dxa"/>
          </w:tcPr>
          <w:p w14:paraId="3F31D2EB"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1 pokuta každých 5 rokov</w:t>
            </w:r>
          </w:p>
        </w:tc>
        <w:tc>
          <w:tcPr>
            <w:tcW w:w="3014" w:type="dxa"/>
          </w:tcPr>
          <w:p w14:paraId="75755464" w14:textId="77777777" w:rsidR="00002E2F" w:rsidRPr="00002E2F" w:rsidRDefault="00002E2F" w:rsidP="00002E2F">
            <w:pPr>
              <w:jc w:val="both"/>
              <w:rPr>
                <w:rFonts w:ascii="Times New Roman" w:eastAsia="Times New Roman" w:hAnsi="Times New Roman" w:cs="Times New Roman"/>
                <w:sz w:val="24"/>
                <w:szCs w:val="24"/>
                <w:lang w:eastAsia="en-GB"/>
              </w:rPr>
            </w:pPr>
            <w:r w:rsidRPr="00002E2F">
              <w:rPr>
                <w:rFonts w:ascii="Times New Roman" w:eastAsia="Times New Roman" w:hAnsi="Times New Roman" w:cs="Times New Roman"/>
                <w:sz w:val="24"/>
                <w:szCs w:val="24"/>
                <w:lang w:eastAsia="en-GB"/>
              </w:rPr>
              <w:t>50 000</w:t>
            </w:r>
          </w:p>
        </w:tc>
      </w:tr>
    </w:tbl>
    <w:p w14:paraId="1B92644D" w14:textId="77777777" w:rsidR="00002E2F" w:rsidRPr="00002E2F" w:rsidRDefault="00002E2F" w:rsidP="00002E2F">
      <w:pPr>
        <w:spacing w:after="0" w:line="240" w:lineRule="auto"/>
        <w:jc w:val="both"/>
        <w:rPr>
          <w:rFonts w:ascii="Times New Roman" w:eastAsia="Times New Roman" w:hAnsi="Times New Roman" w:cs="Times New Roman"/>
          <w:sz w:val="24"/>
          <w:szCs w:val="24"/>
          <w:lang w:eastAsia="en-GB"/>
        </w:rPr>
      </w:pPr>
    </w:p>
    <w:p w14:paraId="5A1E9113" w14:textId="77777777" w:rsidR="00002E2F" w:rsidRPr="00002E2F" w:rsidRDefault="00002E2F" w:rsidP="00002E2F">
      <w:pPr>
        <w:spacing w:after="0" w:line="240" w:lineRule="auto"/>
        <w:jc w:val="both"/>
        <w:rPr>
          <w:rFonts w:ascii="Times New Roman" w:eastAsia="Calibri" w:hAnsi="Times New Roman" w:cs="Times New Roman"/>
          <w:b/>
          <w:bCs/>
          <w:i/>
          <w:sz w:val="24"/>
          <w:szCs w:val="24"/>
          <w:u w:val="single"/>
          <w:lang w:eastAsia="en-GB"/>
        </w:rPr>
      </w:pPr>
      <w:r w:rsidRPr="00002E2F">
        <w:rPr>
          <w:rFonts w:ascii="Times New Roman" w:eastAsia="Calibri" w:hAnsi="Times New Roman" w:cs="Times New Roman"/>
          <w:b/>
          <w:bCs/>
          <w:i/>
          <w:sz w:val="24"/>
          <w:szCs w:val="24"/>
          <w:u w:val="single"/>
          <w:lang w:eastAsia="en-GB"/>
        </w:rPr>
        <w:t>3.1.4 Odôvodnenie goldplatingu podľa bodu 4 časti III jednotnej metodiky a ďalšie doplňujúce informácie</w:t>
      </w:r>
      <w:r w:rsidRPr="00002E2F">
        <w:rPr>
          <w:rFonts w:ascii="Times New Roman" w:eastAsia="Calibri" w:hAnsi="Times New Roman" w:cs="Times New Roman"/>
          <w:b/>
          <w:bCs/>
          <w:i/>
          <w:sz w:val="24"/>
          <w:szCs w:val="24"/>
          <w:u w:val="single"/>
          <w:vertAlign w:val="superscript"/>
          <w:lang w:eastAsia="en-GB"/>
        </w:rPr>
        <w:footnoteReference w:id="6"/>
      </w:r>
      <w:r w:rsidRPr="00002E2F">
        <w:rPr>
          <w:rFonts w:ascii="Times New Roman" w:eastAsia="Calibri" w:hAnsi="Times New Roman" w:cs="Times New Roman"/>
          <w:b/>
          <w:bCs/>
          <w:i/>
          <w:sz w:val="24"/>
          <w:szCs w:val="24"/>
          <w:u w:val="single"/>
          <w:lang w:eastAsia="en-GB"/>
        </w:rPr>
        <w:t xml:space="preserve"> </w:t>
      </w:r>
    </w:p>
    <w:p w14:paraId="61B05B18" w14:textId="77777777" w:rsidR="00002E2F" w:rsidRPr="00002E2F" w:rsidRDefault="00002E2F" w:rsidP="00002E2F">
      <w:pPr>
        <w:spacing w:after="0" w:line="240" w:lineRule="auto"/>
        <w:jc w:val="both"/>
        <w:rPr>
          <w:rFonts w:ascii="Times New Roman" w:eastAsia="Calibri" w:hAnsi="Times New Roman" w:cs="Times New Roman"/>
          <w:bCs/>
          <w:i/>
          <w:iCs/>
          <w:sz w:val="24"/>
          <w:szCs w:val="24"/>
          <w:lang w:eastAsia="en-GB"/>
        </w:rPr>
      </w:pPr>
      <w:r w:rsidRPr="00002E2F">
        <w:rPr>
          <w:rFonts w:ascii="Times New Roman" w:eastAsia="Calibri" w:hAnsi="Times New Roman" w:cs="Times New Roman"/>
          <w:bCs/>
          <w:i/>
          <w:iCs/>
          <w:color w:val="000000"/>
          <w:sz w:val="24"/>
          <w:szCs w:val="24"/>
          <w:lang w:eastAsia="en-GB"/>
        </w:rPr>
        <w:lastRenderedPageBreak/>
        <w:t>Nerelevantné nedochádza ku goldplatingu</w:t>
      </w:r>
    </w:p>
    <w:p w14:paraId="45A395B7" w14:textId="77777777" w:rsidR="00002E2F" w:rsidRPr="00002E2F" w:rsidRDefault="00002E2F" w:rsidP="00002E2F">
      <w:pPr>
        <w:spacing w:after="0" w:line="240" w:lineRule="auto"/>
        <w:jc w:val="both"/>
        <w:rPr>
          <w:rFonts w:ascii="Times New Roman" w:eastAsia="Calibri" w:hAnsi="Times New Roman" w:cs="Times New Roman"/>
          <w:b/>
          <w:sz w:val="24"/>
          <w:szCs w:val="24"/>
          <w:lang w:eastAsia="en-GB"/>
        </w:rPr>
      </w:pPr>
      <w:r w:rsidRPr="00002E2F">
        <w:rPr>
          <w:rFonts w:ascii="Times New Roman" w:eastAsia="Calibri" w:hAnsi="Times New Roman" w:cs="Times New Roman"/>
          <w:b/>
          <w:sz w:val="24"/>
          <w:szCs w:val="24"/>
          <w:lang w:eastAsia="en-GB"/>
        </w:rPr>
        <w:t>3.2 Vyhodnotenie konzultácií s podnikateľskými subjektmi pred predbežným pripomienkovým konaním</w:t>
      </w:r>
    </w:p>
    <w:p w14:paraId="2FB359D5" w14:textId="77777777" w:rsidR="00002E2F" w:rsidRPr="00002E2F" w:rsidRDefault="00002E2F" w:rsidP="00002E2F">
      <w:pPr>
        <w:spacing w:after="0" w:line="240" w:lineRule="auto"/>
        <w:jc w:val="both"/>
        <w:rPr>
          <w:rFonts w:ascii="Times New Roman" w:eastAsia="Calibri" w:hAnsi="Times New Roman" w:cs="Times New Roman"/>
          <w:b/>
          <w:sz w:val="24"/>
          <w:szCs w:val="24"/>
          <w:lang w:eastAsia="sk-SK"/>
        </w:rPr>
      </w:pPr>
      <w:r w:rsidRPr="00002E2F">
        <w:rPr>
          <w:rFonts w:ascii="Times New Roman" w:eastAsia="Times New Roman" w:hAnsi="Times New Roman" w:cs="Times New Roman"/>
          <w:sz w:val="24"/>
          <w:szCs w:val="24"/>
          <w:lang w:eastAsia="sk-SK"/>
        </w:rPr>
        <w:t>Účelom návrhu zákona je implementovať ustanovenia nariadenia Európskeho parlamentu a Rady (EÚ) 2024/1183 z 11. apríla 2024, ktorým sa mení nariadenie (EÚ) č. 910/2014, pokiaľ ide o zriadenie európskeho rámca digitálnej identity (Ú. v. EÚ L 2024/1183, 30.4.2024) [ďalej len „nariadenie (EÚ) č. 910/2014 v platnom znení“], do právneho poriadku Slovenskej republiky a taktiež zabezpečenie nevyhnutnej právnej úpravy vyplývajúcej z aplikačnej praxe. Úpravou existujúcej právnej normy sa zvýši celková úroveň poskytovania dôveryhodných služieb na národnej úrovni, ako aj v rámci európskeho spoločenstva. Konzultácie boli realizované Európskou komisiou pred vypracovaním nariadenia Európskeho parlamentu a Rady (EÚ) 2024/1183 z 11. apríla 2024. Závery konzultácií sú dostupné na:</w:t>
      </w:r>
    </w:p>
    <w:p w14:paraId="0E8A1DBE" w14:textId="77777777" w:rsidR="00002E2F" w:rsidRPr="00002E2F" w:rsidRDefault="00F51CC7" w:rsidP="00002E2F">
      <w:pPr>
        <w:spacing w:after="0" w:line="240" w:lineRule="auto"/>
        <w:jc w:val="both"/>
        <w:rPr>
          <w:rFonts w:ascii="Times New Roman" w:eastAsia="Calibri" w:hAnsi="Times New Roman" w:cs="Times New Roman"/>
          <w:i/>
          <w:sz w:val="24"/>
          <w:szCs w:val="24"/>
          <w:lang w:eastAsia="en-GB"/>
        </w:rPr>
      </w:pPr>
      <w:hyperlink r:id="rId13" w:history="1">
        <w:r w:rsidR="00002E2F" w:rsidRPr="00002E2F">
          <w:rPr>
            <w:rFonts w:ascii="Times New Roman" w:eastAsia="Calibri" w:hAnsi="Times New Roman" w:cs="Times New Roman"/>
            <w:i/>
            <w:color w:val="0000FF"/>
            <w:sz w:val="24"/>
            <w:szCs w:val="24"/>
            <w:u w:val="single"/>
            <w:lang w:eastAsia="en-GB"/>
          </w:rPr>
          <w:t>https://www.slov-lex.sk/vyhladavanie-navrhov-aktov-eu?p_p_id=aktEUSearch_WAR_portletsel&amp;p_p_lifecycle=2&amp;p_p_state=normal&amp;p_p_mode=view&amp;p_p_cacheability=cacheLevelPage&amp;p_p_col_id=column-2&amp;p_p_col_count=1&amp;_aktEUSearch_WAR_portletsel_cooaddr=COO.2145.1000.3.4405070&amp;_aktEUSearch_WAR_portletsel_nazovSuboru=1_EN_impact_assessment_part2_v3.docx&amp;_aktEUSearch_WAR_portletsel_action=getFile</w:t>
        </w:r>
      </w:hyperlink>
      <w:r w:rsidR="00002E2F" w:rsidRPr="00002E2F">
        <w:rPr>
          <w:rFonts w:ascii="Times New Roman" w:eastAsia="Calibri" w:hAnsi="Times New Roman" w:cs="Times New Roman"/>
          <w:i/>
          <w:sz w:val="24"/>
          <w:szCs w:val="24"/>
          <w:lang w:eastAsia="en-GB"/>
        </w:rPr>
        <w:t xml:space="preserve"> </w:t>
      </w:r>
    </w:p>
    <w:p w14:paraId="63A3C1EF" w14:textId="77777777" w:rsidR="00002E2F" w:rsidRPr="00002E2F" w:rsidRDefault="00002E2F" w:rsidP="00002E2F">
      <w:pPr>
        <w:spacing w:after="0" w:line="240" w:lineRule="auto"/>
        <w:jc w:val="both"/>
        <w:rPr>
          <w:rFonts w:ascii="Times New Roman" w:eastAsia="Calibri" w:hAnsi="Times New Roman" w:cs="Times New Roman"/>
          <w:i/>
          <w:sz w:val="24"/>
          <w:szCs w:val="24"/>
          <w:highlight w:val="yellow"/>
          <w:lang w:eastAsia="en-GB"/>
        </w:rPr>
      </w:pPr>
    </w:p>
    <w:p w14:paraId="1C53EBB5" w14:textId="77777777" w:rsidR="00002E2F" w:rsidRPr="00002E2F" w:rsidRDefault="00002E2F" w:rsidP="00002E2F">
      <w:pPr>
        <w:spacing w:after="0" w:line="240" w:lineRule="auto"/>
        <w:jc w:val="both"/>
        <w:rPr>
          <w:rFonts w:ascii="Times New Roman" w:eastAsia="Calibri" w:hAnsi="Times New Roman" w:cs="Times New Roman"/>
          <w:b/>
          <w:sz w:val="24"/>
          <w:szCs w:val="24"/>
          <w:lang w:eastAsia="en-GB"/>
        </w:rPr>
      </w:pPr>
      <w:bookmarkStart w:id="1" w:name="_Hlk47698091"/>
      <w:r w:rsidRPr="00002E2F">
        <w:rPr>
          <w:rFonts w:ascii="Times New Roman" w:eastAsia="Calibri" w:hAnsi="Times New Roman" w:cs="Times New Roman"/>
          <w:b/>
          <w:sz w:val="24"/>
          <w:szCs w:val="24"/>
          <w:lang w:eastAsia="en-GB"/>
        </w:rPr>
        <w:t>3.3 Vplyvy na konkurencieschopnosť a produktivitu</w:t>
      </w:r>
    </w:p>
    <w:bookmarkEnd w:id="1"/>
    <w:p w14:paraId="5A863839" w14:textId="77777777" w:rsidR="00002E2F" w:rsidRPr="00002E2F" w:rsidRDefault="00002E2F" w:rsidP="00002E2F">
      <w:pPr>
        <w:spacing w:after="0" w:line="240" w:lineRule="auto"/>
        <w:jc w:val="both"/>
        <w:rPr>
          <w:rFonts w:ascii="Times New Roman" w:eastAsia="Calibri" w:hAnsi="Times New Roman" w:cs="Times New Roman"/>
          <w:b/>
          <w:bCs/>
          <w:i/>
          <w:sz w:val="24"/>
          <w:szCs w:val="24"/>
          <w:lang w:eastAsia="en-GB"/>
        </w:rPr>
      </w:pPr>
      <w:r w:rsidRPr="00002E2F">
        <w:rPr>
          <w:rFonts w:ascii="Times New Roman" w:eastAsia="Calibri" w:hAnsi="Times New Roman" w:cs="Times New Roman"/>
          <w:b/>
          <w:bCs/>
          <w:i/>
          <w:sz w:val="24"/>
          <w:szCs w:val="24"/>
          <w:lang w:eastAsia="en-GB"/>
        </w:rPr>
        <w:t xml:space="preserve">Dochádza k vytvoreniu resp. k zmene bariér na trhu? </w:t>
      </w:r>
    </w:p>
    <w:p w14:paraId="6A27C8C2"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Nie</w:t>
      </w:r>
    </w:p>
    <w:p w14:paraId="134DA374"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24845EFA" w14:textId="77777777" w:rsidR="00002E2F" w:rsidRPr="00002E2F" w:rsidRDefault="00002E2F" w:rsidP="00002E2F">
      <w:pPr>
        <w:spacing w:after="0" w:line="240" w:lineRule="auto"/>
        <w:jc w:val="both"/>
        <w:rPr>
          <w:rFonts w:ascii="Times New Roman" w:eastAsia="Calibri" w:hAnsi="Times New Roman" w:cs="Times New Roman"/>
          <w:b/>
          <w:bCs/>
          <w:i/>
          <w:sz w:val="24"/>
          <w:szCs w:val="24"/>
          <w:lang w:eastAsia="en-GB"/>
        </w:rPr>
      </w:pPr>
      <w:r w:rsidRPr="00002E2F">
        <w:rPr>
          <w:rFonts w:ascii="Times New Roman" w:eastAsia="Calibri" w:hAnsi="Times New Roman" w:cs="Times New Roman"/>
          <w:b/>
          <w:bCs/>
          <w:i/>
          <w:sz w:val="24"/>
          <w:szCs w:val="24"/>
          <w:lang w:eastAsia="en-GB"/>
        </w:rPr>
        <w:t xml:space="preserve">Bude sa s niektorými podnikmi alebo produktmi zaobchádzať v porovnateľnej situácii rôzne (napr. špeciálne režimy pre mikro, malé a stredné podniky tzv. MSP)? </w:t>
      </w:r>
    </w:p>
    <w:p w14:paraId="053C5B64"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Nie</w:t>
      </w:r>
    </w:p>
    <w:p w14:paraId="778AB223"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1EE0EC5E" w14:textId="77777777" w:rsidR="00002E2F" w:rsidRPr="00002E2F" w:rsidRDefault="00002E2F" w:rsidP="00002E2F">
      <w:pPr>
        <w:spacing w:after="0" w:line="240" w:lineRule="auto"/>
        <w:jc w:val="both"/>
        <w:rPr>
          <w:rFonts w:ascii="Times New Roman" w:eastAsia="Calibri" w:hAnsi="Times New Roman" w:cs="Times New Roman"/>
          <w:b/>
          <w:bCs/>
          <w:i/>
          <w:sz w:val="24"/>
          <w:szCs w:val="24"/>
          <w:lang w:eastAsia="en-GB"/>
        </w:rPr>
      </w:pPr>
      <w:r w:rsidRPr="00002E2F">
        <w:rPr>
          <w:rFonts w:ascii="Times New Roman" w:eastAsia="Calibri" w:hAnsi="Times New Roman" w:cs="Times New Roman"/>
          <w:b/>
          <w:bCs/>
          <w:i/>
          <w:sz w:val="24"/>
          <w:szCs w:val="24"/>
          <w:lang w:eastAsia="en-GB"/>
        </w:rPr>
        <w:t xml:space="preserve">Ovplyvňuje zmena regulácie cezhraničné investície (príliv/odliv zahraničných investícií resp. uplatnenie slovenských podnikov na zahraničných trhoch)? </w:t>
      </w:r>
    </w:p>
    <w:p w14:paraId="35D88B2B"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Nie</w:t>
      </w:r>
    </w:p>
    <w:p w14:paraId="4F5FD33A"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2A373369" w14:textId="77777777" w:rsidR="00002E2F" w:rsidRPr="00002E2F" w:rsidRDefault="00002E2F" w:rsidP="00002E2F">
      <w:pPr>
        <w:spacing w:after="0" w:line="240" w:lineRule="auto"/>
        <w:jc w:val="both"/>
        <w:rPr>
          <w:rFonts w:ascii="Times New Roman" w:eastAsia="Calibri" w:hAnsi="Times New Roman" w:cs="Times New Roman"/>
          <w:b/>
          <w:bCs/>
          <w:i/>
          <w:sz w:val="24"/>
          <w:szCs w:val="24"/>
          <w:lang w:eastAsia="en-GB"/>
        </w:rPr>
      </w:pPr>
      <w:r w:rsidRPr="00002E2F">
        <w:rPr>
          <w:rFonts w:ascii="Times New Roman" w:eastAsia="Calibri" w:hAnsi="Times New Roman" w:cs="Times New Roman"/>
          <w:b/>
          <w:bCs/>
          <w:i/>
          <w:sz w:val="24"/>
          <w:szCs w:val="24"/>
          <w:lang w:eastAsia="en-GB"/>
        </w:rPr>
        <w:t xml:space="preserve">Ovplyvní dostupnosť základných zdrojov (financie, pracovná sila, suroviny, mechanizmy, energie atď.)? </w:t>
      </w:r>
    </w:p>
    <w:p w14:paraId="22BC06BB"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Nie</w:t>
      </w:r>
    </w:p>
    <w:p w14:paraId="225B07A1"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19408135" w14:textId="77777777" w:rsidR="00002E2F" w:rsidRPr="00002E2F" w:rsidRDefault="00002E2F" w:rsidP="00002E2F">
      <w:pPr>
        <w:spacing w:after="0" w:line="240" w:lineRule="auto"/>
        <w:jc w:val="both"/>
        <w:rPr>
          <w:rFonts w:ascii="Times New Roman" w:eastAsia="Calibri" w:hAnsi="Times New Roman" w:cs="Times New Roman"/>
          <w:b/>
          <w:bCs/>
          <w:i/>
          <w:sz w:val="24"/>
          <w:szCs w:val="24"/>
          <w:lang w:eastAsia="en-GB"/>
        </w:rPr>
      </w:pPr>
      <w:r w:rsidRPr="00002E2F">
        <w:rPr>
          <w:rFonts w:ascii="Times New Roman" w:eastAsia="Calibri" w:hAnsi="Times New Roman" w:cs="Times New Roman"/>
          <w:b/>
          <w:bCs/>
          <w:i/>
          <w:sz w:val="24"/>
          <w:szCs w:val="24"/>
          <w:lang w:eastAsia="en-GB"/>
        </w:rPr>
        <w:t>Ovplyvňuje zmena regulácie inovácie, vedu a výskum?</w:t>
      </w:r>
    </w:p>
    <w:p w14:paraId="5AA9A04D"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Nie</w:t>
      </w:r>
    </w:p>
    <w:p w14:paraId="38777FD7"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5B703B16" w14:textId="77777777" w:rsidR="00002E2F" w:rsidRPr="00002E2F" w:rsidRDefault="00002E2F" w:rsidP="00002E2F">
      <w:pPr>
        <w:spacing w:after="0" w:line="240" w:lineRule="auto"/>
        <w:jc w:val="both"/>
        <w:rPr>
          <w:rFonts w:ascii="Times New Roman" w:eastAsia="Calibri" w:hAnsi="Times New Roman" w:cs="Times New Roman"/>
          <w:b/>
          <w:bCs/>
          <w:i/>
          <w:sz w:val="24"/>
          <w:szCs w:val="24"/>
          <w:lang w:eastAsia="en-GB"/>
        </w:rPr>
      </w:pPr>
      <w:r w:rsidRPr="00002E2F">
        <w:rPr>
          <w:rFonts w:ascii="Times New Roman" w:eastAsia="Calibri" w:hAnsi="Times New Roman" w:cs="Times New Roman"/>
          <w:b/>
          <w:bCs/>
          <w:i/>
          <w:sz w:val="24"/>
          <w:szCs w:val="24"/>
          <w:lang w:eastAsia="en-GB"/>
        </w:rPr>
        <w:t xml:space="preserve">Ak bol identifikovaný goldplating, prispieva k zníženiu konkurencieschopnosti a produktivity? </w:t>
      </w:r>
    </w:p>
    <w:p w14:paraId="7B97AEFA"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 xml:space="preserve">Nie </w:t>
      </w:r>
    </w:p>
    <w:p w14:paraId="0520B3EC"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52A30507" w14:textId="77777777" w:rsidR="00002E2F" w:rsidRPr="00002E2F" w:rsidRDefault="00002E2F" w:rsidP="00002E2F">
      <w:pPr>
        <w:spacing w:after="0" w:line="240" w:lineRule="auto"/>
        <w:jc w:val="both"/>
        <w:rPr>
          <w:rFonts w:ascii="Times New Roman" w:eastAsia="Calibri" w:hAnsi="Times New Roman" w:cs="Times New Roman"/>
          <w:b/>
          <w:bCs/>
          <w:i/>
          <w:sz w:val="24"/>
          <w:szCs w:val="24"/>
          <w:lang w:eastAsia="en-GB"/>
        </w:rPr>
      </w:pPr>
      <w:r w:rsidRPr="00002E2F">
        <w:rPr>
          <w:rFonts w:ascii="Times New Roman" w:eastAsia="Calibri" w:hAnsi="Times New Roman" w:cs="Times New Roman"/>
          <w:b/>
          <w:bCs/>
          <w:i/>
          <w:sz w:val="24"/>
          <w:szCs w:val="24"/>
          <w:lang w:eastAsia="en-GB"/>
        </w:rPr>
        <w:t>Akým spôsobom?</w:t>
      </w:r>
    </w:p>
    <w:p w14:paraId="5304C265"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N/A</w:t>
      </w:r>
      <w:bookmarkStart w:id="2" w:name="_GoBack"/>
      <w:bookmarkEnd w:id="2"/>
    </w:p>
    <w:p w14:paraId="78A28942"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b/>
          <w:bCs/>
          <w:i/>
          <w:iCs/>
          <w:sz w:val="24"/>
          <w:szCs w:val="24"/>
          <w:lang w:eastAsia="en-GB"/>
        </w:rPr>
        <w:lastRenderedPageBreak/>
        <w:t>Ako prispieva zmena regulácie k cieľu Slovenska mať najlepšie podnikateľské prostredie spomedzi susediacich krajín EÚ?</w:t>
      </w:r>
      <w:r w:rsidRPr="00002E2F">
        <w:rPr>
          <w:rFonts w:ascii="Times New Roman" w:eastAsia="Calibri" w:hAnsi="Times New Roman" w:cs="Times New Roman"/>
          <w:b/>
          <w:bCs/>
          <w:i/>
          <w:iCs/>
          <w:sz w:val="24"/>
          <w:szCs w:val="24"/>
          <w:lang w:eastAsia="en-GB"/>
        </w:rPr>
        <w:br/>
      </w:r>
      <w:r w:rsidRPr="00002E2F">
        <w:rPr>
          <w:rFonts w:ascii="Times New Roman" w:eastAsia="Calibri" w:hAnsi="Times New Roman" w:cs="Times New Roman"/>
          <w:i/>
          <w:sz w:val="24"/>
          <w:szCs w:val="24"/>
          <w:lang w:eastAsia="en-GB"/>
        </w:rPr>
        <w:t>N/A</w:t>
      </w:r>
    </w:p>
    <w:p w14:paraId="0E78B0C0"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47216E52"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68921EF2" w14:textId="77777777" w:rsidR="00002E2F" w:rsidRPr="00002E2F" w:rsidRDefault="00002E2F" w:rsidP="00002E2F">
      <w:pPr>
        <w:spacing w:after="0" w:line="240" w:lineRule="auto"/>
        <w:jc w:val="both"/>
        <w:rPr>
          <w:rFonts w:ascii="Times New Roman" w:eastAsia="Calibri" w:hAnsi="Times New Roman" w:cs="Times New Roman"/>
          <w:b/>
          <w:i/>
          <w:sz w:val="24"/>
          <w:szCs w:val="24"/>
          <w:lang w:eastAsia="en-GB"/>
        </w:rPr>
      </w:pPr>
      <w:r w:rsidRPr="00002E2F">
        <w:rPr>
          <w:rFonts w:ascii="Times New Roman" w:eastAsia="Calibri" w:hAnsi="Times New Roman" w:cs="Times New Roman"/>
          <w:b/>
          <w:i/>
          <w:sz w:val="24"/>
          <w:szCs w:val="24"/>
          <w:lang w:eastAsia="en-GB"/>
        </w:rPr>
        <w:t>Konkurencieschopnosť:</w:t>
      </w:r>
    </w:p>
    <w:p w14:paraId="48BA1DFA"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Na základe uvedených odpovedí zaškrtnite a popíšte, či materiál konkurencieschopnosť:</w:t>
      </w:r>
    </w:p>
    <w:p w14:paraId="271CE786" w14:textId="77777777" w:rsidR="00002E2F" w:rsidRPr="00002E2F" w:rsidRDefault="00F51CC7" w:rsidP="00002E2F">
      <w:pPr>
        <w:spacing w:after="0" w:line="240" w:lineRule="auto"/>
        <w:jc w:val="both"/>
        <w:rPr>
          <w:rFonts w:ascii="Times New Roman" w:eastAsia="Calibri" w:hAnsi="Times New Roman" w:cs="Times New Roman"/>
          <w:i/>
          <w:sz w:val="24"/>
          <w:szCs w:val="24"/>
          <w:lang w:eastAsia="en-GB"/>
        </w:rPr>
      </w:pPr>
      <w:sdt>
        <w:sdtPr>
          <w:rPr>
            <w:rFonts w:ascii="Times New Roman" w:eastAsia="Calibri" w:hAnsi="Times New Roman" w:cs="Times New Roman"/>
            <w:i/>
            <w:sz w:val="24"/>
            <w:szCs w:val="24"/>
            <w:lang w:eastAsia="en-GB"/>
          </w:rPr>
          <w:id w:val="798576880"/>
        </w:sdtPr>
        <w:sdtContent>
          <w:sdt>
            <w:sdtPr>
              <w:rPr>
                <w:rFonts w:ascii="Times New Roman" w:eastAsia="Calibri" w:hAnsi="Times New Roman" w:cs="Times New Roman"/>
                <w:i/>
                <w:sz w:val="24"/>
                <w:szCs w:val="24"/>
                <w:lang w:eastAsia="en-GB"/>
              </w:rPr>
              <w:id w:val="1729873660"/>
            </w:sdtPr>
            <w:sdtContent>
              <w:r w:rsidR="00002E2F" w:rsidRPr="00002E2F">
                <w:rPr>
                  <w:rFonts w:ascii="Segoe UI Symbol" w:eastAsia="Calibri" w:hAnsi="Segoe UI Symbol" w:cs="Segoe UI Symbol"/>
                  <w:i/>
                  <w:sz w:val="24"/>
                  <w:szCs w:val="24"/>
                  <w:lang w:eastAsia="en-GB"/>
                </w:rPr>
                <w:t>☐</w:t>
              </w:r>
            </w:sdtContent>
          </w:sdt>
        </w:sdtContent>
      </w:sdt>
      <w:r w:rsidR="00002E2F" w:rsidRPr="00002E2F">
        <w:rPr>
          <w:rFonts w:ascii="Times New Roman" w:eastAsia="Calibri" w:hAnsi="Times New Roman" w:cs="Times New Roman"/>
          <w:i/>
          <w:sz w:val="24"/>
          <w:szCs w:val="24"/>
          <w:lang w:eastAsia="en-GB"/>
        </w:rPr>
        <w:t xml:space="preserve"> zvyšuje  </w:t>
      </w:r>
      <w:r w:rsidR="00002E2F" w:rsidRPr="00002E2F">
        <w:rPr>
          <w:rFonts w:ascii="Times New Roman" w:eastAsia="Calibri" w:hAnsi="Times New Roman" w:cs="Times New Roman"/>
          <w:i/>
          <w:sz w:val="24"/>
          <w:szCs w:val="24"/>
          <w:lang w:eastAsia="en-GB"/>
        </w:rPr>
        <w:tab/>
      </w:r>
      <w:sdt>
        <w:sdtPr>
          <w:rPr>
            <w:rFonts w:ascii="Times New Roman" w:eastAsia="Calibri" w:hAnsi="Times New Roman" w:cs="Times New Roman"/>
            <w:i/>
            <w:sz w:val="24"/>
            <w:szCs w:val="24"/>
            <w:lang w:eastAsia="en-GB"/>
          </w:rPr>
          <w:id w:val="410579887"/>
        </w:sdtPr>
        <w:sdtContent>
          <w:sdt>
            <w:sdtPr>
              <w:rPr>
                <w:rFonts w:ascii="Times New Roman" w:eastAsia="Calibri" w:hAnsi="Times New Roman" w:cs="Times New Roman"/>
                <w:i/>
                <w:sz w:val="24"/>
                <w:szCs w:val="24"/>
                <w:lang w:eastAsia="en-GB"/>
              </w:rPr>
              <w:id w:val="-80300261"/>
            </w:sdtPr>
            <w:sdtContent>
              <w:r w:rsidR="00002E2F" w:rsidRPr="00002E2F">
                <w:rPr>
                  <w:rFonts w:ascii="Segoe UI Symbol" w:eastAsia="Calibri" w:hAnsi="Segoe UI Symbol" w:cs="Segoe UI Symbol"/>
                  <w:i/>
                  <w:sz w:val="24"/>
                  <w:szCs w:val="24"/>
                  <w:lang w:eastAsia="en-GB"/>
                </w:rPr>
                <w:t xml:space="preserve">X </w:t>
              </w:r>
            </w:sdtContent>
          </w:sdt>
        </w:sdtContent>
      </w:sdt>
      <w:r w:rsidR="00002E2F" w:rsidRPr="00002E2F">
        <w:rPr>
          <w:rFonts w:ascii="Times New Roman" w:eastAsia="Calibri" w:hAnsi="Times New Roman" w:cs="Times New Roman"/>
          <w:i/>
          <w:sz w:val="24"/>
          <w:szCs w:val="24"/>
          <w:lang w:eastAsia="en-GB"/>
        </w:rPr>
        <w:t xml:space="preserve"> nemení</w:t>
      </w:r>
      <w:r w:rsidR="00002E2F" w:rsidRPr="00002E2F">
        <w:rPr>
          <w:rFonts w:ascii="Times New Roman" w:eastAsia="Calibri" w:hAnsi="Times New Roman" w:cs="Times New Roman"/>
          <w:i/>
          <w:sz w:val="24"/>
          <w:szCs w:val="24"/>
          <w:lang w:eastAsia="en-GB"/>
        </w:rPr>
        <w:tab/>
      </w:r>
      <w:sdt>
        <w:sdtPr>
          <w:rPr>
            <w:rFonts w:ascii="Times New Roman" w:eastAsia="Calibri" w:hAnsi="Times New Roman" w:cs="Times New Roman"/>
            <w:i/>
            <w:sz w:val="24"/>
            <w:szCs w:val="24"/>
            <w:lang w:eastAsia="en-GB"/>
          </w:rPr>
          <w:id w:val="-474604883"/>
        </w:sdtPr>
        <w:sdtContent>
          <w:sdt>
            <w:sdtPr>
              <w:rPr>
                <w:rFonts w:ascii="Times New Roman" w:eastAsia="Calibri" w:hAnsi="Times New Roman" w:cs="Times New Roman"/>
                <w:i/>
                <w:sz w:val="24"/>
                <w:szCs w:val="24"/>
                <w:lang w:eastAsia="en-GB"/>
              </w:rPr>
              <w:id w:val="-1706551548"/>
            </w:sdtPr>
            <w:sdtContent>
              <w:r w:rsidR="00002E2F" w:rsidRPr="00002E2F">
                <w:rPr>
                  <w:rFonts w:ascii="Segoe UI Symbol" w:eastAsia="Calibri" w:hAnsi="Segoe UI Symbol" w:cs="Segoe UI Symbol"/>
                  <w:i/>
                  <w:sz w:val="24"/>
                  <w:szCs w:val="24"/>
                  <w:lang w:eastAsia="en-GB"/>
                </w:rPr>
                <w:t>☐</w:t>
              </w:r>
            </w:sdtContent>
          </w:sdt>
        </w:sdtContent>
      </w:sdt>
      <w:r w:rsidR="00002E2F" w:rsidRPr="00002E2F">
        <w:rPr>
          <w:rFonts w:ascii="Times New Roman" w:eastAsia="Calibri" w:hAnsi="Times New Roman" w:cs="Times New Roman"/>
          <w:i/>
          <w:sz w:val="24"/>
          <w:szCs w:val="24"/>
          <w:lang w:eastAsia="en-GB"/>
        </w:rPr>
        <w:t xml:space="preserve"> znižuje</w:t>
      </w:r>
    </w:p>
    <w:p w14:paraId="1AEAC225"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3B26BD57" w14:textId="77777777" w:rsidR="00002E2F" w:rsidRPr="00002E2F" w:rsidRDefault="00002E2F" w:rsidP="00002E2F">
      <w:pPr>
        <w:spacing w:after="0" w:line="240" w:lineRule="auto"/>
        <w:jc w:val="both"/>
        <w:rPr>
          <w:rFonts w:ascii="Times New Roman" w:eastAsia="Calibri" w:hAnsi="Times New Roman" w:cs="Times New Roman"/>
          <w:b/>
          <w:i/>
          <w:sz w:val="24"/>
          <w:szCs w:val="24"/>
          <w:lang w:eastAsia="en-GB"/>
        </w:rPr>
      </w:pPr>
      <w:r w:rsidRPr="00002E2F">
        <w:rPr>
          <w:rFonts w:ascii="Times New Roman" w:eastAsia="Calibri" w:hAnsi="Times New Roman" w:cs="Times New Roman"/>
          <w:b/>
          <w:i/>
          <w:sz w:val="24"/>
          <w:szCs w:val="24"/>
          <w:lang w:eastAsia="en-GB"/>
        </w:rPr>
        <w:t>Produktivita:</w:t>
      </w:r>
    </w:p>
    <w:p w14:paraId="583A7969"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 xml:space="preserve">Aký má materiál vplyv na zmenu pomeru medzi produkciou podnikov a ich nákladmi? </w:t>
      </w:r>
    </w:p>
    <w:p w14:paraId="5650A3EF"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Bez vplyvu</w:t>
      </w:r>
    </w:p>
    <w:p w14:paraId="6EADEC27"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21497654"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r w:rsidRPr="00002E2F">
        <w:rPr>
          <w:rFonts w:ascii="Times New Roman" w:eastAsia="Calibri" w:hAnsi="Times New Roman" w:cs="Times New Roman"/>
          <w:i/>
          <w:sz w:val="24"/>
          <w:szCs w:val="24"/>
          <w:lang w:eastAsia="en-GB"/>
        </w:rPr>
        <w:t>Na základe uvedenej odpovede zaškrtnite a popíšte, či materiál produktivitu:</w:t>
      </w:r>
    </w:p>
    <w:p w14:paraId="1A4D2632" w14:textId="77777777" w:rsidR="00002E2F" w:rsidRPr="00002E2F" w:rsidRDefault="00F51CC7" w:rsidP="00002E2F">
      <w:pPr>
        <w:spacing w:after="0" w:line="240" w:lineRule="auto"/>
        <w:jc w:val="both"/>
        <w:rPr>
          <w:rFonts w:ascii="Times New Roman" w:eastAsia="Calibri" w:hAnsi="Times New Roman" w:cs="Times New Roman"/>
          <w:i/>
          <w:sz w:val="24"/>
          <w:szCs w:val="24"/>
          <w:lang w:eastAsia="en-GB"/>
        </w:rPr>
      </w:pPr>
      <w:sdt>
        <w:sdtPr>
          <w:rPr>
            <w:rFonts w:ascii="Times New Roman" w:eastAsia="Calibri" w:hAnsi="Times New Roman" w:cs="Times New Roman"/>
            <w:i/>
            <w:sz w:val="24"/>
            <w:szCs w:val="24"/>
            <w:lang w:eastAsia="en-GB"/>
          </w:rPr>
          <w:id w:val="-1545903528"/>
        </w:sdtPr>
        <w:sdtContent>
          <w:sdt>
            <w:sdtPr>
              <w:rPr>
                <w:rFonts w:ascii="Times New Roman" w:eastAsia="Calibri" w:hAnsi="Times New Roman" w:cs="Times New Roman"/>
                <w:i/>
                <w:sz w:val="24"/>
                <w:szCs w:val="24"/>
                <w:lang w:eastAsia="en-GB"/>
              </w:rPr>
              <w:id w:val="825715010"/>
            </w:sdtPr>
            <w:sdtContent>
              <w:r w:rsidR="00002E2F" w:rsidRPr="00002E2F">
                <w:rPr>
                  <w:rFonts w:ascii="Segoe UI Symbol" w:eastAsia="Calibri" w:hAnsi="Segoe UI Symbol" w:cs="Segoe UI Symbol"/>
                  <w:i/>
                  <w:sz w:val="24"/>
                  <w:szCs w:val="24"/>
                  <w:lang w:eastAsia="en-GB"/>
                </w:rPr>
                <w:t>☐</w:t>
              </w:r>
            </w:sdtContent>
          </w:sdt>
        </w:sdtContent>
      </w:sdt>
      <w:r w:rsidR="00002E2F" w:rsidRPr="00002E2F">
        <w:rPr>
          <w:rFonts w:ascii="Times New Roman" w:eastAsia="Calibri" w:hAnsi="Times New Roman" w:cs="Times New Roman"/>
          <w:i/>
          <w:sz w:val="24"/>
          <w:szCs w:val="24"/>
          <w:lang w:eastAsia="en-GB"/>
        </w:rPr>
        <w:t xml:space="preserve"> zvyšuje  </w:t>
      </w:r>
      <w:r w:rsidR="00002E2F" w:rsidRPr="00002E2F">
        <w:rPr>
          <w:rFonts w:ascii="Times New Roman" w:eastAsia="Calibri" w:hAnsi="Times New Roman" w:cs="Times New Roman"/>
          <w:i/>
          <w:sz w:val="24"/>
          <w:szCs w:val="24"/>
          <w:lang w:eastAsia="en-GB"/>
        </w:rPr>
        <w:tab/>
      </w:r>
      <w:sdt>
        <w:sdtPr>
          <w:rPr>
            <w:rFonts w:ascii="Times New Roman" w:eastAsia="Calibri" w:hAnsi="Times New Roman" w:cs="Times New Roman"/>
            <w:i/>
            <w:sz w:val="24"/>
            <w:szCs w:val="24"/>
            <w:lang w:eastAsia="en-GB"/>
          </w:rPr>
          <w:id w:val="-353966921"/>
        </w:sdtPr>
        <w:sdtContent>
          <w:sdt>
            <w:sdtPr>
              <w:rPr>
                <w:rFonts w:ascii="Times New Roman" w:eastAsia="Calibri" w:hAnsi="Times New Roman" w:cs="Times New Roman"/>
                <w:i/>
                <w:sz w:val="24"/>
                <w:szCs w:val="24"/>
                <w:lang w:eastAsia="en-GB"/>
              </w:rPr>
              <w:id w:val="-1222205104"/>
            </w:sdtPr>
            <w:sdtContent>
              <w:r w:rsidR="00002E2F" w:rsidRPr="00002E2F">
                <w:rPr>
                  <w:rFonts w:ascii="Times New Roman" w:eastAsia="Calibri" w:hAnsi="Times New Roman" w:cs="Times New Roman"/>
                  <w:i/>
                  <w:sz w:val="24"/>
                  <w:szCs w:val="24"/>
                  <w:lang w:eastAsia="en-GB"/>
                </w:rPr>
                <w:t>X</w:t>
              </w:r>
            </w:sdtContent>
          </w:sdt>
        </w:sdtContent>
      </w:sdt>
      <w:r w:rsidR="00002E2F" w:rsidRPr="00002E2F">
        <w:rPr>
          <w:rFonts w:ascii="Times New Roman" w:eastAsia="Calibri" w:hAnsi="Times New Roman" w:cs="Times New Roman"/>
          <w:i/>
          <w:sz w:val="24"/>
          <w:szCs w:val="24"/>
          <w:lang w:eastAsia="en-GB"/>
        </w:rPr>
        <w:t xml:space="preserve"> nemení</w:t>
      </w:r>
      <w:r w:rsidR="00002E2F" w:rsidRPr="00002E2F">
        <w:rPr>
          <w:rFonts w:ascii="Times New Roman" w:eastAsia="Calibri" w:hAnsi="Times New Roman" w:cs="Times New Roman"/>
          <w:i/>
          <w:sz w:val="24"/>
          <w:szCs w:val="24"/>
          <w:lang w:eastAsia="en-GB"/>
        </w:rPr>
        <w:tab/>
      </w:r>
      <w:sdt>
        <w:sdtPr>
          <w:rPr>
            <w:rFonts w:ascii="Times New Roman" w:eastAsia="Calibri" w:hAnsi="Times New Roman" w:cs="Times New Roman"/>
            <w:i/>
            <w:sz w:val="24"/>
            <w:szCs w:val="24"/>
            <w:lang w:eastAsia="en-GB"/>
          </w:rPr>
          <w:id w:val="-1457723544"/>
        </w:sdtPr>
        <w:sdtContent>
          <w:sdt>
            <w:sdtPr>
              <w:rPr>
                <w:rFonts w:ascii="Times New Roman" w:eastAsia="Calibri" w:hAnsi="Times New Roman" w:cs="Times New Roman"/>
                <w:i/>
                <w:sz w:val="24"/>
                <w:szCs w:val="24"/>
                <w:lang w:eastAsia="en-GB"/>
              </w:rPr>
              <w:id w:val="-623767955"/>
            </w:sdtPr>
            <w:sdtContent>
              <w:r w:rsidR="00002E2F" w:rsidRPr="00002E2F">
                <w:rPr>
                  <w:rFonts w:ascii="Segoe UI Symbol" w:eastAsia="Calibri" w:hAnsi="Segoe UI Symbol" w:cs="Segoe UI Symbol"/>
                  <w:i/>
                  <w:sz w:val="24"/>
                  <w:szCs w:val="24"/>
                  <w:lang w:eastAsia="en-GB"/>
                </w:rPr>
                <w:t>☐</w:t>
              </w:r>
            </w:sdtContent>
          </w:sdt>
        </w:sdtContent>
      </w:sdt>
      <w:r w:rsidR="00002E2F" w:rsidRPr="00002E2F">
        <w:rPr>
          <w:rFonts w:ascii="Times New Roman" w:eastAsia="Calibri" w:hAnsi="Times New Roman" w:cs="Times New Roman"/>
          <w:i/>
          <w:sz w:val="24"/>
          <w:szCs w:val="24"/>
          <w:lang w:eastAsia="en-GB"/>
        </w:rPr>
        <w:t xml:space="preserve"> znižuje</w:t>
      </w:r>
    </w:p>
    <w:p w14:paraId="1CBF100D" w14:textId="77777777" w:rsidR="00002E2F" w:rsidRPr="00002E2F" w:rsidRDefault="00002E2F" w:rsidP="00002E2F">
      <w:pPr>
        <w:spacing w:after="0" w:line="240" w:lineRule="auto"/>
        <w:jc w:val="both"/>
        <w:rPr>
          <w:rFonts w:ascii="Times New Roman" w:eastAsia="Calibri" w:hAnsi="Times New Roman" w:cs="Times New Roman"/>
          <w:i/>
          <w:sz w:val="24"/>
          <w:szCs w:val="24"/>
          <w:lang w:eastAsia="en-GB"/>
        </w:rPr>
      </w:pPr>
    </w:p>
    <w:p w14:paraId="68D78BED" w14:textId="77777777" w:rsidR="00002E2F" w:rsidRPr="00002E2F" w:rsidRDefault="00002E2F" w:rsidP="00002E2F">
      <w:pPr>
        <w:spacing w:after="0" w:line="240" w:lineRule="auto"/>
        <w:jc w:val="both"/>
        <w:rPr>
          <w:rFonts w:ascii="Times New Roman" w:eastAsia="Calibri" w:hAnsi="Times New Roman" w:cs="Times New Roman"/>
          <w:b/>
          <w:sz w:val="24"/>
          <w:szCs w:val="24"/>
          <w:lang w:eastAsia="en-GB"/>
        </w:rPr>
      </w:pPr>
      <w:r w:rsidRPr="00002E2F">
        <w:rPr>
          <w:rFonts w:ascii="Times New Roman" w:eastAsia="Calibri" w:hAnsi="Times New Roman" w:cs="Times New Roman"/>
          <w:b/>
          <w:sz w:val="24"/>
          <w:szCs w:val="24"/>
          <w:lang w:eastAsia="en-GB"/>
        </w:rPr>
        <w:t xml:space="preserve">3.4  Iné vplyvy na podnikateľské prostredie </w:t>
      </w:r>
    </w:p>
    <w:p w14:paraId="301FEEB2" w14:textId="77777777" w:rsidR="00002E2F" w:rsidRPr="00002E2F" w:rsidRDefault="00002E2F" w:rsidP="00002E2F">
      <w:pPr>
        <w:spacing w:after="0" w:line="240" w:lineRule="auto"/>
        <w:rPr>
          <w:rFonts w:ascii="Times New Roman" w:eastAsia="Times New Roman" w:hAnsi="Times New Roman" w:cs="Times New Roman"/>
          <w:b/>
          <w:sz w:val="28"/>
          <w:szCs w:val="28"/>
          <w:lang w:eastAsia="sk-SK"/>
        </w:rPr>
      </w:pPr>
      <w:r w:rsidRPr="00002E2F">
        <w:rPr>
          <w:rFonts w:ascii="Times New Roman" w:eastAsia="Calibri" w:hAnsi="Times New Roman" w:cs="Times New Roman"/>
          <w:i/>
          <w:sz w:val="24"/>
          <w:szCs w:val="24"/>
          <w:lang w:eastAsia="en-GB"/>
        </w:rPr>
        <w:t>N/A</w:t>
      </w:r>
    </w:p>
    <w:p w14:paraId="0D81F698" w14:textId="137D19E3" w:rsidR="009C3844" w:rsidRDefault="009C3844">
      <w:pPr>
        <w:rPr>
          <w:rFonts w:ascii="Times New Roman" w:eastAsia="Times New Roman" w:hAnsi="Times New Roman" w:cs="Times New Roman"/>
          <w:b/>
          <w:sz w:val="28"/>
          <w:szCs w:val="28"/>
          <w:highlight w:val="yellow"/>
          <w:lang w:eastAsia="sk-SK"/>
        </w:rPr>
      </w:pPr>
      <w:r>
        <w:rPr>
          <w:rFonts w:ascii="Times New Roman" w:eastAsia="Times New Roman" w:hAnsi="Times New Roman" w:cs="Times New Roman"/>
          <w:b/>
          <w:sz w:val="28"/>
          <w:szCs w:val="28"/>
          <w:highlight w:val="yellow"/>
          <w:lang w:eastAsia="sk-SK"/>
        </w:rPr>
        <w:br w:type="page"/>
      </w:r>
    </w:p>
    <w:p w14:paraId="3961F48C" w14:textId="77777777" w:rsidR="00B656B5" w:rsidRPr="007B7470" w:rsidRDefault="00B656B5" w:rsidP="00B656B5">
      <w:pPr>
        <w:tabs>
          <w:tab w:val="num" w:pos="1080"/>
        </w:tabs>
        <w:spacing w:after="0" w:line="240" w:lineRule="auto"/>
        <w:jc w:val="both"/>
        <w:rPr>
          <w:rFonts w:ascii="Times New Roman" w:eastAsia="Times New Roman" w:hAnsi="Times New Roman" w:cs="Times New Roman"/>
          <w:bCs/>
          <w:sz w:val="24"/>
          <w:szCs w:val="20"/>
          <w:lang w:eastAsia="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9F25EE" w:rsidRPr="006B6FA6" w14:paraId="77E95AF7" w14:textId="77777777" w:rsidTr="00CB02CB">
        <w:trPr>
          <w:trHeight w:val="20"/>
        </w:trPr>
        <w:tc>
          <w:tcPr>
            <w:tcW w:w="9371" w:type="dxa"/>
            <w:gridSpan w:val="6"/>
            <w:shd w:val="clear" w:color="auto" w:fill="BFBFBF"/>
            <w:vAlign w:val="center"/>
          </w:tcPr>
          <w:p w14:paraId="05C33062" w14:textId="77777777" w:rsidR="009F25EE" w:rsidRPr="006B6FA6" w:rsidRDefault="009F25EE" w:rsidP="00CB02CB">
            <w:pPr>
              <w:spacing w:after="0" w:line="240" w:lineRule="auto"/>
              <w:jc w:val="center"/>
              <w:rPr>
                <w:rFonts w:ascii="Times New Roman" w:eastAsia="Times New Roman" w:hAnsi="Times New Roman" w:cs="Times New Roman"/>
                <w:b/>
                <w:bCs/>
                <w:sz w:val="28"/>
                <w:szCs w:val="28"/>
                <w:lang w:eastAsia="sk-SK"/>
              </w:rPr>
            </w:pPr>
            <w:r w:rsidRPr="006B6FA6">
              <w:rPr>
                <w:rFonts w:ascii="Times New Roman" w:eastAsia="Times New Roman" w:hAnsi="Times New Roman" w:cs="Times New Roman"/>
                <w:b/>
                <w:bCs/>
                <w:sz w:val="28"/>
                <w:szCs w:val="28"/>
                <w:lang w:eastAsia="sk-SK"/>
              </w:rPr>
              <w:t>Analýza vplyvov na informatizáciu spoločnosti</w:t>
            </w:r>
          </w:p>
          <w:p w14:paraId="2C23E3DD" w14:textId="77777777" w:rsidR="009F25EE" w:rsidRPr="006B6FA6" w:rsidRDefault="009F25EE" w:rsidP="00CB02CB">
            <w:pPr>
              <w:spacing w:after="0" w:line="240" w:lineRule="auto"/>
              <w:jc w:val="center"/>
              <w:rPr>
                <w:rFonts w:ascii="Times New Roman" w:eastAsia="Times New Roman" w:hAnsi="Times New Roman" w:cs="Times New Roman"/>
                <w:b/>
                <w:i/>
                <w:iCs/>
                <w:sz w:val="2"/>
                <w:lang w:eastAsia="sk-SK"/>
              </w:rPr>
            </w:pPr>
          </w:p>
        </w:tc>
      </w:tr>
      <w:tr w:rsidR="009F25EE" w:rsidRPr="006B6FA6" w14:paraId="7C0A287B" w14:textId="77777777" w:rsidTr="00CB02CB">
        <w:trPr>
          <w:trHeight w:val="20"/>
        </w:trPr>
        <w:tc>
          <w:tcPr>
            <w:tcW w:w="9371" w:type="dxa"/>
            <w:gridSpan w:val="6"/>
            <w:shd w:val="clear" w:color="auto" w:fill="BFBFBF"/>
            <w:vAlign w:val="center"/>
          </w:tcPr>
          <w:p w14:paraId="4E53B316" w14:textId="77777777" w:rsidR="009F25EE" w:rsidRPr="006B6FA6" w:rsidRDefault="009F25EE" w:rsidP="00CB02CB">
            <w:pPr>
              <w:spacing w:after="0" w:line="240" w:lineRule="auto"/>
              <w:jc w:val="center"/>
              <w:rPr>
                <w:rFonts w:ascii="Times New Roman" w:eastAsia="Times New Roman" w:hAnsi="Times New Roman" w:cs="Times New Roman"/>
                <w:b/>
                <w:bCs/>
                <w:sz w:val="24"/>
                <w:szCs w:val="24"/>
                <w:lang w:eastAsia="sk-SK"/>
              </w:rPr>
            </w:pPr>
            <w:r w:rsidRPr="006B6FA6">
              <w:rPr>
                <w:rFonts w:ascii="Times New Roman" w:eastAsia="Times New Roman" w:hAnsi="Times New Roman" w:cs="Times New Roman"/>
                <w:b/>
                <w:bCs/>
                <w:sz w:val="24"/>
                <w:szCs w:val="24"/>
                <w:lang w:eastAsia="sk-SK"/>
              </w:rPr>
              <w:t>Budovanie základných pilierov informatizácie</w:t>
            </w:r>
          </w:p>
        </w:tc>
      </w:tr>
      <w:tr w:rsidR="009F25EE" w:rsidRPr="006B6FA6" w14:paraId="308E6857" w14:textId="77777777" w:rsidTr="00CB02CB">
        <w:trPr>
          <w:trHeight w:val="681"/>
        </w:trPr>
        <w:tc>
          <w:tcPr>
            <w:tcW w:w="3956" w:type="dxa"/>
            <w:shd w:val="clear" w:color="auto" w:fill="C0C0C0"/>
            <w:vAlign w:val="center"/>
          </w:tcPr>
          <w:p w14:paraId="2CC0008E" w14:textId="77777777" w:rsidR="009F25EE" w:rsidRPr="006B6FA6" w:rsidRDefault="009F25EE" w:rsidP="00CB02CB">
            <w:pPr>
              <w:spacing w:after="0" w:line="240" w:lineRule="auto"/>
              <w:jc w:val="cente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5CE20374" w14:textId="77777777" w:rsidR="009F25EE" w:rsidRPr="006B6FA6" w:rsidRDefault="009F25EE" w:rsidP="00CB02CB">
            <w:pPr>
              <w:spacing w:after="0" w:line="240" w:lineRule="auto"/>
              <w:jc w:val="cente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A – nová služba</w:t>
            </w:r>
          </w:p>
          <w:p w14:paraId="65AB57FF" w14:textId="77777777" w:rsidR="009F25EE" w:rsidRPr="006B6FA6" w:rsidRDefault="009F25EE" w:rsidP="00CB02CB">
            <w:pPr>
              <w:spacing w:after="0" w:line="240" w:lineRule="auto"/>
              <w:jc w:val="center"/>
              <w:rPr>
                <w:rFonts w:ascii="Times New Roman" w:eastAsia="Times New Roman" w:hAnsi="Times New Roman" w:cs="Times New Roman"/>
                <w:i/>
                <w:iCs/>
                <w:sz w:val="20"/>
                <w:szCs w:val="20"/>
                <w:lang w:eastAsia="sk-SK"/>
              </w:rPr>
            </w:pPr>
            <w:r w:rsidRPr="006B6FA6">
              <w:rPr>
                <w:rFonts w:ascii="Times New Roman" w:eastAsia="Times New Roman" w:hAnsi="Times New Roman" w:cs="Times New Roman"/>
                <w:b/>
                <w:sz w:val="20"/>
                <w:szCs w:val="20"/>
                <w:lang w:eastAsia="sk-SK"/>
              </w:rPr>
              <w:t>B – zmena služby</w:t>
            </w:r>
            <w:r w:rsidRPr="006B6FA6">
              <w:rPr>
                <w:rFonts w:ascii="Times New Roman" w:eastAsia="Times New Roman" w:hAnsi="Times New Roman" w:cs="Times New Roman"/>
                <w:b/>
                <w:sz w:val="20"/>
                <w:szCs w:val="20"/>
                <w:lang w:eastAsia="sk-SK"/>
              </w:rPr>
              <w:br/>
              <w:t xml:space="preserve"> C-zvýšené používanie služby</w:t>
            </w:r>
          </w:p>
        </w:tc>
        <w:tc>
          <w:tcPr>
            <w:tcW w:w="1134" w:type="dxa"/>
            <w:shd w:val="clear" w:color="auto" w:fill="C0C0C0"/>
            <w:vAlign w:val="center"/>
          </w:tcPr>
          <w:p w14:paraId="795BD030" w14:textId="77777777" w:rsidR="009F25EE" w:rsidRPr="006B6FA6" w:rsidRDefault="009F25EE" w:rsidP="00CB02CB">
            <w:pPr>
              <w:spacing w:after="0" w:line="240" w:lineRule="auto"/>
              <w:rPr>
                <w:rFonts w:ascii="Times New Roman" w:eastAsia="Times New Roman" w:hAnsi="Times New Roman" w:cs="Times New Roman"/>
                <w:sz w:val="20"/>
                <w:szCs w:val="20"/>
                <w:lang w:eastAsia="sk-SK"/>
              </w:rPr>
            </w:pPr>
            <w:r w:rsidRPr="006B6FA6">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524EB99F" w14:textId="77777777" w:rsidR="009F25EE" w:rsidRPr="006B6FA6" w:rsidRDefault="009F25EE" w:rsidP="00CB02CB">
            <w:pPr>
              <w:spacing w:after="0" w:line="240" w:lineRule="auto"/>
              <w:rPr>
                <w:rFonts w:ascii="Times New Roman" w:eastAsia="Times New Roman" w:hAnsi="Times New Roman" w:cs="Times New Roman"/>
                <w:i/>
                <w:iCs/>
                <w:sz w:val="20"/>
                <w:szCs w:val="20"/>
                <w:lang w:eastAsia="sk-SK"/>
              </w:rPr>
            </w:pPr>
            <w:r w:rsidRPr="006B6FA6">
              <w:rPr>
                <w:rFonts w:ascii="Times New Roman" w:eastAsia="Times New Roman" w:hAnsi="Times New Roman" w:cs="Times New Roman"/>
                <w:b/>
                <w:sz w:val="20"/>
                <w:szCs w:val="20"/>
                <w:lang w:eastAsia="sk-SK"/>
              </w:rPr>
              <w:t>Názov koncovej služby</w:t>
            </w:r>
          </w:p>
        </w:tc>
        <w:tc>
          <w:tcPr>
            <w:tcW w:w="1559" w:type="dxa"/>
            <w:shd w:val="clear" w:color="auto" w:fill="C0C0C0"/>
          </w:tcPr>
          <w:p w14:paraId="3133F017" w14:textId="77777777" w:rsidR="009F25EE" w:rsidRPr="006B6FA6" w:rsidRDefault="009F25EE" w:rsidP="00CB02CB">
            <w:pPr>
              <w:spacing w:after="0" w:line="240" w:lineRule="auto"/>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Úroveň elektronizácie – pre C odhad počtu podaní</w:t>
            </w:r>
          </w:p>
        </w:tc>
      </w:tr>
      <w:tr w:rsidR="009F25EE" w:rsidRPr="006B6FA6" w14:paraId="2424E033" w14:textId="77777777" w:rsidTr="00CB02CB">
        <w:trPr>
          <w:trHeight w:val="20"/>
        </w:trPr>
        <w:tc>
          <w:tcPr>
            <w:tcW w:w="3956" w:type="dxa"/>
          </w:tcPr>
          <w:p w14:paraId="62459E1B" w14:textId="77777777" w:rsidR="009F25EE" w:rsidRPr="006B6FA6" w:rsidRDefault="009F25EE" w:rsidP="00CB02CB">
            <w:pPr>
              <w:spacing w:after="0" w:line="240" w:lineRule="auto"/>
              <w:rPr>
                <w:rFonts w:ascii="Times New Roman" w:eastAsia="Times New Roman" w:hAnsi="Times New Roman" w:cs="Times New Roman"/>
                <w:sz w:val="20"/>
                <w:lang w:eastAsia="sk-SK"/>
              </w:rPr>
            </w:pPr>
            <w:r w:rsidRPr="006B6FA6">
              <w:rPr>
                <w:rFonts w:ascii="Times New Roman" w:eastAsia="Times New Roman" w:hAnsi="Times New Roman" w:cs="Times New Roman"/>
                <w:b/>
                <w:sz w:val="20"/>
                <w:lang w:eastAsia="sk-SK"/>
              </w:rPr>
              <w:t>6.1.</w:t>
            </w:r>
            <w:r w:rsidRPr="006B6FA6">
              <w:rPr>
                <w:rFonts w:ascii="Times New Roman" w:eastAsia="Times New Roman" w:hAnsi="Times New Roman" w:cs="Times New Roman"/>
                <w:sz w:val="20"/>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14:paraId="23CF5D1C" w14:textId="77777777" w:rsidR="009F25EE" w:rsidRPr="006B6FA6" w:rsidRDefault="009F25EE" w:rsidP="00CB02CB">
            <w:pPr>
              <w:spacing w:after="0" w:line="240" w:lineRule="auto"/>
              <w:jc w:val="center"/>
              <w:rPr>
                <w:rFonts w:ascii="Times New Roman" w:eastAsia="Times New Roman" w:hAnsi="Times New Roman" w:cs="Times New Roman"/>
                <w:b/>
                <w:lang w:eastAsia="sk-SK"/>
              </w:rPr>
            </w:pPr>
            <w:r w:rsidRPr="006B6FA6">
              <w:rPr>
                <w:rFonts w:ascii="Times New Roman" w:eastAsia="Times New Roman" w:hAnsi="Times New Roman" w:cs="Times New Roman"/>
                <w:b/>
                <w:lang w:eastAsia="sk-SK"/>
              </w:rPr>
              <w:t>N/A</w:t>
            </w:r>
          </w:p>
        </w:tc>
        <w:tc>
          <w:tcPr>
            <w:tcW w:w="1134" w:type="dxa"/>
          </w:tcPr>
          <w:p w14:paraId="6533B2D7" w14:textId="77777777" w:rsidR="009F25EE" w:rsidRPr="006B6FA6" w:rsidRDefault="009F25EE" w:rsidP="00CB02CB">
            <w:pPr>
              <w:spacing w:after="0" w:line="240" w:lineRule="auto"/>
              <w:jc w:val="center"/>
              <w:rPr>
                <w:rFonts w:ascii="Times New Roman" w:eastAsia="Times New Roman" w:hAnsi="Times New Roman" w:cs="Times New Roman"/>
                <w:b/>
                <w:lang w:eastAsia="sk-SK"/>
              </w:rPr>
            </w:pPr>
            <w:r w:rsidRPr="006B6FA6">
              <w:rPr>
                <w:rFonts w:ascii="Times New Roman" w:eastAsia="Times New Roman" w:hAnsi="Times New Roman" w:cs="Times New Roman"/>
                <w:b/>
                <w:lang w:eastAsia="sk-SK"/>
              </w:rPr>
              <w:t>N/A</w:t>
            </w:r>
          </w:p>
        </w:tc>
        <w:tc>
          <w:tcPr>
            <w:tcW w:w="1276" w:type="dxa"/>
            <w:gridSpan w:val="2"/>
          </w:tcPr>
          <w:p w14:paraId="0B60E0BD" w14:textId="77777777" w:rsidR="009F25EE" w:rsidRPr="006B6FA6" w:rsidRDefault="009F25EE" w:rsidP="00CB02CB">
            <w:pPr>
              <w:spacing w:after="0" w:line="240" w:lineRule="auto"/>
              <w:jc w:val="both"/>
              <w:rPr>
                <w:rFonts w:ascii="Times New Roman" w:eastAsia="Times New Roman" w:hAnsi="Times New Roman" w:cs="Times New Roman"/>
                <w:b/>
                <w:lang w:eastAsia="sk-SK"/>
              </w:rPr>
            </w:pPr>
            <w:r w:rsidRPr="006B6FA6">
              <w:rPr>
                <w:rFonts w:ascii="Times New Roman" w:eastAsia="Times New Roman" w:hAnsi="Times New Roman" w:cs="Times New Roman"/>
                <w:b/>
                <w:lang w:eastAsia="sk-SK"/>
              </w:rPr>
              <w:t>N/A</w:t>
            </w:r>
          </w:p>
        </w:tc>
        <w:tc>
          <w:tcPr>
            <w:tcW w:w="1559" w:type="dxa"/>
          </w:tcPr>
          <w:p w14:paraId="1E9A6517" w14:textId="77777777" w:rsidR="009F25EE" w:rsidRPr="006B6FA6" w:rsidRDefault="009F25EE" w:rsidP="00CB02CB">
            <w:pPr>
              <w:spacing w:after="0" w:line="240" w:lineRule="auto"/>
              <w:rPr>
                <w:rFonts w:ascii="Times New Roman" w:eastAsia="Times New Roman" w:hAnsi="Times New Roman" w:cs="Times New Roman"/>
                <w:b/>
                <w:i/>
                <w:lang w:eastAsia="sk-SK"/>
              </w:rPr>
            </w:pPr>
            <w:r w:rsidRPr="006B6FA6">
              <w:rPr>
                <w:rFonts w:ascii="Times New Roman" w:eastAsia="Times New Roman" w:hAnsi="Times New Roman" w:cs="Times New Roman"/>
                <w:b/>
                <w:lang w:eastAsia="sk-SK"/>
              </w:rPr>
              <w:t>N/A</w:t>
            </w:r>
          </w:p>
        </w:tc>
      </w:tr>
      <w:tr w:rsidR="009F25EE" w:rsidRPr="006B6FA6" w14:paraId="5D6BD723" w14:textId="77777777" w:rsidTr="00CB02CB">
        <w:trPr>
          <w:trHeight w:val="20"/>
        </w:trPr>
        <w:tc>
          <w:tcPr>
            <w:tcW w:w="3956" w:type="dxa"/>
            <w:shd w:val="clear" w:color="auto" w:fill="C0C0C0"/>
            <w:vAlign w:val="center"/>
          </w:tcPr>
          <w:p w14:paraId="35B9CAE3" w14:textId="77777777" w:rsidR="009F25EE" w:rsidRPr="006B6FA6" w:rsidRDefault="009F25EE" w:rsidP="00CB02CB">
            <w:pPr>
              <w:spacing w:after="0" w:line="240" w:lineRule="auto"/>
              <w:jc w:val="cente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33A92F72" w14:textId="77777777" w:rsidR="009F25EE" w:rsidRPr="006B6FA6" w:rsidRDefault="009F25EE" w:rsidP="00CB02CB">
            <w:pPr>
              <w:spacing w:after="0" w:line="240" w:lineRule="auto"/>
              <w:jc w:val="cente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A – nový systém</w:t>
            </w:r>
          </w:p>
          <w:p w14:paraId="7C8DFF1A" w14:textId="77777777" w:rsidR="009F25EE" w:rsidRPr="006B6FA6" w:rsidRDefault="009F25EE" w:rsidP="00CB02CB">
            <w:pPr>
              <w:spacing w:after="0" w:line="240" w:lineRule="auto"/>
              <w:jc w:val="cente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6E808EB7" w14:textId="77777777" w:rsidR="009F25EE" w:rsidRPr="006B6FA6" w:rsidRDefault="009F25EE" w:rsidP="00CB02CB">
            <w:pPr>
              <w:spacing w:after="0" w:line="240" w:lineRule="auto"/>
              <w:jc w:val="cente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54EFEF80" w14:textId="77777777" w:rsidR="009F25EE" w:rsidRPr="006B6FA6" w:rsidRDefault="009F25EE" w:rsidP="00CB02CB">
            <w:pPr>
              <w:spacing w:after="0" w:line="240" w:lineRule="auto"/>
              <w:jc w:val="cente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13C3E66E" w14:textId="77777777" w:rsidR="009F25EE" w:rsidRPr="006B6FA6" w:rsidRDefault="009F25EE" w:rsidP="00CB02CB">
            <w:pPr>
              <w:spacing w:after="0" w:line="240" w:lineRule="auto"/>
              <w:jc w:val="cente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 xml:space="preserve">Vo vládnom </w:t>
            </w:r>
            <w:proofErr w:type="spellStart"/>
            <w:r w:rsidRPr="006B6FA6">
              <w:rPr>
                <w:rFonts w:ascii="Times New Roman" w:eastAsia="Times New Roman" w:hAnsi="Times New Roman" w:cs="Times New Roman"/>
                <w:b/>
                <w:sz w:val="20"/>
                <w:szCs w:val="20"/>
                <w:lang w:eastAsia="sk-SK"/>
              </w:rPr>
              <w:t>cloude</w:t>
            </w:r>
            <w:proofErr w:type="spellEnd"/>
            <w:r w:rsidRPr="006B6FA6">
              <w:rPr>
                <w:rFonts w:ascii="Times New Roman" w:eastAsia="Times New Roman" w:hAnsi="Times New Roman" w:cs="Times New Roman"/>
                <w:b/>
                <w:sz w:val="20"/>
                <w:szCs w:val="20"/>
                <w:lang w:eastAsia="sk-SK"/>
              </w:rPr>
              <w:t xml:space="preserve"> – áno / nie</w:t>
            </w:r>
          </w:p>
        </w:tc>
      </w:tr>
      <w:tr w:rsidR="009F25EE" w:rsidRPr="006B6FA6" w14:paraId="2C5C461B" w14:textId="77777777" w:rsidTr="00CB02CB">
        <w:trPr>
          <w:trHeight w:val="20"/>
        </w:trPr>
        <w:tc>
          <w:tcPr>
            <w:tcW w:w="3956" w:type="dxa"/>
          </w:tcPr>
          <w:p w14:paraId="0D293701"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r w:rsidRPr="006B6FA6">
              <w:rPr>
                <w:rFonts w:ascii="Times New Roman" w:eastAsia="Times New Roman" w:hAnsi="Times New Roman" w:cs="Times New Roman"/>
                <w:b/>
                <w:sz w:val="20"/>
                <w:szCs w:val="20"/>
                <w:lang w:eastAsia="sk-SK"/>
              </w:rPr>
              <w:t>6.2.</w:t>
            </w:r>
            <w:r w:rsidRPr="006B6FA6">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6B6FA6">
              <w:rPr>
                <w:rFonts w:ascii="Times New Roman" w:eastAsia="Times New Roman" w:hAnsi="Times New Roman" w:cs="Times New Roman"/>
                <w:sz w:val="20"/>
                <w:szCs w:val="20"/>
                <w:lang w:eastAsia="sk-SK"/>
              </w:rPr>
              <w:t>cloude</w:t>
            </w:r>
            <w:proofErr w:type="spellEnd"/>
            <w:r w:rsidRPr="006B6FA6">
              <w:rPr>
                <w:rFonts w:ascii="Times New Roman" w:eastAsia="Times New Roman" w:hAnsi="Times New Roman" w:cs="Times New Roman"/>
                <w:sz w:val="20"/>
                <w:szCs w:val="20"/>
                <w:lang w:eastAsia="sk-SK"/>
              </w:rPr>
              <w:t>?</w:t>
            </w:r>
          </w:p>
        </w:tc>
        <w:tc>
          <w:tcPr>
            <w:tcW w:w="1446" w:type="dxa"/>
          </w:tcPr>
          <w:p w14:paraId="012FDA50"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b/>
                <w:lang w:eastAsia="sk-SK"/>
              </w:rPr>
              <w:t>N/A</w:t>
            </w:r>
          </w:p>
        </w:tc>
        <w:tc>
          <w:tcPr>
            <w:tcW w:w="2410" w:type="dxa"/>
            <w:gridSpan w:val="3"/>
          </w:tcPr>
          <w:p w14:paraId="23D6E457"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b/>
                <w:lang w:eastAsia="sk-SK"/>
              </w:rPr>
              <w:t>N/A</w:t>
            </w:r>
          </w:p>
        </w:tc>
        <w:tc>
          <w:tcPr>
            <w:tcW w:w="1559" w:type="dxa"/>
          </w:tcPr>
          <w:p w14:paraId="060296B5"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b/>
                <w:lang w:eastAsia="sk-SK"/>
              </w:rPr>
              <w:t>N/A</w:t>
            </w:r>
          </w:p>
        </w:tc>
      </w:tr>
      <w:tr w:rsidR="009F25EE" w:rsidRPr="006B6FA6" w14:paraId="19E6E874" w14:textId="77777777" w:rsidTr="00CB02CB">
        <w:trPr>
          <w:trHeight w:val="20"/>
        </w:trPr>
        <w:tc>
          <w:tcPr>
            <w:tcW w:w="3956" w:type="dxa"/>
            <w:shd w:val="clear" w:color="auto" w:fill="BFBFBF"/>
            <w:vAlign w:val="center"/>
          </w:tcPr>
          <w:p w14:paraId="6AFA394F" w14:textId="77777777" w:rsidR="009F25EE" w:rsidRPr="006B6FA6" w:rsidRDefault="009F25EE" w:rsidP="00CB02CB">
            <w:pPr>
              <w:spacing w:after="0" w:line="20" w:lineRule="atLeast"/>
              <w:ind w:hanging="55"/>
              <w:jc w:val="cente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1C757670" w14:textId="77777777" w:rsidR="009F25EE" w:rsidRPr="006B6FA6" w:rsidRDefault="009F25EE" w:rsidP="00CB02CB">
            <w:pPr>
              <w:spacing w:after="0" w:line="240" w:lineRule="auto"/>
              <w:jc w:val="center"/>
              <w:rPr>
                <w:rFonts w:ascii="Times New Roman" w:eastAsia="Times New Roman" w:hAnsi="Times New Roman" w:cs="Times New Roman"/>
                <w:b/>
                <w:i/>
                <w:iCs/>
                <w:sz w:val="20"/>
                <w:szCs w:val="20"/>
                <w:lang w:eastAsia="sk-SK"/>
              </w:rPr>
            </w:pPr>
            <w:r w:rsidRPr="006B6FA6">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614D63C1" w14:textId="77777777" w:rsidR="009F25EE" w:rsidRPr="006B6FA6" w:rsidRDefault="009F25EE" w:rsidP="00CB02CB">
            <w:pPr>
              <w:spacing w:after="0" w:line="240" w:lineRule="auto"/>
              <w:jc w:val="center"/>
              <w:rPr>
                <w:rFonts w:ascii="Times New Roman" w:eastAsia="Times New Roman" w:hAnsi="Times New Roman" w:cs="Times New Roman"/>
                <w:b/>
                <w:i/>
                <w:iCs/>
                <w:sz w:val="20"/>
                <w:szCs w:val="20"/>
                <w:lang w:eastAsia="sk-SK"/>
              </w:rPr>
            </w:pPr>
            <w:r w:rsidRPr="006B6FA6">
              <w:rPr>
                <w:rFonts w:ascii="Times New Roman" w:eastAsia="Times New Roman" w:hAnsi="Times New Roman" w:cs="Times New Roman"/>
                <w:b/>
                <w:sz w:val="20"/>
                <w:szCs w:val="20"/>
                <w:lang w:eastAsia="sk-SK"/>
              </w:rPr>
              <w:t>Nadrezortná úroveň</w:t>
            </w:r>
          </w:p>
          <w:p w14:paraId="70F8BE60" w14:textId="77777777" w:rsidR="009F25EE" w:rsidRPr="006B6FA6" w:rsidRDefault="009F25EE" w:rsidP="00CB02CB">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11AC4BDC" w14:textId="77777777" w:rsidR="009F25EE" w:rsidRPr="006B6FA6" w:rsidRDefault="009F25EE" w:rsidP="00CB02CB">
            <w:pPr>
              <w:spacing w:after="0" w:line="240" w:lineRule="auto"/>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A - z prostriedkov EÚ   B - z ďalších zdrojov financovania</w:t>
            </w:r>
          </w:p>
        </w:tc>
      </w:tr>
      <w:tr w:rsidR="009F25EE" w:rsidRPr="006B6FA6" w14:paraId="60B54830" w14:textId="77777777" w:rsidTr="00CB02CB">
        <w:trPr>
          <w:trHeight w:val="20"/>
        </w:trPr>
        <w:tc>
          <w:tcPr>
            <w:tcW w:w="3956" w:type="dxa"/>
            <w:tcBorders>
              <w:bottom w:val="single" w:sz="4" w:space="0" w:color="auto"/>
            </w:tcBorders>
          </w:tcPr>
          <w:p w14:paraId="4A706017" w14:textId="77777777" w:rsidR="009F25EE" w:rsidRPr="006B6FA6" w:rsidRDefault="009F25EE" w:rsidP="00CB02CB">
            <w:pPr>
              <w:spacing w:after="0" w:line="240" w:lineRule="auto"/>
              <w:jc w:val="both"/>
              <w:rPr>
                <w:rFonts w:ascii="Times New Roman" w:eastAsia="Times New Roman" w:hAnsi="Times New Roman" w:cs="Times New Roman"/>
                <w:sz w:val="20"/>
                <w:lang w:eastAsia="sk-SK"/>
              </w:rPr>
            </w:pPr>
            <w:r w:rsidRPr="006B6FA6">
              <w:rPr>
                <w:rFonts w:ascii="Times New Roman" w:eastAsia="Times New Roman" w:hAnsi="Times New Roman" w:cs="Times New Roman"/>
                <w:b/>
                <w:sz w:val="20"/>
                <w:lang w:eastAsia="sk-SK"/>
              </w:rPr>
              <w:t>6.3.</w:t>
            </w:r>
            <w:r w:rsidRPr="006B6FA6">
              <w:rPr>
                <w:rFonts w:ascii="Times New Roman" w:eastAsia="Times New Roman" w:hAnsi="Times New Roman" w:cs="Times New Roman"/>
                <w:sz w:val="20"/>
                <w:lang w:eastAsia="sk-SK"/>
              </w:rPr>
              <w:t xml:space="preserve"> Vyžaduje si proces informatizácie  finančné investície?</w:t>
            </w:r>
          </w:p>
          <w:p w14:paraId="542323CD" w14:textId="77777777" w:rsidR="009F25EE" w:rsidRPr="006B6FA6" w:rsidRDefault="009F25EE" w:rsidP="00CB02CB">
            <w:pPr>
              <w:spacing w:after="0" w:line="20" w:lineRule="atLeast"/>
              <w:jc w:val="both"/>
              <w:rPr>
                <w:rFonts w:ascii="Times New Roman" w:eastAsia="Times New Roman" w:hAnsi="Times New Roman" w:cs="Times New Roman"/>
                <w:sz w:val="24"/>
                <w:szCs w:val="24"/>
                <w:lang w:eastAsia="sk-SK"/>
              </w:rPr>
            </w:pPr>
            <w:r w:rsidRPr="006B6FA6">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63215A52"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i/>
                <w:iCs/>
                <w:sz w:val="24"/>
                <w:szCs w:val="24"/>
                <w:lang w:eastAsia="sk-SK"/>
              </w:rPr>
              <w:t>nie</w:t>
            </w:r>
          </w:p>
        </w:tc>
        <w:tc>
          <w:tcPr>
            <w:tcW w:w="1984" w:type="dxa"/>
            <w:gridSpan w:val="2"/>
            <w:tcBorders>
              <w:bottom w:val="single" w:sz="4" w:space="0" w:color="auto"/>
            </w:tcBorders>
          </w:tcPr>
          <w:p w14:paraId="1192D661"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i/>
                <w:iCs/>
                <w:sz w:val="24"/>
                <w:szCs w:val="24"/>
                <w:lang w:eastAsia="sk-SK"/>
              </w:rPr>
              <w:t>áno</w:t>
            </w:r>
          </w:p>
        </w:tc>
        <w:tc>
          <w:tcPr>
            <w:tcW w:w="1985" w:type="dxa"/>
            <w:gridSpan w:val="2"/>
            <w:tcBorders>
              <w:bottom w:val="single" w:sz="4" w:space="0" w:color="auto"/>
            </w:tcBorders>
          </w:tcPr>
          <w:p w14:paraId="493711DE"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i/>
                <w:iCs/>
                <w:sz w:val="24"/>
                <w:szCs w:val="24"/>
                <w:lang w:eastAsia="sk-SK"/>
              </w:rPr>
              <w:t>A,B</w:t>
            </w:r>
          </w:p>
        </w:tc>
      </w:tr>
      <w:tr w:rsidR="009F25EE" w:rsidRPr="006B6FA6" w14:paraId="6C10E7D4" w14:textId="77777777" w:rsidTr="00CB02CB">
        <w:trPr>
          <w:trHeight w:val="20"/>
        </w:trPr>
        <w:tc>
          <w:tcPr>
            <w:tcW w:w="9371" w:type="dxa"/>
            <w:gridSpan w:val="6"/>
            <w:shd w:val="pct25" w:color="auto" w:fill="auto"/>
          </w:tcPr>
          <w:p w14:paraId="259F51C6" w14:textId="77777777" w:rsidR="009F25EE" w:rsidRPr="006B6FA6" w:rsidRDefault="009F25EE" w:rsidP="00CB02CB">
            <w:pPr>
              <w:spacing w:after="0" w:line="20" w:lineRule="atLeast"/>
              <w:ind w:hanging="55"/>
              <w:jc w:val="center"/>
              <w:rPr>
                <w:rFonts w:ascii="Times New Roman" w:eastAsia="Times New Roman" w:hAnsi="Times New Roman" w:cs="Times New Roman"/>
                <w:i/>
                <w:iCs/>
                <w:sz w:val="24"/>
                <w:szCs w:val="24"/>
                <w:highlight w:val="darkGray"/>
                <w:lang w:eastAsia="sk-SK"/>
              </w:rPr>
            </w:pPr>
            <w:r w:rsidRPr="006B6FA6">
              <w:rPr>
                <w:rFonts w:ascii="Times New Roman" w:eastAsia="Times New Roman" w:hAnsi="Times New Roman" w:cs="Times New Roman"/>
                <w:b/>
                <w:sz w:val="24"/>
                <w:szCs w:val="24"/>
                <w:lang w:eastAsia="sk-SK"/>
              </w:rPr>
              <w:t>Zjednodušenie prístupu ku konaniu a odstraňovanie byrokracie</w:t>
            </w:r>
          </w:p>
        </w:tc>
      </w:tr>
      <w:tr w:rsidR="009F25EE" w:rsidRPr="006B6FA6" w14:paraId="48313683" w14:textId="77777777" w:rsidTr="00CB02CB">
        <w:trPr>
          <w:trHeight w:val="20"/>
        </w:trPr>
        <w:tc>
          <w:tcPr>
            <w:tcW w:w="9371" w:type="dxa"/>
            <w:gridSpan w:val="6"/>
            <w:shd w:val="pct25" w:color="auto" w:fill="auto"/>
          </w:tcPr>
          <w:p w14:paraId="5F9A941E" w14:textId="77777777" w:rsidR="009F25EE" w:rsidRPr="006B6FA6" w:rsidRDefault="009F25EE" w:rsidP="00CB02CB">
            <w:pPr>
              <w:spacing w:after="0" w:line="20" w:lineRule="atLeast"/>
              <w:ind w:hanging="55"/>
              <w:jc w:val="cente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Elektronické konanie</w:t>
            </w:r>
          </w:p>
        </w:tc>
      </w:tr>
      <w:tr w:rsidR="009F25EE" w:rsidRPr="006B6FA6" w14:paraId="6F49F556" w14:textId="77777777" w:rsidTr="00CB02CB">
        <w:trPr>
          <w:trHeight w:val="20"/>
        </w:trPr>
        <w:tc>
          <w:tcPr>
            <w:tcW w:w="3956" w:type="dxa"/>
          </w:tcPr>
          <w:p w14:paraId="230523D9"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t xml:space="preserve">6.4.1. </w:t>
            </w:r>
            <w:r w:rsidRPr="006B6FA6">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693E36EE" w14:textId="77777777" w:rsidTr="00CB02CB">
              <w:sdt>
                <w:sdtPr>
                  <w:rPr>
                    <w:rFonts w:ascii="Times New Roman" w:eastAsia="Times New Roman" w:hAnsi="Times New Roman" w:cs="Times New Roman"/>
                    <w:sz w:val="20"/>
                    <w:szCs w:val="20"/>
                    <w:lang w:eastAsia="sk-SK"/>
                  </w:rPr>
                  <w:id w:val="-2069328711"/>
                  <w14:checkbox>
                    <w14:checked w14:val="1"/>
                    <w14:checkedState w14:val="2612" w14:font="MS Gothic"/>
                    <w14:uncheckedState w14:val="2610" w14:font="MS Gothic"/>
                  </w14:checkbox>
                </w:sdtPr>
                <w:sdtContent>
                  <w:tc>
                    <w:tcPr>
                      <w:tcW w:w="436" w:type="dxa"/>
                    </w:tcPr>
                    <w:p w14:paraId="173CF0A9"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17E9390C"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6E663974" w14:textId="77777777" w:rsidTr="00CB02CB">
              <w:sdt>
                <w:sdtPr>
                  <w:rPr>
                    <w:rFonts w:ascii="Times New Roman" w:eastAsia="Times New Roman" w:hAnsi="Times New Roman" w:cs="Times New Roman"/>
                    <w:sz w:val="20"/>
                    <w:szCs w:val="20"/>
                    <w:lang w:eastAsia="sk-SK"/>
                  </w:rPr>
                  <w:id w:val="-373315682"/>
                  <w14:checkbox>
                    <w14:checked w14:val="0"/>
                    <w14:checkedState w14:val="2612" w14:font="MS Gothic"/>
                    <w14:uncheckedState w14:val="2610" w14:font="MS Gothic"/>
                  </w14:checkbox>
                </w:sdtPr>
                <w:sdtContent>
                  <w:tc>
                    <w:tcPr>
                      <w:tcW w:w="436" w:type="dxa"/>
                    </w:tcPr>
                    <w:p w14:paraId="12CE43CC"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0E0B9BD7"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62B719BD"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25635894"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i/>
                <w:iCs/>
                <w:sz w:val="20"/>
                <w:lang w:eastAsia="sk-SK"/>
              </w:rPr>
              <w:t>Konanie o splnení požiadaviek poskytovateľa európskej peňaženky digitálnej identity</w:t>
            </w:r>
          </w:p>
        </w:tc>
      </w:tr>
      <w:tr w:rsidR="009F25EE" w:rsidRPr="006B6FA6" w14:paraId="3D918084" w14:textId="77777777" w:rsidTr="00CB02CB">
        <w:trPr>
          <w:trHeight w:val="20"/>
        </w:trPr>
        <w:tc>
          <w:tcPr>
            <w:tcW w:w="3956" w:type="dxa"/>
          </w:tcPr>
          <w:p w14:paraId="0355E0B4"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t xml:space="preserve">6.4.2. </w:t>
            </w:r>
            <w:r w:rsidRPr="006B6FA6">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6CA88194" w14:textId="77777777" w:rsidTr="00CB02CB">
              <w:sdt>
                <w:sdtPr>
                  <w:rPr>
                    <w:rFonts w:ascii="Times New Roman" w:eastAsia="Times New Roman" w:hAnsi="Times New Roman" w:cs="Times New Roman"/>
                    <w:sz w:val="20"/>
                    <w:szCs w:val="20"/>
                    <w:lang w:eastAsia="sk-SK"/>
                  </w:rPr>
                  <w:id w:val="-1428112797"/>
                  <w14:checkbox>
                    <w14:checked w14:val="1"/>
                    <w14:checkedState w14:val="2612" w14:font="MS Gothic"/>
                    <w14:uncheckedState w14:val="2610" w14:font="MS Gothic"/>
                  </w14:checkbox>
                </w:sdtPr>
                <w:sdtContent>
                  <w:tc>
                    <w:tcPr>
                      <w:tcW w:w="436" w:type="dxa"/>
                    </w:tcPr>
                    <w:p w14:paraId="109A01A1"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7F3D45B7"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7CAEFC52" w14:textId="77777777" w:rsidTr="00CB02CB">
              <w:sdt>
                <w:sdtPr>
                  <w:rPr>
                    <w:rFonts w:ascii="Times New Roman" w:eastAsia="Times New Roman" w:hAnsi="Times New Roman" w:cs="Times New Roman"/>
                    <w:sz w:val="20"/>
                    <w:szCs w:val="20"/>
                    <w:lang w:eastAsia="sk-SK"/>
                  </w:rPr>
                  <w:id w:val="-745188606"/>
                  <w14:checkbox>
                    <w14:checked w14:val="0"/>
                    <w14:checkedState w14:val="2612" w14:font="MS Gothic"/>
                    <w14:uncheckedState w14:val="2610" w14:font="MS Gothic"/>
                  </w14:checkbox>
                </w:sdtPr>
                <w:sdtContent>
                  <w:tc>
                    <w:tcPr>
                      <w:tcW w:w="436" w:type="dxa"/>
                    </w:tcPr>
                    <w:p w14:paraId="177FED99"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21CAD08A"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6012CCD9"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4C4992CC"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p>
        </w:tc>
      </w:tr>
      <w:tr w:rsidR="009F25EE" w:rsidRPr="006B6FA6" w14:paraId="0B6AFAC8" w14:textId="77777777" w:rsidTr="00CB02CB">
        <w:trPr>
          <w:trHeight w:val="20"/>
        </w:trPr>
        <w:tc>
          <w:tcPr>
            <w:tcW w:w="3956" w:type="dxa"/>
          </w:tcPr>
          <w:p w14:paraId="11FC0AB8"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t xml:space="preserve">6.4.3. </w:t>
            </w:r>
            <w:r w:rsidRPr="006B6FA6">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1100FE1E" w14:textId="77777777" w:rsidTr="00CB02CB">
              <w:sdt>
                <w:sdtPr>
                  <w:rPr>
                    <w:rFonts w:ascii="Times New Roman" w:eastAsia="Times New Roman" w:hAnsi="Times New Roman" w:cs="Times New Roman"/>
                    <w:sz w:val="20"/>
                    <w:szCs w:val="20"/>
                    <w:lang w:eastAsia="sk-SK"/>
                  </w:rPr>
                  <w:id w:val="-757053185"/>
                  <w14:checkbox>
                    <w14:checked w14:val="1"/>
                    <w14:checkedState w14:val="2612" w14:font="MS Gothic"/>
                    <w14:uncheckedState w14:val="2610" w14:font="MS Gothic"/>
                  </w14:checkbox>
                </w:sdtPr>
                <w:sdtContent>
                  <w:tc>
                    <w:tcPr>
                      <w:tcW w:w="436" w:type="dxa"/>
                    </w:tcPr>
                    <w:p w14:paraId="0D33E241"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1A7B8DF0"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066715A7" w14:textId="77777777" w:rsidTr="00CB02CB">
              <w:sdt>
                <w:sdtPr>
                  <w:rPr>
                    <w:rFonts w:ascii="Times New Roman" w:eastAsia="Times New Roman" w:hAnsi="Times New Roman" w:cs="Times New Roman"/>
                    <w:sz w:val="20"/>
                    <w:szCs w:val="20"/>
                    <w:lang w:eastAsia="sk-SK"/>
                  </w:rPr>
                  <w:id w:val="-1175953756"/>
                  <w14:checkbox>
                    <w14:checked w14:val="0"/>
                    <w14:checkedState w14:val="2612" w14:font="MS Gothic"/>
                    <w14:uncheckedState w14:val="2610" w14:font="MS Gothic"/>
                  </w14:checkbox>
                </w:sdtPr>
                <w:sdtContent>
                  <w:tc>
                    <w:tcPr>
                      <w:tcW w:w="436" w:type="dxa"/>
                    </w:tcPr>
                    <w:p w14:paraId="6E2174C6"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1489D2C2"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3BB64B7C"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5B7AA724"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p>
        </w:tc>
      </w:tr>
      <w:tr w:rsidR="009F25EE" w:rsidRPr="006B6FA6" w14:paraId="44B0C6C9" w14:textId="77777777" w:rsidTr="00CB02CB">
        <w:trPr>
          <w:trHeight w:val="20"/>
        </w:trPr>
        <w:tc>
          <w:tcPr>
            <w:tcW w:w="9371" w:type="dxa"/>
            <w:gridSpan w:val="6"/>
            <w:shd w:val="clear" w:color="auto" w:fill="BFBFBF"/>
          </w:tcPr>
          <w:p w14:paraId="222370F2" w14:textId="77777777" w:rsidR="009F25EE" w:rsidRPr="006B6FA6" w:rsidRDefault="009F25EE" w:rsidP="00CB02CB">
            <w:pPr>
              <w:spacing w:after="0" w:line="20" w:lineRule="atLeast"/>
              <w:ind w:hanging="55"/>
              <w:jc w:val="center"/>
              <w:rPr>
                <w:rFonts w:ascii="Times New Roman" w:eastAsia="Times New Roman" w:hAnsi="Times New Roman" w:cs="Times New Roman"/>
                <w:i/>
                <w:iCs/>
                <w:sz w:val="20"/>
                <w:szCs w:val="20"/>
                <w:lang w:eastAsia="sk-SK"/>
              </w:rPr>
            </w:pPr>
            <w:r w:rsidRPr="006B6FA6">
              <w:rPr>
                <w:rFonts w:ascii="Times New Roman" w:eastAsia="Times New Roman" w:hAnsi="Times New Roman" w:cs="Times New Roman"/>
                <w:b/>
                <w:sz w:val="20"/>
                <w:szCs w:val="20"/>
                <w:lang w:eastAsia="sk-SK"/>
              </w:rPr>
              <w:t>Zásada „jedenkrát a dosť“</w:t>
            </w:r>
          </w:p>
        </w:tc>
      </w:tr>
      <w:tr w:rsidR="009F25EE" w:rsidRPr="006B6FA6" w14:paraId="43D904B9" w14:textId="77777777" w:rsidTr="00CB02CB">
        <w:trPr>
          <w:trHeight w:val="20"/>
        </w:trPr>
        <w:tc>
          <w:tcPr>
            <w:tcW w:w="3956" w:type="dxa"/>
          </w:tcPr>
          <w:p w14:paraId="4CC6E2D0"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t xml:space="preserve">6.5.1. </w:t>
            </w:r>
            <w:r w:rsidRPr="006B6FA6">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1FA6B2F3" w14:textId="77777777" w:rsidTr="00CB02CB">
              <w:sdt>
                <w:sdtPr>
                  <w:rPr>
                    <w:rFonts w:ascii="Times New Roman" w:eastAsia="Times New Roman" w:hAnsi="Times New Roman" w:cs="Times New Roman"/>
                    <w:sz w:val="20"/>
                    <w:szCs w:val="20"/>
                    <w:lang w:eastAsia="sk-SK"/>
                  </w:rPr>
                  <w:id w:val="211542725"/>
                  <w14:checkbox>
                    <w14:checked w14:val="1"/>
                    <w14:checkedState w14:val="2612" w14:font="MS Gothic"/>
                    <w14:uncheckedState w14:val="2610" w14:font="MS Gothic"/>
                  </w14:checkbox>
                </w:sdtPr>
                <w:sdtContent>
                  <w:tc>
                    <w:tcPr>
                      <w:tcW w:w="436" w:type="dxa"/>
                    </w:tcPr>
                    <w:p w14:paraId="04F81E95"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3DB9E583"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10BDCB64" w14:textId="77777777" w:rsidTr="00CB02CB">
              <w:sdt>
                <w:sdtPr>
                  <w:rPr>
                    <w:rFonts w:ascii="Times New Roman" w:eastAsia="Times New Roman" w:hAnsi="Times New Roman" w:cs="Times New Roman"/>
                    <w:sz w:val="20"/>
                    <w:szCs w:val="20"/>
                    <w:lang w:eastAsia="sk-SK"/>
                  </w:rPr>
                  <w:id w:val="77729361"/>
                  <w14:checkbox>
                    <w14:checked w14:val="0"/>
                    <w14:checkedState w14:val="2612" w14:font="MS Gothic"/>
                    <w14:uncheckedState w14:val="2610" w14:font="MS Gothic"/>
                  </w14:checkbox>
                </w:sdtPr>
                <w:sdtContent>
                  <w:tc>
                    <w:tcPr>
                      <w:tcW w:w="436" w:type="dxa"/>
                    </w:tcPr>
                    <w:p w14:paraId="592BDE61"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02FF21BC"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5C30879B"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tcPr>
          <w:p w14:paraId="4CCF32B4" w14:textId="77777777" w:rsidR="009F25EE" w:rsidRPr="006B6FA6" w:rsidRDefault="009F25EE" w:rsidP="00CB02CB">
            <w:pPr>
              <w:spacing w:after="0" w:line="20" w:lineRule="atLeast"/>
              <w:jc w:val="both"/>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i/>
                <w:iCs/>
                <w:sz w:val="20"/>
                <w:lang w:eastAsia="sk-SK"/>
              </w:rPr>
              <w:t>K oznámeniu o zámere poskytovať európsku peňaženku digitálnej identity sa predkladá certifikát súladu európskych peňaženiek digitálnej identity</w:t>
            </w:r>
          </w:p>
        </w:tc>
      </w:tr>
      <w:tr w:rsidR="009F25EE" w:rsidRPr="006B6FA6" w14:paraId="0FA39DA3" w14:textId="77777777" w:rsidTr="00CB02CB">
        <w:trPr>
          <w:trHeight w:val="20"/>
        </w:trPr>
        <w:tc>
          <w:tcPr>
            <w:tcW w:w="3956" w:type="dxa"/>
          </w:tcPr>
          <w:p w14:paraId="7797052B"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t xml:space="preserve">6.5.2. </w:t>
            </w:r>
            <w:r w:rsidRPr="006B6FA6">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3614C9B6" w14:textId="77777777" w:rsidTr="00CB02CB">
              <w:sdt>
                <w:sdtPr>
                  <w:rPr>
                    <w:rFonts w:ascii="Times New Roman" w:eastAsia="Times New Roman" w:hAnsi="Times New Roman" w:cs="Times New Roman"/>
                    <w:sz w:val="20"/>
                    <w:szCs w:val="20"/>
                    <w:lang w:eastAsia="sk-SK"/>
                  </w:rPr>
                  <w:id w:val="-1932498967"/>
                  <w14:checkbox>
                    <w14:checked w14:val="0"/>
                    <w14:checkedState w14:val="2612" w14:font="MS Gothic"/>
                    <w14:uncheckedState w14:val="2610" w14:font="MS Gothic"/>
                  </w14:checkbox>
                </w:sdtPr>
                <w:sdtContent>
                  <w:tc>
                    <w:tcPr>
                      <w:tcW w:w="436" w:type="dxa"/>
                    </w:tcPr>
                    <w:p w14:paraId="77AE4C43"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74B09A1A"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3BB54605" w14:textId="77777777" w:rsidTr="00CB02CB">
              <w:sdt>
                <w:sdtPr>
                  <w:rPr>
                    <w:rFonts w:ascii="Times New Roman" w:eastAsia="Times New Roman" w:hAnsi="Times New Roman" w:cs="Times New Roman"/>
                    <w:sz w:val="20"/>
                    <w:szCs w:val="20"/>
                    <w:lang w:eastAsia="sk-SK"/>
                  </w:rPr>
                  <w:id w:val="-1649356469"/>
                  <w14:checkbox>
                    <w14:checked w14:val="1"/>
                    <w14:checkedState w14:val="2612" w14:font="MS Gothic"/>
                    <w14:uncheckedState w14:val="2610" w14:font="MS Gothic"/>
                  </w14:checkbox>
                </w:sdtPr>
                <w:sdtContent>
                  <w:tc>
                    <w:tcPr>
                      <w:tcW w:w="436" w:type="dxa"/>
                    </w:tcPr>
                    <w:p w14:paraId="568B251B"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331B5C6B"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344BFCCB"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tcPr>
          <w:p w14:paraId="622DBC74"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p>
        </w:tc>
      </w:tr>
      <w:tr w:rsidR="009F25EE" w:rsidRPr="006B6FA6" w14:paraId="6BC8CC8F" w14:textId="77777777" w:rsidTr="00CB02CB">
        <w:trPr>
          <w:trHeight w:val="20"/>
        </w:trPr>
        <w:tc>
          <w:tcPr>
            <w:tcW w:w="3956" w:type="dxa"/>
          </w:tcPr>
          <w:p w14:paraId="12E3347C"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lastRenderedPageBreak/>
              <w:t xml:space="preserve">6.5.3. </w:t>
            </w:r>
            <w:r w:rsidRPr="006B6FA6">
              <w:rPr>
                <w:rFonts w:ascii="Times New Roman" w:eastAsia="Times New Roman" w:hAnsi="Times New Roman" w:cs="Times New Roman"/>
                <w:sz w:val="20"/>
                <w:lang w:eastAsia="sk-SK"/>
              </w:rPr>
              <w:t>Budú údaje poskytované režimom podľa zákona č. 177/2018 Z.</w:t>
            </w:r>
            <w:r>
              <w:rPr>
                <w:rFonts w:ascii="Times New Roman" w:eastAsia="Times New Roman" w:hAnsi="Times New Roman" w:cs="Times New Roman"/>
                <w:sz w:val="20"/>
                <w:lang w:eastAsia="sk-SK"/>
              </w:rPr>
              <w:t xml:space="preserve"> </w:t>
            </w:r>
            <w:r w:rsidRPr="006B6FA6">
              <w:rPr>
                <w:rFonts w:ascii="Times New Roman" w:eastAsia="Times New Roman" w:hAnsi="Times New Roman" w:cs="Times New Roman"/>
                <w:sz w:val="20"/>
                <w:lang w:eastAsia="sk-SK"/>
              </w:rPr>
              <w:t xml:space="preserve">z. v znení neskorších predpisov alebo iným obdobným spôsobom, ktorý zabezpečí, aby si údaje orgán, ktorý konanie vedie, získaval z úradnej moci a nemuseli mu byť predkladané </w:t>
            </w:r>
            <w:r w:rsidRPr="006B6FA6">
              <w:rPr>
                <w:rFonts w:ascii="Times New Roman" w:eastAsia="Times New Roman" w:hAnsi="Times New Roman" w:cs="Times New Roman"/>
                <w:bCs/>
                <w:sz w:val="20"/>
                <w:lang w:eastAsia="sk-SK"/>
              </w:rPr>
              <w:t>subjektom súkromného práva, navrhovateľom, žiadateľom, účastníkom konania (ďalej len „účastník konania“)</w:t>
            </w:r>
            <w:r w:rsidRPr="006B6FA6">
              <w:rPr>
                <w:rFonts w:ascii="Times New Roman" w:eastAsia="Times New Roman" w:hAnsi="Times New Roman" w:cs="Times New Roman"/>
                <w:sz w:val="20"/>
                <w:lang w:eastAsia="sk-SK"/>
              </w:rPr>
              <w:t>?</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30FF7142" w14:textId="77777777" w:rsidTr="00CB02CB">
              <w:sdt>
                <w:sdtPr>
                  <w:rPr>
                    <w:rFonts w:ascii="Times New Roman" w:eastAsia="Times New Roman" w:hAnsi="Times New Roman" w:cs="Times New Roman"/>
                    <w:sz w:val="20"/>
                    <w:szCs w:val="20"/>
                    <w:lang w:eastAsia="sk-SK"/>
                  </w:rPr>
                  <w:id w:val="-2055450395"/>
                  <w14:checkbox>
                    <w14:checked w14:val="1"/>
                    <w14:checkedState w14:val="2612" w14:font="MS Gothic"/>
                    <w14:uncheckedState w14:val="2610" w14:font="MS Gothic"/>
                  </w14:checkbox>
                </w:sdtPr>
                <w:sdtContent>
                  <w:tc>
                    <w:tcPr>
                      <w:tcW w:w="436" w:type="dxa"/>
                    </w:tcPr>
                    <w:p w14:paraId="31612A5A"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77A28619"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068300C7" w14:textId="77777777" w:rsidTr="00CB02CB">
              <w:sdt>
                <w:sdtPr>
                  <w:rPr>
                    <w:rFonts w:ascii="Times New Roman" w:eastAsia="Times New Roman" w:hAnsi="Times New Roman" w:cs="Times New Roman"/>
                    <w:sz w:val="20"/>
                    <w:szCs w:val="20"/>
                    <w:lang w:eastAsia="sk-SK"/>
                  </w:rPr>
                  <w:id w:val="-1232083289"/>
                  <w14:checkbox>
                    <w14:checked w14:val="0"/>
                    <w14:checkedState w14:val="2612" w14:font="MS Gothic"/>
                    <w14:uncheckedState w14:val="2610" w14:font="MS Gothic"/>
                  </w14:checkbox>
                </w:sdtPr>
                <w:sdtContent>
                  <w:tc>
                    <w:tcPr>
                      <w:tcW w:w="436" w:type="dxa"/>
                    </w:tcPr>
                    <w:p w14:paraId="52A8B456"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2D1B2C66"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6AC17CDA"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tcPr>
          <w:p w14:paraId="1BDF97A1"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p>
        </w:tc>
      </w:tr>
      <w:tr w:rsidR="009F25EE" w:rsidRPr="006B6FA6" w14:paraId="1846BE5F" w14:textId="77777777" w:rsidTr="00CB02CB">
        <w:trPr>
          <w:trHeight w:val="20"/>
        </w:trPr>
        <w:tc>
          <w:tcPr>
            <w:tcW w:w="3956" w:type="dxa"/>
            <w:tcBorders>
              <w:bottom w:val="single" w:sz="4" w:space="0" w:color="auto"/>
            </w:tcBorders>
          </w:tcPr>
          <w:p w14:paraId="115C7852"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t xml:space="preserve">6.5.4. </w:t>
            </w:r>
            <w:r w:rsidRPr="006B6FA6">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08633FFF" w14:textId="77777777" w:rsidTr="00CB02CB">
              <w:sdt>
                <w:sdtPr>
                  <w:rPr>
                    <w:rFonts w:ascii="Times New Roman" w:eastAsia="Times New Roman" w:hAnsi="Times New Roman" w:cs="Times New Roman"/>
                    <w:sz w:val="20"/>
                    <w:szCs w:val="20"/>
                    <w:lang w:eastAsia="sk-SK"/>
                  </w:rPr>
                  <w:id w:val="-112829779"/>
                  <w14:checkbox>
                    <w14:checked w14:val="0"/>
                    <w14:checkedState w14:val="2612" w14:font="MS Gothic"/>
                    <w14:uncheckedState w14:val="2610" w14:font="MS Gothic"/>
                  </w14:checkbox>
                </w:sdtPr>
                <w:sdtContent>
                  <w:tc>
                    <w:tcPr>
                      <w:tcW w:w="436" w:type="dxa"/>
                    </w:tcPr>
                    <w:p w14:paraId="2380AAB2"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1A213E64"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437AD433" w14:textId="77777777" w:rsidTr="00CB02CB">
              <w:sdt>
                <w:sdtPr>
                  <w:rPr>
                    <w:rFonts w:ascii="Times New Roman" w:eastAsia="Times New Roman" w:hAnsi="Times New Roman" w:cs="Times New Roman"/>
                    <w:sz w:val="20"/>
                    <w:szCs w:val="20"/>
                    <w:lang w:eastAsia="sk-SK"/>
                  </w:rPr>
                  <w:id w:val="-81371134"/>
                  <w14:checkbox>
                    <w14:checked w14:val="0"/>
                    <w14:checkedState w14:val="2612" w14:font="MS Gothic"/>
                    <w14:uncheckedState w14:val="2610" w14:font="MS Gothic"/>
                  </w14:checkbox>
                </w:sdtPr>
                <w:sdtContent>
                  <w:tc>
                    <w:tcPr>
                      <w:tcW w:w="436" w:type="dxa"/>
                    </w:tcPr>
                    <w:p w14:paraId="629ADFEB"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6A8D22BE"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5A2B880F"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14:paraId="530F97FE"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i/>
                <w:iCs/>
                <w:sz w:val="20"/>
                <w:lang w:eastAsia="sk-SK"/>
              </w:rPr>
              <w:t>N/A</w:t>
            </w:r>
          </w:p>
        </w:tc>
      </w:tr>
      <w:tr w:rsidR="009F25EE" w:rsidRPr="006B6FA6" w14:paraId="01CD7F7D" w14:textId="77777777" w:rsidTr="00CB02CB">
        <w:trPr>
          <w:trHeight w:val="20"/>
        </w:trPr>
        <w:tc>
          <w:tcPr>
            <w:tcW w:w="9371" w:type="dxa"/>
            <w:gridSpan w:val="6"/>
            <w:shd w:val="pct25" w:color="auto" w:fill="auto"/>
          </w:tcPr>
          <w:p w14:paraId="6D0206D8" w14:textId="77777777" w:rsidR="009F25EE" w:rsidRPr="006B6FA6" w:rsidRDefault="009F25EE" w:rsidP="00CB02CB">
            <w:pPr>
              <w:spacing w:after="0" w:line="20" w:lineRule="atLeast"/>
              <w:ind w:hanging="55"/>
              <w:jc w:val="center"/>
              <w:rPr>
                <w:rFonts w:ascii="Times New Roman" w:eastAsia="Times New Roman" w:hAnsi="Times New Roman" w:cs="Times New Roman"/>
                <w:i/>
                <w:iCs/>
                <w:sz w:val="20"/>
                <w:szCs w:val="20"/>
                <w:lang w:eastAsia="sk-SK"/>
              </w:rPr>
            </w:pPr>
            <w:r w:rsidRPr="006B6FA6">
              <w:rPr>
                <w:rFonts w:ascii="Times New Roman" w:eastAsia="Times New Roman" w:hAnsi="Times New Roman" w:cs="Times New Roman"/>
                <w:b/>
                <w:sz w:val="20"/>
                <w:szCs w:val="20"/>
                <w:lang w:eastAsia="sk-SK"/>
              </w:rPr>
              <w:t>Výmena údajov medzi orgánmi verejnej moci</w:t>
            </w:r>
          </w:p>
        </w:tc>
      </w:tr>
      <w:tr w:rsidR="009F25EE" w:rsidRPr="006B6FA6" w14:paraId="31734791" w14:textId="77777777" w:rsidTr="00CB02CB">
        <w:trPr>
          <w:trHeight w:val="20"/>
        </w:trPr>
        <w:tc>
          <w:tcPr>
            <w:tcW w:w="3956" w:type="dxa"/>
          </w:tcPr>
          <w:p w14:paraId="43A08AFE"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t xml:space="preserve">6.6.1. </w:t>
            </w:r>
            <w:r w:rsidRPr="006B6FA6">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506812AD" w14:textId="77777777" w:rsidTr="00CB02CB">
              <w:sdt>
                <w:sdtPr>
                  <w:rPr>
                    <w:rFonts w:ascii="Times New Roman" w:eastAsia="Times New Roman" w:hAnsi="Times New Roman" w:cs="Times New Roman"/>
                    <w:sz w:val="20"/>
                    <w:szCs w:val="20"/>
                    <w:lang w:eastAsia="sk-SK"/>
                  </w:rPr>
                  <w:id w:val="1933927896"/>
                  <w14:checkbox>
                    <w14:checked w14:val="1"/>
                    <w14:checkedState w14:val="2612" w14:font="MS Gothic"/>
                    <w14:uncheckedState w14:val="2610" w14:font="MS Gothic"/>
                  </w14:checkbox>
                </w:sdtPr>
                <w:sdtContent>
                  <w:tc>
                    <w:tcPr>
                      <w:tcW w:w="436" w:type="dxa"/>
                    </w:tcPr>
                    <w:p w14:paraId="01010F0B"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20AAB82B"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429CFDC4" w14:textId="77777777" w:rsidTr="00CB02CB">
              <w:sdt>
                <w:sdtPr>
                  <w:rPr>
                    <w:rFonts w:ascii="Times New Roman" w:eastAsia="Times New Roman" w:hAnsi="Times New Roman" w:cs="Times New Roman"/>
                    <w:sz w:val="20"/>
                    <w:szCs w:val="20"/>
                    <w:lang w:eastAsia="sk-SK"/>
                  </w:rPr>
                  <w:id w:val="1628052826"/>
                  <w14:checkbox>
                    <w14:checked w14:val="0"/>
                    <w14:checkedState w14:val="2612" w14:font="MS Gothic"/>
                    <w14:uncheckedState w14:val="2610" w14:font="MS Gothic"/>
                  </w14:checkbox>
                </w:sdtPr>
                <w:sdtContent>
                  <w:tc>
                    <w:tcPr>
                      <w:tcW w:w="436" w:type="dxa"/>
                    </w:tcPr>
                    <w:p w14:paraId="43A16002"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20ED1721"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1BC02B90"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tcPr>
          <w:p w14:paraId="3653E13F" w14:textId="77777777" w:rsidR="009F25EE" w:rsidRPr="006B6FA6" w:rsidRDefault="009F25EE" w:rsidP="00CB02CB">
            <w:pPr>
              <w:spacing w:after="0" w:line="240" w:lineRule="auto"/>
              <w:rPr>
                <w:rFonts w:ascii="Times New Roman" w:eastAsia="Times New Roman" w:hAnsi="Times New Roman" w:cs="Times New Roman"/>
                <w:i/>
                <w:iCs/>
                <w:sz w:val="20"/>
                <w:lang w:eastAsia="sk-SK"/>
              </w:rPr>
            </w:pPr>
            <w:r w:rsidRPr="006B6FA6">
              <w:rPr>
                <w:rFonts w:ascii="Times New Roman" w:eastAsia="Times New Roman" w:hAnsi="Times New Roman" w:cs="Times New Roman"/>
                <w:i/>
                <w:iCs/>
                <w:sz w:val="20"/>
                <w:lang w:eastAsia="sk-SK"/>
              </w:rPr>
              <w:t>Zoznam poskytovateľov európskej peňaženky digitálnej identity</w:t>
            </w:r>
          </w:p>
          <w:p w14:paraId="4AF4EEA0"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i/>
                <w:iCs/>
                <w:sz w:val="20"/>
                <w:lang w:eastAsia="sk-SK"/>
              </w:rPr>
              <w:t>Zoznam spoliehajúcich sa strán využívajúcich európske peňaženky digitálnej identity</w:t>
            </w:r>
          </w:p>
        </w:tc>
      </w:tr>
      <w:tr w:rsidR="009F25EE" w:rsidRPr="006B6FA6" w14:paraId="259F08E2" w14:textId="77777777" w:rsidTr="00CB02CB">
        <w:trPr>
          <w:trHeight w:val="20"/>
        </w:trPr>
        <w:tc>
          <w:tcPr>
            <w:tcW w:w="3956" w:type="dxa"/>
          </w:tcPr>
          <w:p w14:paraId="2E8D5E8B"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t xml:space="preserve">6.6.2. </w:t>
            </w:r>
            <w:r w:rsidRPr="006B6FA6">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707B268A" w14:textId="77777777" w:rsidTr="00CB02CB">
              <w:sdt>
                <w:sdtPr>
                  <w:rPr>
                    <w:rFonts w:ascii="Times New Roman" w:eastAsia="Times New Roman" w:hAnsi="Times New Roman" w:cs="Times New Roman"/>
                    <w:sz w:val="20"/>
                    <w:szCs w:val="20"/>
                    <w:lang w:eastAsia="sk-SK"/>
                  </w:rPr>
                  <w:id w:val="1395317457"/>
                  <w14:checkbox>
                    <w14:checked w14:val="1"/>
                    <w14:checkedState w14:val="2612" w14:font="MS Gothic"/>
                    <w14:uncheckedState w14:val="2610" w14:font="MS Gothic"/>
                  </w14:checkbox>
                </w:sdtPr>
                <w:sdtContent>
                  <w:tc>
                    <w:tcPr>
                      <w:tcW w:w="436" w:type="dxa"/>
                    </w:tcPr>
                    <w:p w14:paraId="0070BE4F"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00419EF1"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40FA6AF1" w14:textId="77777777" w:rsidTr="00CB02CB">
              <w:sdt>
                <w:sdtPr>
                  <w:rPr>
                    <w:rFonts w:ascii="Times New Roman" w:eastAsia="Times New Roman" w:hAnsi="Times New Roman" w:cs="Times New Roman"/>
                    <w:sz w:val="20"/>
                    <w:szCs w:val="20"/>
                    <w:lang w:eastAsia="sk-SK"/>
                  </w:rPr>
                  <w:id w:val="-497195659"/>
                  <w14:checkbox>
                    <w14:checked w14:val="0"/>
                    <w14:checkedState w14:val="2612" w14:font="MS Gothic"/>
                    <w14:uncheckedState w14:val="2610" w14:font="MS Gothic"/>
                  </w14:checkbox>
                </w:sdtPr>
                <w:sdtContent>
                  <w:tc>
                    <w:tcPr>
                      <w:tcW w:w="436" w:type="dxa"/>
                    </w:tcPr>
                    <w:p w14:paraId="3F82812B"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0CA21488"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61E5689B"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tcPr>
          <w:p w14:paraId="38EADFF8"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p>
        </w:tc>
      </w:tr>
      <w:tr w:rsidR="009F25EE" w:rsidRPr="006B6FA6" w14:paraId="30910A06" w14:textId="77777777" w:rsidTr="00CB02CB">
        <w:trPr>
          <w:trHeight w:val="20"/>
        </w:trPr>
        <w:tc>
          <w:tcPr>
            <w:tcW w:w="3956" w:type="dxa"/>
          </w:tcPr>
          <w:p w14:paraId="61248D22"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t xml:space="preserve">6.6.3. </w:t>
            </w:r>
            <w:r w:rsidRPr="006B6FA6">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3CA9006A" w14:textId="77777777" w:rsidTr="00CB02CB">
              <w:sdt>
                <w:sdtPr>
                  <w:rPr>
                    <w:rFonts w:ascii="Times New Roman" w:eastAsia="Times New Roman" w:hAnsi="Times New Roman" w:cs="Times New Roman"/>
                    <w:sz w:val="20"/>
                    <w:szCs w:val="20"/>
                    <w:lang w:eastAsia="sk-SK"/>
                  </w:rPr>
                  <w:id w:val="2135211893"/>
                  <w14:checkbox>
                    <w14:checked w14:val="1"/>
                    <w14:checkedState w14:val="2612" w14:font="MS Gothic"/>
                    <w14:uncheckedState w14:val="2610" w14:font="MS Gothic"/>
                  </w14:checkbox>
                </w:sdtPr>
                <w:sdtContent>
                  <w:tc>
                    <w:tcPr>
                      <w:tcW w:w="436" w:type="dxa"/>
                    </w:tcPr>
                    <w:p w14:paraId="524732AF"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10703B8B"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61371003" w14:textId="77777777" w:rsidTr="00CB02CB">
              <w:sdt>
                <w:sdtPr>
                  <w:rPr>
                    <w:rFonts w:ascii="Times New Roman" w:eastAsia="Times New Roman" w:hAnsi="Times New Roman" w:cs="Times New Roman"/>
                    <w:sz w:val="20"/>
                    <w:szCs w:val="20"/>
                    <w:lang w:eastAsia="sk-SK"/>
                  </w:rPr>
                  <w:id w:val="1076478841"/>
                  <w14:checkbox>
                    <w14:checked w14:val="0"/>
                    <w14:checkedState w14:val="2612" w14:font="MS Gothic"/>
                    <w14:uncheckedState w14:val="2610" w14:font="MS Gothic"/>
                  </w14:checkbox>
                </w:sdtPr>
                <w:sdtContent>
                  <w:tc>
                    <w:tcPr>
                      <w:tcW w:w="436" w:type="dxa"/>
                    </w:tcPr>
                    <w:p w14:paraId="3A81AFD6"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1C43699B"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186E1F7B"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tcPr>
          <w:p w14:paraId="53BA63BC"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i/>
                <w:iCs/>
                <w:sz w:val="20"/>
                <w:lang w:eastAsia="sk-SK"/>
              </w:rPr>
              <w:t>Viď §10</w:t>
            </w:r>
          </w:p>
        </w:tc>
      </w:tr>
      <w:tr w:rsidR="009F25EE" w:rsidRPr="006B6FA6" w14:paraId="10AB2467" w14:textId="77777777" w:rsidTr="00CB02CB">
        <w:trPr>
          <w:trHeight w:val="20"/>
        </w:trPr>
        <w:tc>
          <w:tcPr>
            <w:tcW w:w="3956" w:type="dxa"/>
          </w:tcPr>
          <w:p w14:paraId="473A6324" w14:textId="77777777" w:rsidR="009F25EE" w:rsidRPr="006B6FA6" w:rsidRDefault="009F25EE" w:rsidP="00CB02CB">
            <w:pPr>
              <w:spacing w:after="0" w:line="240" w:lineRule="auto"/>
              <w:jc w:val="both"/>
              <w:rPr>
                <w:rFonts w:ascii="Times New Roman" w:eastAsia="Times New Roman" w:hAnsi="Times New Roman" w:cs="Times New Roman"/>
                <w:b/>
                <w:sz w:val="20"/>
                <w:lang w:eastAsia="sk-SK"/>
              </w:rPr>
            </w:pPr>
            <w:r w:rsidRPr="006B6FA6">
              <w:rPr>
                <w:rFonts w:ascii="Times New Roman" w:eastAsia="Times New Roman" w:hAnsi="Times New Roman" w:cs="Times New Roman"/>
                <w:b/>
                <w:sz w:val="20"/>
                <w:lang w:eastAsia="sk-SK"/>
              </w:rPr>
              <w:t xml:space="preserve">6.6.4. </w:t>
            </w:r>
            <w:r w:rsidRPr="006B6FA6">
              <w:rPr>
                <w:rFonts w:ascii="Times New Roman" w:eastAsia="Times New Roman" w:hAnsi="Times New Roman" w:cs="Times New Roman"/>
                <w:sz w:val="20"/>
                <w:lang w:eastAsia="sk-SK"/>
              </w:rPr>
              <w:t>Je na poskytovanie údajov z evidencie využitý režim podľa zákona č. 177/2018 Z.</w:t>
            </w:r>
            <w:r>
              <w:rPr>
                <w:rFonts w:ascii="Times New Roman" w:eastAsia="Times New Roman" w:hAnsi="Times New Roman" w:cs="Times New Roman"/>
                <w:sz w:val="20"/>
                <w:lang w:eastAsia="sk-SK"/>
              </w:rPr>
              <w:t xml:space="preserve"> </w:t>
            </w:r>
            <w:r w:rsidRPr="006B6FA6">
              <w:rPr>
                <w:rFonts w:ascii="Times New Roman" w:eastAsia="Times New Roman" w:hAnsi="Times New Roman" w:cs="Times New Roman"/>
                <w:sz w:val="20"/>
                <w:lang w:eastAsia="sk-SK"/>
              </w:rPr>
              <w:t>z. v znení neskorších predpisov?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0E7CC0BE" w14:textId="77777777" w:rsidTr="00CB02CB">
              <w:sdt>
                <w:sdtPr>
                  <w:rPr>
                    <w:rFonts w:ascii="Times New Roman" w:eastAsia="Times New Roman" w:hAnsi="Times New Roman" w:cs="Times New Roman"/>
                    <w:sz w:val="20"/>
                    <w:szCs w:val="20"/>
                    <w:lang w:eastAsia="sk-SK"/>
                  </w:rPr>
                  <w:id w:val="1863775485"/>
                  <w14:checkbox>
                    <w14:checked w14:val="1"/>
                    <w14:checkedState w14:val="2612" w14:font="MS Gothic"/>
                    <w14:uncheckedState w14:val="2610" w14:font="MS Gothic"/>
                  </w14:checkbox>
                </w:sdtPr>
                <w:sdtContent>
                  <w:tc>
                    <w:tcPr>
                      <w:tcW w:w="436" w:type="dxa"/>
                    </w:tcPr>
                    <w:p w14:paraId="25FA498D"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0DE4682A"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2EFAED0D" w14:textId="77777777" w:rsidTr="00CB02CB">
              <w:sdt>
                <w:sdtPr>
                  <w:rPr>
                    <w:rFonts w:ascii="Times New Roman" w:eastAsia="Times New Roman" w:hAnsi="Times New Roman" w:cs="Times New Roman"/>
                    <w:sz w:val="20"/>
                    <w:szCs w:val="20"/>
                    <w:lang w:eastAsia="sk-SK"/>
                  </w:rPr>
                  <w:id w:val="-40210002"/>
                  <w14:checkbox>
                    <w14:checked w14:val="0"/>
                    <w14:checkedState w14:val="2612" w14:font="MS Gothic"/>
                    <w14:uncheckedState w14:val="2610" w14:font="MS Gothic"/>
                  </w14:checkbox>
                </w:sdtPr>
                <w:sdtContent>
                  <w:tc>
                    <w:tcPr>
                      <w:tcW w:w="436" w:type="dxa"/>
                    </w:tcPr>
                    <w:p w14:paraId="62FAF650"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50C84B3B"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6B64E4A9" w14:textId="77777777" w:rsidR="009F25EE" w:rsidRPr="006B6FA6" w:rsidRDefault="009F25EE" w:rsidP="00CB02CB">
            <w:pPr>
              <w:spacing w:after="0" w:line="240" w:lineRule="auto"/>
              <w:rPr>
                <w:rFonts w:ascii="Times New Roman" w:eastAsia="Times New Roman" w:hAnsi="Times New Roman" w:cs="Times New Roman"/>
                <w:sz w:val="24"/>
                <w:szCs w:val="24"/>
                <w:lang w:eastAsia="sk-SK"/>
              </w:rPr>
            </w:pPr>
          </w:p>
        </w:tc>
        <w:tc>
          <w:tcPr>
            <w:tcW w:w="3969" w:type="dxa"/>
            <w:gridSpan w:val="4"/>
          </w:tcPr>
          <w:p w14:paraId="18A5188A" w14:textId="77777777" w:rsidR="009F25EE" w:rsidRPr="006B6FA6" w:rsidRDefault="009F25EE" w:rsidP="00CB02CB">
            <w:pPr>
              <w:spacing w:after="0" w:line="240" w:lineRule="auto"/>
              <w:rPr>
                <w:rFonts w:ascii="Times New Roman" w:eastAsia="Times New Roman" w:hAnsi="Times New Roman" w:cs="Times New Roman"/>
                <w:i/>
                <w:iCs/>
                <w:sz w:val="24"/>
                <w:szCs w:val="24"/>
                <w:lang w:eastAsia="sk-SK"/>
              </w:rPr>
            </w:pPr>
            <w:r w:rsidRPr="006B6FA6">
              <w:rPr>
                <w:rFonts w:ascii="Times New Roman" w:eastAsia="Times New Roman" w:hAnsi="Times New Roman" w:cs="Times New Roman"/>
                <w:i/>
                <w:iCs/>
                <w:sz w:val="20"/>
                <w:lang w:eastAsia="sk-SK"/>
              </w:rPr>
              <w:t>Viď §10,11</w:t>
            </w:r>
          </w:p>
        </w:tc>
      </w:tr>
      <w:tr w:rsidR="009F25EE" w:rsidRPr="006B6FA6" w14:paraId="6D13649C" w14:textId="77777777" w:rsidTr="00CB02CB">
        <w:trPr>
          <w:trHeight w:val="20"/>
        </w:trPr>
        <w:tc>
          <w:tcPr>
            <w:tcW w:w="9371" w:type="dxa"/>
            <w:gridSpan w:val="6"/>
            <w:shd w:val="clear" w:color="auto" w:fill="A6A6A6"/>
          </w:tcPr>
          <w:p w14:paraId="10A034B9" w14:textId="77777777" w:rsidR="009F25EE" w:rsidRPr="006B6FA6" w:rsidRDefault="009F25EE" w:rsidP="00CB02CB">
            <w:pPr>
              <w:spacing w:after="0" w:line="20" w:lineRule="atLeast"/>
              <w:ind w:hanging="55"/>
              <w:jc w:val="center"/>
              <w:rPr>
                <w:rFonts w:ascii="Times New Roman" w:eastAsia="Times New Roman" w:hAnsi="Times New Roman" w:cs="Times New Roman"/>
                <w:i/>
                <w:iCs/>
                <w:sz w:val="20"/>
                <w:lang w:eastAsia="sk-SK"/>
              </w:rPr>
            </w:pPr>
            <w:r w:rsidRPr="006B6FA6">
              <w:rPr>
                <w:rFonts w:ascii="Times New Roman" w:eastAsia="Times New Roman" w:hAnsi="Times New Roman" w:cs="Times New Roman"/>
                <w:b/>
                <w:sz w:val="20"/>
                <w:szCs w:val="20"/>
                <w:lang w:eastAsia="sk-SK"/>
              </w:rPr>
              <w:t>Referenčné údaje</w:t>
            </w:r>
          </w:p>
        </w:tc>
      </w:tr>
      <w:tr w:rsidR="009F25EE" w:rsidRPr="006B6FA6" w14:paraId="21917BB5" w14:textId="77777777" w:rsidTr="00CB02CB">
        <w:trPr>
          <w:trHeight w:val="20"/>
        </w:trPr>
        <w:tc>
          <w:tcPr>
            <w:tcW w:w="3956" w:type="dxa"/>
          </w:tcPr>
          <w:p w14:paraId="1C07B8D9" w14:textId="77777777" w:rsidR="009F25EE" w:rsidRPr="006B6FA6" w:rsidRDefault="009F25EE" w:rsidP="00CB02CB">
            <w:pPr>
              <w:spacing w:after="0" w:line="240" w:lineRule="auto"/>
              <w:jc w:val="both"/>
              <w:rPr>
                <w:rFonts w:ascii="Times New Roman" w:eastAsia="Times New Roman" w:hAnsi="Times New Roman" w:cs="Times New Roman"/>
                <w:sz w:val="20"/>
                <w:lang w:eastAsia="sk-SK"/>
              </w:rPr>
            </w:pPr>
            <w:r w:rsidRPr="006B6FA6">
              <w:rPr>
                <w:rFonts w:ascii="Times New Roman" w:eastAsia="Times New Roman" w:hAnsi="Times New Roman" w:cs="Times New Roman"/>
                <w:b/>
                <w:bCs/>
                <w:sz w:val="20"/>
                <w:lang w:eastAsia="sk-SK"/>
              </w:rPr>
              <w:t>6.7.1.</w:t>
            </w:r>
            <w:r w:rsidRPr="006B6FA6">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w:t>
            </w:r>
            <w:r>
              <w:rPr>
                <w:rFonts w:ascii="Times New Roman" w:eastAsia="Times New Roman" w:hAnsi="Times New Roman" w:cs="Times New Roman"/>
                <w:sz w:val="20"/>
                <w:lang w:eastAsia="sk-SK"/>
              </w:rPr>
              <w:t xml:space="preserve"> </w:t>
            </w:r>
            <w:r w:rsidRPr="006B6FA6">
              <w:rPr>
                <w:rFonts w:ascii="Times New Roman" w:eastAsia="Times New Roman" w:hAnsi="Times New Roman" w:cs="Times New Roman"/>
                <w:sz w:val="20"/>
                <w:lang w:eastAsia="sk-SK"/>
              </w:rPr>
              <w:t>z. o e-Governmente?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2B0F5EE0" w14:textId="77777777" w:rsidTr="00CB02CB">
              <w:sdt>
                <w:sdtPr>
                  <w:rPr>
                    <w:rFonts w:ascii="Times New Roman" w:eastAsia="Times New Roman" w:hAnsi="Times New Roman" w:cs="Times New Roman"/>
                    <w:sz w:val="20"/>
                    <w:szCs w:val="20"/>
                    <w:lang w:eastAsia="sk-SK"/>
                  </w:rPr>
                  <w:id w:val="2129888421"/>
                  <w14:checkbox>
                    <w14:checked w14:val="0"/>
                    <w14:checkedState w14:val="2612" w14:font="MS Gothic"/>
                    <w14:uncheckedState w14:val="2610" w14:font="MS Gothic"/>
                  </w14:checkbox>
                </w:sdtPr>
                <w:sdtContent>
                  <w:tc>
                    <w:tcPr>
                      <w:tcW w:w="436" w:type="dxa"/>
                    </w:tcPr>
                    <w:p w14:paraId="6F4B2031"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301EDCF5"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Áno</w:t>
                  </w:r>
                </w:p>
              </w:tc>
            </w:tr>
            <w:tr w:rsidR="009F25EE" w:rsidRPr="006B6FA6" w14:paraId="25CE1AB7" w14:textId="77777777" w:rsidTr="00CB02CB">
              <w:sdt>
                <w:sdtPr>
                  <w:rPr>
                    <w:rFonts w:ascii="Times New Roman" w:eastAsia="Times New Roman" w:hAnsi="Times New Roman" w:cs="Times New Roman"/>
                    <w:sz w:val="20"/>
                    <w:szCs w:val="20"/>
                    <w:lang w:eastAsia="sk-SK"/>
                  </w:rPr>
                  <w:id w:val="389996999"/>
                  <w14:checkbox>
                    <w14:checked w14:val="1"/>
                    <w14:checkedState w14:val="2612" w14:font="MS Gothic"/>
                    <w14:uncheckedState w14:val="2610" w14:font="MS Gothic"/>
                  </w14:checkbox>
                </w:sdtPr>
                <w:sdtContent>
                  <w:tc>
                    <w:tcPr>
                      <w:tcW w:w="436" w:type="dxa"/>
                    </w:tcPr>
                    <w:p w14:paraId="07B76FE0" w14:textId="77777777" w:rsidR="009F25EE" w:rsidRPr="006B6FA6" w:rsidRDefault="009F25EE" w:rsidP="00CB02CB">
                      <w:pPr>
                        <w:jc w:val="center"/>
                        <w:rPr>
                          <w:rFonts w:ascii="Times New Roman" w:eastAsia="Times New Roman" w:hAnsi="Times New Roman" w:cs="Times New Roman"/>
                          <w:sz w:val="20"/>
                          <w:szCs w:val="20"/>
                          <w:lang w:eastAsia="sk-SK"/>
                        </w:rPr>
                      </w:pPr>
                      <w:r w:rsidRPr="006B6FA6">
                        <w:rPr>
                          <w:rFonts w:ascii="Segoe UI Symbol" w:eastAsia="Times New Roman" w:hAnsi="Segoe UI Symbol" w:cs="Segoe UI Symbol"/>
                          <w:sz w:val="20"/>
                          <w:szCs w:val="20"/>
                          <w:lang w:eastAsia="sk-SK"/>
                        </w:rPr>
                        <w:t>☒</w:t>
                      </w:r>
                    </w:p>
                  </w:tc>
                </w:sdtContent>
              </w:sdt>
              <w:tc>
                <w:tcPr>
                  <w:tcW w:w="8545" w:type="dxa"/>
                </w:tcPr>
                <w:p w14:paraId="234B9634" w14:textId="77777777" w:rsidR="009F25EE" w:rsidRPr="006B6FA6" w:rsidRDefault="009F25EE" w:rsidP="00CB02CB">
                  <w:pPr>
                    <w:rPr>
                      <w:rFonts w:ascii="Times New Roman" w:eastAsia="Times New Roman" w:hAnsi="Times New Roman" w:cs="Times New Roman"/>
                      <w:b/>
                      <w:sz w:val="20"/>
                      <w:szCs w:val="20"/>
                      <w:lang w:eastAsia="sk-SK"/>
                    </w:rPr>
                  </w:pPr>
                  <w:r w:rsidRPr="006B6FA6">
                    <w:rPr>
                      <w:rFonts w:ascii="Times New Roman" w:eastAsia="Times New Roman" w:hAnsi="Times New Roman" w:cs="Times New Roman"/>
                      <w:b/>
                      <w:sz w:val="20"/>
                      <w:szCs w:val="20"/>
                      <w:lang w:eastAsia="sk-SK"/>
                    </w:rPr>
                    <w:t>Nie</w:t>
                  </w:r>
                </w:p>
              </w:tc>
            </w:tr>
          </w:tbl>
          <w:p w14:paraId="6EE39F71" w14:textId="77777777" w:rsidR="009F25EE" w:rsidRPr="006B6FA6" w:rsidRDefault="009F25EE" w:rsidP="00CB02CB">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2D689E66" w14:textId="77777777" w:rsidR="009F25EE" w:rsidRPr="006B6FA6" w:rsidRDefault="009F25EE" w:rsidP="00CB02CB">
            <w:pPr>
              <w:spacing w:after="0" w:line="240" w:lineRule="auto"/>
              <w:rPr>
                <w:rFonts w:ascii="Times New Roman" w:eastAsia="Times New Roman" w:hAnsi="Times New Roman" w:cs="Times New Roman"/>
                <w:i/>
                <w:iCs/>
                <w:sz w:val="20"/>
                <w:lang w:eastAsia="sk-SK"/>
              </w:rPr>
            </w:pPr>
            <w:r w:rsidRPr="006B6FA6">
              <w:rPr>
                <w:rFonts w:ascii="Times New Roman" w:eastAsia="Times New Roman" w:hAnsi="Times New Roman" w:cs="Times New Roman"/>
                <w:i/>
                <w:iCs/>
                <w:sz w:val="20"/>
                <w:lang w:eastAsia="sk-SK"/>
              </w:rPr>
              <w:t>MV SR vydáva elektronické osvedčenie atribútov založených na referenčných údajoch v mene správcu alebo prevádzkovateľa referenčného registra, ktorý ho tým poverí</w:t>
            </w:r>
          </w:p>
        </w:tc>
      </w:tr>
      <w:tr w:rsidR="009F25EE" w:rsidRPr="006B6FA6" w14:paraId="1656E1AA" w14:textId="77777777" w:rsidTr="00CB02CB">
        <w:trPr>
          <w:trHeight w:val="20"/>
        </w:trPr>
        <w:tc>
          <w:tcPr>
            <w:tcW w:w="3956" w:type="dxa"/>
          </w:tcPr>
          <w:p w14:paraId="6543A19F" w14:textId="77777777" w:rsidR="009F25EE" w:rsidRPr="006B6FA6" w:rsidRDefault="009F25EE" w:rsidP="00CB02CB">
            <w:pPr>
              <w:spacing w:after="0" w:line="240" w:lineRule="auto"/>
              <w:jc w:val="both"/>
              <w:rPr>
                <w:rFonts w:ascii="Times New Roman" w:eastAsia="Times New Roman" w:hAnsi="Times New Roman" w:cs="Times New Roman"/>
                <w:sz w:val="20"/>
                <w:lang w:eastAsia="sk-SK"/>
              </w:rPr>
            </w:pPr>
            <w:r w:rsidRPr="006B6FA6">
              <w:rPr>
                <w:rFonts w:ascii="Times New Roman" w:eastAsia="Times New Roman" w:hAnsi="Times New Roman" w:cs="Times New Roman"/>
                <w:b/>
                <w:bCs/>
                <w:sz w:val="20"/>
                <w:lang w:eastAsia="sk-SK"/>
              </w:rPr>
              <w:t>6.7.2.</w:t>
            </w:r>
            <w:r w:rsidRPr="006B6FA6">
              <w:rPr>
                <w:rFonts w:ascii="Times New Roman" w:eastAsia="Times New Roman" w:hAnsi="Times New Roman" w:cs="Times New Roman"/>
                <w:sz w:val="20"/>
                <w:lang w:eastAsia="sk-SK"/>
              </w:rPr>
              <w:t xml:space="preserve"> Kedy je plánované zaradenie údajov z evidencie do zoznamu referenčných údajov podľa § 51 zákona č. 305/2013 Z.</w:t>
            </w:r>
            <w:r>
              <w:rPr>
                <w:rFonts w:ascii="Times New Roman" w:eastAsia="Times New Roman" w:hAnsi="Times New Roman" w:cs="Times New Roman"/>
                <w:sz w:val="20"/>
                <w:lang w:eastAsia="sk-SK"/>
              </w:rPr>
              <w:t xml:space="preserve"> </w:t>
            </w:r>
            <w:r w:rsidRPr="006B6FA6">
              <w:rPr>
                <w:rFonts w:ascii="Times New Roman" w:eastAsia="Times New Roman" w:hAnsi="Times New Roman" w:cs="Times New Roman"/>
                <w:sz w:val="20"/>
                <w:lang w:eastAsia="sk-SK"/>
              </w:rPr>
              <w:t>z. o e-Governmente?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F25EE" w:rsidRPr="006B6FA6" w14:paraId="0EC523B7" w14:textId="77777777" w:rsidTr="00CB02CB">
              <w:tc>
                <w:tcPr>
                  <w:tcW w:w="436" w:type="dxa"/>
                </w:tcPr>
                <w:p w14:paraId="6E9C4CEA" w14:textId="77777777" w:rsidR="009F25EE" w:rsidRPr="006B6FA6" w:rsidRDefault="009F25EE" w:rsidP="00CB02CB">
                  <w:pPr>
                    <w:jc w:val="center"/>
                    <w:rPr>
                      <w:rFonts w:ascii="Times New Roman" w:eastAsia="Times New Roman" w:hAnsi="Times New Roman" w:cs="Times New Roman"/>
                      <w:sz w:val="20"/>
                      <w:szCs w:val="20"/>
                      <w:lang w:eastAsia="sk-SK"/>
                    </w:rPr>
                  </w:pPr>
                </w:p>
              </w:tc>
              <w:tc>
                <w:tcPr>
                  <w:tcW w:w="8545" w:type="dxa"/>
                </w:tcPr>
                <w:p w14:paraId="7D3FAC62" w14:textId="77777777" w:rsidR="009F25EE" w:rsidRPr="006B6FA6" w:rsidRDefault="009F25EE" w:rsidP="00CB02CB">
                  <w:pPr>
                    <w:rPr>
                      <w:rFonts w:ascii="Times New Roman" w:eastAsia="Times New Roman" w:hAnsi="Times New Roman" w:cs="Times New Roman"/>
                      <w:b/>
                      <w:sz w:val="20"/>
                      <w:szCs w:val="20"/>
                      <w:lang w:eastAsia="sk-SK"/>
                    </w:rPr>
                  </w:pPr>
                </w:p>
              </w:tc>
            </w:tr>
            <w:tr w:rsidR="009F25EE" w:rsidRPr="006B6FA6" w14:paraId="771E9A9D" w14:textId="77777777" w:rsidTr="00CB02CB">
              <w:tc>
                <w:tcPr>
                  <w:tcW w:w="436" w:type="dxa"/>
                </w:tcPr>
                <w:p w14:paraId="3BF7DD8D" w14:textId="77777777" w:rsidR="009F25EE" w:rsidRPr="006B6FA6" w:rsidRDefault="009F25EE" w:rsidP="00CB02CB">
                  <w:pPr>
                    <w:jc w:val="center"/>
                    <w:rPr>
                      <w:rFonts w:ascii="Times New Roman" w:eastAsia="Times New Roman" w:hAnsi="Times New Roman" w:cs="Times New Roman"/>
                      <w:sz w:val="20"/>
                      <w:szCs w:val="20"/>
                      <w:lang w:eastAsia="sk-SK"/>
                    </w:rPr>
                  </w:pPr>
                </w:p>
              </w:tc>
              <w:tc>
                <w:tcPr>
                  <w:tcW w:w="8545" w:type="dxa"/>
                </w:tcPr>
                <w:p w14:paraId="2EFB3B4C" w14:textId="77777777" w:rsidR="009F25EE" w:rsidRPr="006B6FA6" w:rsidRDefault="009F25EE" w:rsidP="00CB02CB">
                  <w:pPr>
                    <w:rPr>
                      <w:rFonts w:ascii="Times New Roman" w:eastAsia="Times New Roman" w:hAnsi="Times New Roman" w:cs="Times New Roman"/>
                      <w:b/>
                      <w:sz w:val="20"/>
                      <w:szCs w:val="20"/>
                      <w:lang w:eastAsia="sk-SK"/>
                    </w:rPr>
                  </w:pPr>
                </w:p>
              </w:tc>
            </w:tr>
          </w:tbl>
          <w:p w14:paraId="6C1E683A" w14:textId="77777777" w:rsidR="009F25EE" w:rsidRPr="006B6FA6" w:rsidRDefault="009F25EE" w:rsidP="00CB02CB">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65916830" w14:textId="77777777" w:rsidR="009F25EE" w:rsidRPr="006B6FA6" w:rsidRDefault="009F25EE" w:rsidP="00CB02CB">
            <w:pPr>
              <w:spacing w:after="0" w:line="240" w:lineRule="auto"/>
              <w:rPr>
                <w:rFonts w:ascii="Times New Roman" w:eastAsia="Times New Roman" w:hAnsi="Times New Roman" w:cs="Times New Roman"/>
                <w:i/>
                <w:iCs/>
                <w:sz w:val="20"/>
                <w:lang w:eastAsia="sk-SK"/>
              </w:rPr>
            </w:pPr>
            <w:r w:rsidRPr="006B6FA6">
              <w:rPr>
                <w:rFonts w:ascii="Times New Roman" w:eastAsia="Times New Roman" w:hAnsi="Times New Roman" w:cs="Times New Roman"/>
                <w:i/>
                <w:iCs/>
                <w:sz w:val="20"/>
                <w:lang w:eastAsia="sk-SK"/>
              </w:rPr>
              <w:t>(Uveďte, kedy sa plánuje zaradenie vyššie uvedených údajov do zoznamu referenčných údajov.)</w:t>
            </w:r>
          </w:p>
        </w:tc>
      </w:tr>
    </w:tbl>
    <w:p w14:paraId="49E2E483" w14:textId="5439A3FB" w:rsidR="00E92460" w:rsidRPr="004354BF" w:rsidRDefault="00E92460" w:rsidP="009F25EE">
      <w:pPr>
        <w:spacing w:after="0" w:line="240" w:lineRule="auto"/>
        <w:jc w:val="both"/>
        <w:rPr>
          <w:rFonts w:ascii="Times New Roman" w:eastAsia="Times New Roman" w:hAnsi="Times New Roman" w:cs="Times New Roman"/>
          <w:b/>
          <w:sz w:val="28"/>
          <w:szCs w:val="28"/>
          <w:highlight w:val="yellow"/>
          <w:lang w:eastAsia="sk-SK"/>
        </w:rPr>
      </w:pPr>
    </w:p>
    <w:sectPr w:rsidR="00E92460" w:rsidRPr="004354BF" w:rsidSect="008B412A">
      <w:footerReference w:type="default" r:id="rId1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A7878" w14:textId="77777777" w:rsidR="00F51CC7" w:rsidRDefault="00F51CC7" w:rsidP="001B23B7">
      <w:pPr>
        <w:spacing w:after="0" w:line="240" w:lineRule="auto"/>
      </w:pPr>
      <w:r>
        <w:separator/>
      </w:r>
    </w:p>
  </w:endnote>
  <w:endnote w:type="continuationSeparator" w:id="0">
    <w:p w14:paraId="4CC8F1FC" w14:textId="77777777" w:rsidR="00F51CC7" w:rsidRDefault="00F51CC7"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468030"/>
      <w:docPartObj>
        <w:docPartGallery w:val="Page Numbers (Bottom of Page)"/>
        <w:docPartUnique/>
      </w:docPartObj>
    </w:sdtPr>
    <w:sdtContent>
      <w:p w14:paraId="182008BF" w14:textId="42572222" w:rsidR="00596A03" w:rsidRDefault="00596A03">
        <w:pPr>
          <w:pStyle w:val="Pta"/>
          <w:jc w:val="right"/>
        </w:pPr>
        <w:r>
          <w:fldChar w:fldCharType="begin"/>
        </w:r>
        <w:r>
          <w:instrText>PAGE   \* MERGEFORMAT</w:instrText>
        </w:r>
        <w:r>
          <w:fldChar w:fldCharType="separate"/>
        </w:r>
        <w:r w:rsidR="008B412A">
          <w:rPr>
            <w:noProof/>
          </w:rPr>
          <w:t>6</w:t>
        </w:r>
        <w:r>
          <w:fldChar w:fldCharType="end"/>
        </w:r>
      </w:p>
    </w:sdtContent>
  </w:sdt>
  <w:p w14:paraId="0F59FF9B" w14:textId="77777777" w:rsidR="00596A03" w:rsidRDefault="00596A0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59933"/>
      <w:docPartObj>
        <w:docPartGallery w:val="Page Numbers (Bottom of Page)"/>
        <w:docPartUnique/>
      </w:docPartObj>
    </w:sdtPr>
    <w:sdtContent>
      <w:p w14:paraId="7D7C7CCA" w14:textId="41712018" w:rsidR="00596A03" w:rsidRDefault="00596A03">
        <w:pPr>
          <w:pStyle w:val="Pta"/>
          <w:jc w:val="right"/>
        </w:pPr>
        <w:r>
          <w:fldChar w:fldCharType="begin"/>
        </w:r>
        <w:r>
          <w:instrText>PAGE   \* MERGEFORMAT</w:instrText>
        </w:r>
        <w:r>
          <w:fldChar w:fldCharType="separate"/>
        </w:r>
        <w:r w:rsidR="008B412A">
          <w:rPr>
            <w:noProof/>
          </w:rPr>
          <w:t>17</w:t>
        </w:r>
        <w:r>
          <w:fldChar w:fldCharType="end"/>
        </w:r>
      </w:p>
    </w:sdtContent>
  </w:sdt>
  <w:p w14:paraId="6B09A87C" w14:textId="77777777" w:rsidR="00F51CC7" w:rsidRDefault="00F51C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12C30" w14:textId="77777777" w:rsidR="00F51CC7" w:rsidRDefault="00F51CC7" w:rsidP="001B23B7">
      <w:pPr>
        <w:spacing w:after="0" w:line="240" w:lineRule="auto"/>
      </w:pPr>
      <w:r>
        <w:separator/>
      </w:r>
    </w:p>
  </w:footnote>
  <w:footnote w:type="continuationSeparator" w:id="0">
    <w:p w14:paraId="4B6B1757" w14:textId="77777777" w:rsidR="00F51CC7" w:rsidRDefault="00F51CC7" w:rsidP="001B23B7">
      <w:pPr>
        <w:spacing w:after="0" w:line="240" w:lineRule="auto"/>
      </w:pPr>
      <w:r>
        <w:continuationSeparator/>
      </w:r>
    </w:p>
  </w:footnote>
  <w:footnote w:id="1">
    <w:p w14:paraId="59440129" w14:textId="77777777" w:rsidR="00F51CC7" w:rsidRPr="000A6B7F" w:rsidRDefault="00F51CC7" w:rsidP="00D830E8">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5414F635" w14:textId="77777777" w:rsidR="00F51CC7" w:rsidRDefault="00F51CC7" w:rsidP="00002E2F">
      <w:pPr>
        <w:pStyle w:val="Textpoznmkypodiarou"/>
      </w:pPr>
      <w:r>
        <w:rPr>
          <w:rStyle w:val="Odkaznapoznmkupodiarou"/>
        </w:rPr>
        <w:footnoteRef/>
      </w:r>
      <w:r>
        <w:t xml:space="preserve"> </w:t>
      </w:r>
      <w:hyperlink r:id="rId1" w:anchor="/screen/search/type/3?searchCriteria=eyJjb3VudHJpZXMiOlsiU0siXSwicVNlcnZpY2VUeXBlcyI6WyJRQ2VydEVTaWciLCJRVmFsUUVTaWciLCJRUHJlc1FFU2VhbCIsIlFDZXJ0RVNlYWwiLCJRUHJlc1FFU2lnIiwiUVRpbWVzdGFtcCIsIlFXQUMiLCJRVmFsUUVTZWFsIiwiUWVSRFMiXX0%3D" w:history="1">
        <w:r w:rsidRPr="007E189D">
          <w:rPr>
            <w:rStyle w:val="Hypertextovprepojenie"/>
          </w:rPr>
          <w:t>https://eidas.ec.europa.eu/efda/tl-browser/#/screen/search/type/3?searchCriteria=eyJjb3VudHJpZXMiOlsiU0siXSwicVNlcnZpY2VUeXBlcyI6WyJRQ2VydEVTaWciLCJRVmFsUUVTaWciLCJRUHJlc1FFU2VhbCIsIlFDZXJ0RVNlYWwiLCJRUHJlc1FFU2lnIiwiUVRpbWVzdGFtcCIsIlFXQUMiLCJRVmFsUUVTZWFsIiwiUWVSRFMiXX0%3D</w:t>
        </w:r>
      </w:hyperlink>
    </w:p>
  </w:footnote>
  <w:footnote w:id="3">
    <w:p w14:paraId="43363D66" w14:textId="77777777" w:rsidR="00F51CC7" w:rsidRDefault="00F51CC7" w:rsidP="00002E2F">
      <w:pPr>
        <w:pStyle w:val="Textpoznmkypodiarou"/>
      </w:pPr>
      <w:r>
        <w:rPr>
          <w:rStyle w:val="Odkaznapoznmkupodiarou"/>
        </w:rPr>
        <w:footnoteRef/>
      </w:r>
      <w:r>
        <w:t xml:space="preserve"> Keďže v súčasnosti je počet takýchto subjektov 0, do tabuľkovej časti sme použili prepočet pre 1 subjekt</w:t>
      </w:r>
    </w:p>
  </w:footnote>
  <w:footnote w:id="4">
    <w:p w14:paraId="12DE4C59" w14:textId="77777777" w:rsidR="00F51CC7" w:rsidRDefault="00F51CC7" w:rsidP="00002E2F">
      <w:pPr>
        <w:pStyle w:val="Textpoznmkypodiarou"/>
      </w:pPr>
      <w:r>
        <w:rPr>
          <w:rStyle w:val="Odkaznapoznmkupodiarou"/>
        </w:rPr>
        <w:footnoteRef/>
      </w:r>
      <w:r>
        <w:t xml:space="preserve"> </w:t>
      </w:r>
      <w:hyperlink r:id="rId2" w:anchor="/screen/search/type/3?searchCriteria=eyJjb3VudHJpZXMiOlsiU0siXSwicVNlcnZpY2VUeXBlcyI6WyJDZXJ0RVNpZyIsIlZhbEVTaWciLCJWYWxFU2VhbCIsIlRpbWVzdGFtcCIsIkNlcnRVbmRlZmluZWQiLCJDZXJ0RVNlYWwiLCJHZW5FU2lnIiwiR2VuRVNlYWwiLCJlUkRTIiwiV0FDIiwiUHJlc0VTaWciLCJQcmVzRVNlYW" w:history="1">
        <w:r w:rsidRPr="007E189D">
          <w:rPr>
            <w:rStyle w:val="Hypertextovprepojenie"/>
          </w:rPr>
          <w:t>https://eidas.ec.europa.eu/efda/tl-browser/#/screen/search/type/3?searchCriteria=eyJjb3VudHJpZXMiOlsiU0siXSwicVNlcnZpY2VUeXBlcyI6WyJDZXJ0RVNpZyIsIlZhbEVTaWciLCJWYWxFU2VhbCIsIlRpbWVzdGFtcCIsIkNlcnRVbmRlZmluZWQiLCJDZXJ0RVNlYWwiLCJHZW5FU2lnIiwiR2VuRVNlYWwiLCJlUkRTIiwiV0FDIiwiUHJlc0VTaWciLCJQcmVzRVNlYWwiLCJOb25SZWd1bGF0b3J5Il19</w:t>
        </w:r>
      </w:hyperlink>
      <w:r>
        <w:t xml:space="preserve"> </w:t>
      </w:r>
    </w:p>
  </w:footnote>
  <w:footnote w:id="5">
    <w:p w14:paraId="7523A116" w14:textId="77777777" w:rsidR="00F51CC7" w:rsidRPr="0062243F" w:rsidRDefault="00F51CC7" w:rsidP="00002E2F">
      <w:pPr>
        <w:pStyle w:val="Textpoznmkypodiarou"/>
        <w:rPr>
          <w:sz w:val="18"/>
          <w:szCs w:val="18"/>
        </w:rPr>
      </w:pPr>
      <w:r w:rsidRPr="0062243F">
        <w:rPr>
          <w:rStyle w:val="Odkaznapoznmkupodiarou"/>
          <w:sz w:val="18"/>
          <w:szCs w:val="18"/>
        </w:rPr>
        <w:footnoteRef/>
      </w:r>
      <w:r w:rsidRPr="0062243F">
        <w:rPr>
          <w:sz w:val="18"/>
          <w:szCs w:val="18"/>
        </w:rPr>
        <w:t xml:space="preserve"> </w:t>
      </w:r>
      <w:r w:rsidRPr="0062243F">
        <w:rPr>
          <w:rFonts w:ascii="Times New Roman" w:eastAsia="Calibri" w:hAnsi="Times New Roman" w:cs="Times New Roman"/>
          <w:bCs/>
          <w:color w:val="000000"/>
          <w:sz w:val="18"/>
          <w:szCs w:val="18"/>
        </w:rPr>
        <w:t xml:space="preserve">Zdroj: </w:t>
      </w:r>
      <w:hyperlink r:id="rId3" w:history="1">
        <w:r w:rsidRPr="0062243F">
          <w:rPr>
            <w:rStyle w:val="Hypertextovprepojenie"/>
            <w:rFonts w:ascii="Times New Roman" w:eastAsia="Calibri" w:hAnsi="Times New Roman" w:cs="Times New Roman"/>
            <w:bCs/>
            <w:sz w:val="18"/>
            <w:szCs w:val="18"/>
          </w:rPr>
          <w:t>https://monitoringmsp.sk/wp-content/uploads/2023/07/MSP_v_cislach_2022.pdf</w:t>
        </w:r>
      </w:hyperlink>
    </w:p>
  </w:footnote>
  <w:footnote w:id="6">
    <w:p w14:paraId="72E7B004" w14:textId="77777777" w:rsidR="00F51CC7" w:rsidRPr="00804BC8" w:rsidRDefault="00F51CC7" w:rsidP="00002E2F">
      <w:pPr>
        <w:pStyle w:val="Textpoznmkypodiarou"/>
        <w:jc w:val="both"/>
        <w:rPr>
          <w:rFonts w:ascii="Times New Roman" w:hAnsi="Times New Roman" w:cs="Times New Roman"/>
        </w:rPr>
      </w:pPr>
      <w:r w:rsidRPr="0099544D">
        <w:rPr>
          <w:rStyle w:val="Odkaznapoznmkupodiarou"/>
          <w:rFonts w:ascii="Times New Roman" w:hAnsi="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3D58805D" w14:textId="77777777" w:rsidR="00F51CC7" w:rsidRDefault="00F51CC7" w:rsidP="00002E2F">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54E" w14:textId="77777777" w:rsidR="00F51CC7" w:rsidRPr="006045CB" w:rsidRDefault="00F51CC7" w:rsidP="00D830E8">
    <w:pPr>
      <w:tabs>
        <w:tab w:val="center" w:pos="4536"/>
        <w:tab w:val="right" w:pos="9072"/>
      </w:tabs>
      <w:jc w:val="right"/>
      <w:rPr>
        <w:lang w:eastAsia="sk-SK"/>
      </w:rPr>
    </w:pPr>
    <w:r w:rsidRPr="006045CB">
      <w:rPr>
        <w:lang w:eastAsia="sk-SK"/>
      </w:rPr>
      <w:t xml:space="preserve">Príloha č. </w:t>
    </w:r>
    <w:r>
      <w:rPr>
        <w:lang w:eastAsia="sk-SK"/>
      </w:rPr>
      <w:t>3a</w:t>
    </w:r>
  </w:p>
  <w:p w14:paraId="32EE449F" w14:textId="77777777" w:rsidR="00F51CC7" w:rsidRPr="006045CB" w:rsidRDefault="00F51CC7" w:rsidP="00D830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373E6"/>
    <w:multiLevelType w:val="hybridMultilevel"/>
    <w:tmpl w:val="0F268152"/>
    <w:lvl w:ilvl="0" w:tplc="3D9E281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1CA4"/>
    <w:rsid w:val="00002E2F"/>
    <w:rsid w:val="00020AE9"/>
    <w:rsid w:val="00033CE3"/>
    <w:rsid w:val="0003566A"/>
    <w:rsid w:val="00043706"/>
    <w:rsid w:val="00043884"/>
    <w:rsid w:val="000531AB"/>
    <w:rsid w:val="00055648"/>
    <w:rsid w:val="00064E1E"/>
    <w:rsid w:val="00065625"/>
    <w:rsid w:val="0007791A"/>
    <w:rsid w:val="00097069"/>
    <w:rsid w:val="000A79E0"/>
    <w:rsid w:val="000B1DCC"/>
    <w:rsid w:val="000C374F"/>
    <w:rsid w:val="000C7570"/>
    <w:rsid w:val="000D348F"/>
    <w:rsid w:val="000F2BE9"/>
    <w:rsid w:val="000F763C"/>
    <w:rsid w:val="001005BF"/>
    <w:rsid w:val="00113AE4"/>
    <w:rsid w:val="00114EAF"/>
    <w:rsid w:val="00147682"/>
    <w:rsid w:val="00156064"/>
    <w:rsid w:val="00187182"/>
    <w:rsid w:val="001915F3"/>
    <w:rsid w:val="001B1616"/>
    <w:rsid w:val="001B23B7"/>
    <w:rsid w:val="001C7D85"/>
    <w:rsid w:val="001D54D4"/>
    <w:rsid w:val="001E3562"/>
    <w:rsid w:val="001E799E"/>
    <w:rsid w:val="0020030F"/>
    <w:rsid w:val="00201C7C"/>
    <w:rsid w:val="00203EE3"/>
    <w:rsid w:val="00204BDE"/>
    <w:rsid w:val="00216596"/>
    <w:rsid w:val="00222B1E"/>
    <w:rsid w:val="002243BB"/>
    <w:rsid w:val="0022491E"/>
    <w:rsid w:val="0023360B"/>
    <w:rsid w:val="00243652"/>
    <w:rsid w:val="00253DD3"/>
    <w:rsid w:val="00274CDD"/>
    <w:rsid w:val="0028027F"/>
    <w:rsid w:val="002869FF"/>
    <w:rsid w:val="00292182"/>
    <w:rsid w:val="002B661B"/>
    <w:rsid w:val="002D3F50"/>
    <w:rsid w:val="002D6B07"/>
    <w:rsid w:val="002F6ADB"/>
    <w:rsid w:val="003145AE"/>
    <w:rsid w:val="00334E12"/>
    <w:rsid w:val="003458AD"/>
    <w:rsid w:val="003476AD"/>
    <w:rsid w:val="00352549"/>
    <w:rsid w:val="003553ED"/>
    <w:rsid w:val="003810AA"/>
    <w:rsid w:val="003855E5"/>
    <w:rsid w:val="00395D97"/>
    <w:rsid w:val="003A057B"/>
    <w:rsid w:val="003A13F6"/>
    <w:rsid w:val="003A1782"/>
    <w:rsid w:val="003A381E"/>
    <w:rsid w:val="003A4283"/>
    <w:rsid w:val="003B6C40"/>
    <w:rsid w:val="003E202A"/>
    <w:rsid w:val="00411898"/>
    <w:rsid w:val="00411ACB"/>
    <w:rsid w:val="00420C66"/>
    <w:rsid w:val="00424094"/>
    <w:rsid w:val="004316D4"/>
    <w:rsid w:val="0043367E"/>
    <w:rsid w:val="004354BF"/>
    <w:rsid w:val="00441166"/>
    <w:rsid w:val="00462C2D"/>
    <w:rsid w:val="00490BA2"/>
    <w:rsid w:val="0049476D"/>
    <w:rsid w:val="004A4383"/>
    <w:rsid w:val="004C6831"/>
    <w:rsid w:val="004F60E3"/>
    <w:rsid w:val="00514D2C"/>
    <w:rsid w:val="005161B3"/>
    <w:rsid w:val="00530E27"/>
    <w:rsid w:val="00546320"/>
    <w:rsid w:val="00546956"/>
    <w:rsid w:val="00556F7B"/>
    <w:rsid w:val="005870A7"/>
    <w:rsid w:val="00591EC6"/>
    <w:rsid w:val="00591ED3"/>
    <w:rsid w:val="0059231F"/>
    <w:rsid w:val="00595121"/>
    <w:rsid w:val="00596A03"/>
    <w:rsid w:val="005A429D"/>
    <w:rsid w:val="005B3865"/>
    <w:rsid w:val="005C4103"/>
    <w:rsid w:val="005D06C7"/>
    <w:rsid w:val="005D6D48"/>
    <w:rsid w:val="005E2954"/>
    <w:rsid w:val="005E32B1"/>
    <w:rsid w:val="005E45F6"/>
    <w:rsid w:val="0060274F"/>
    <w:rsid w:val="00604D56"/>
    <w:rsid w:val="006111CF"/>
    <w:rsid w:val="00612E08"/>
    <w:rsid w:val="00617F8D"/>
    <w:rsid w:val="00651E39"/>
    <w:rsid w:val="006529C8"/>
    <w:rsid w:val="00681473"/>
    <w:rsid w:val="00690C19"/>
    <w:rsid w:val="00694DE3"/>
    <w:rsid w:val="006A0981"/>
    <w:rsid w:val="006B6FA6"/>
    <w:rsid w:val="006C3600"/>
    <w:rsid w:val="006D5918"/>
    <w:rsid w:val="006E0D9E"/>
    <w:rsid w:val="006F678E"/>
    <w:rsid w:val="006F6B62"/>
    <w:rsid w:val="007001F8"/>
    <w:rsid w:val="0070634D"/>
    <w:rsid w:val="00720322"/>
    <w:rsid w:val="00720FAC"/>
    <w:rsid w:val="0072478B"/>
    <w:rsid w:val="00727A8B"/>
    <w:rsid w:val="00731F36"/>
    <w:rsid w:val="0075197E"/>
    <w:rsid w:val="007526C7"/>
    <w:rsid w:val="00761208"/>
    <w:rsid w:val="0076459B"/>
    <w:rsid w:val="00771C73"/>
    <w:rsid w:val="00774D37"/>
    <w:rsid w:val="007756BE"/>
    <w:rsid w:val="00780B01"/>
    <w:rsid w:val="007966F5"/>
    <w:rsid w:val="007B3522"/>
    <w:rsid w:val="007B40C1"/>
    <w:rsid w:val="007B6B2A"/>
    <w:rsid w:val="007C2E9B"/>
    <w:rsid w:val="007C5312"/>
    <w:rsid w:val="007D1C6B"/>
    <w:rsid w:val="007D39EF"/>
    <w:rsid w:val="007D6F2C"/>
    <w:rsid w:val="007E0875"/>
    <w:rsid w:val="007E11CF"/>
    <w:rsid w:val="007E1693"/>
    <w:rsid w:val="007F5771"/>
    <w:rsid w:val="007F587A"/>
    <w:rsid w:val="0080042A"/>
    <w:rsid w:val="00820EA8"/>
    <w:rsid w:val="00822A19"/>
    <w:rsid w:val="00830327"/>
    <w:rsid w:val="00840BDD"/>
    <w:rsid w:val="00855E7B"/>
    <w:rsid w:val="00865E81"/>
    <w:rsid w:val="00875F6F"/>
    <w:rsid w:val="008801B5"/>
    <w:rsid w:val="00881890"/>
    <w:rsid w:val="00881E07"/>
    <w:rsid w:val="00882441"/>
    <w:rsid w:val="008922CF"/>
    <w:rsid w:val="008B222D"/>
    <w:rsid w:val="008B412A"/>
    <w:rsid w:val="008C114C"/>
    <w:rsid w:val="008C4889"/>
    <w:rsid w:val="008C79B7"/>
    <w:rsid w:val="008E4FFB"/>
    <w:rsid w:val="00933D33"/>
    <w:rsid w:val="00933ECC"/>
    <w:rsid w:val="00935B7D"/>
    <w:rsid w:val="009431E3"/>
    <w:rsid w:val="009475F5"/>
    <w:rsid w:val="00951D74"/>
    <w:rsid w:val="00961483"/>
    <w:rsid w:val="009717F5"/>
    <w:rsid w:val="0098472E"/>
    <w:rsid w:val="00987B9F"/>
    <w:rsid w:val="009A3C95"/>
    <w:rsid w:val="009A48D1"/>
    <w:rsid w:val="009C3844"/>
    <w:rsid w:val="009C424C"/>
    <w:rsid w:val="009D31DA"/>
    <w:rsid w:val="009E09F7"/>
    <w:rsid w:val="009F25EE"/>
    <w:rsid w:val="009F3754"/>
    <w:rsid w:val="009F4832"/>
    <w:rsid w:val="00A340BB"/>
    <w:rsid w:val="00A46FEC"/>
    <w:rsid w:val="00A50E6B"/>
    <w:rsid w:val="00A60413"/>
    <w:rsid w:val="00A6243C"/>
    <w:rsid w:val="00A7788F"/>
    <w:rsid w:val="00A93C3E"/>
    <w:rsid w:val="00AA7E69"/>
    <w:rsid w:val="00AB0145"/>
    <w:rsid w:val="00AB2136"/>
    <w:rsid w:val="00AB3C62"/>
    <w:rsid w:val="00AB5A67"/>
    <w:rsid w:val="00AC2CA8"/>
    <w:rsid w:val="00AC30D6"/>
    <w:rsid w:val="00AD20CC"/>
    <w:rsid w:val="00AD4CE2"/>
    <w:rsid w:val="00AE280C"/>
    <w:rsid w:val="00AE72B8"/>
    <w:rsid w:val="00B00B6E"/>
    <w:rsid w:val="00B25B30"/>
    <w:rsid w:val="00B445DA"/>
    <w:rsid w:val="00B45E29"/>
    <w:rsid w:val="00B547F5"/>
    <w:rsid w:val="00B55121"/>
    <w:rsid w:val="00B5616F"/>
    <w:rsid w:val="00B656B5"/>
    <w:rsid w:val="00B76AD0"/>
    <w:rsid w:val="00B84F87"/>
    <w:rsid w:val="00B9611D"/>
    <w:rsid w:val="00BA2393"/>
    <w:rsid w:val="00BA2BF4"/>
    <w:rsid w:val="00BA5790"/>
    <w:rsid w:val="00BB0461"/>
    <w:rsid w:val="00BB57B0"/>
    <w:rsid w:val="00BC4691"/>
    <w:rsid w:val="00BD11E1"/>
    <w:rsid w:val="00BD26D9"/>
    <w:rsid w:val="00BD339B"/>
    <w:rsid w:val="00BF13BA"/>
    <w:rsid w:val="00BF21E4"/>
    <w:rsid w:val="00C01BD1"/>
    <w:rsid w:val="00C15078"/>
    <w:rsid w:val="00C15D94"/>
    <w:rsid w:val="00C34B9E"/>
    <w:rsid w:val="00C43E7E"/>
    <w:rsid w:val="00C47E1A"/>
    <w:rsid w:val="00C60C01"/>
    <w:rsid w:val="00C809C3"/>
    <w:rsid w:val="00C851A8"/>
    <w:rsid w:val="00C86714"/>
    <w:rsid w:val="00C910EC"/>
    <w:rsid w:val="00C94E4E"/>
    <w:rsid w:val="00CA501C"/>
    <w:rsid w:val="00CA5353"/>
    <w:rsid w:val="00CB02CB"/>
    <w:rsid w:val="00CB08AE"/>
    <w:rsid w:val="00CC0261"/>
    <w:rsid w:val="00CC1AC9"/>
    <w:rsid w:val="00CD6E04"/>
    <w:rsid w:val="00CE4D14"/>
    <w:rsid w:val="00CE6AAE"/>
    <w:rsid w:val="00CF1A25"/>
    <w:rsid w:val="00D02624"/>
    <w:rsid w:val="00D16A37"/>
    <w:rsid w:val="00D2313B"/>
    <w:rsid w:val="00D50F1E"/>
    <w:rsid w:val="00D549A7"/>
    <w:rsid w:val="00D554AB"/>
    <w:rsid w:val="00D56B2B"/>
    <w:rsid w:val="00D617C7"/>
    <w:rsid w:val="00D64EAF"/>
    <w:rsid w:val="00D830E8"/>
    <w:rsid w:val="00D84546"/>
    <w:rsid w:val="00D96093"/>
    <w:rsid w:val="00DA347F"/>
    <w:rsid w:val="00DA4AAB"/>
    <w:rsid w:val="00DA51CC"/>
    <w:rsid w:val="00DB5741"/>
    <w:rsid w:val="00DF30DD"/>
    <w:rsid w:val="00DF357C"/>
    <w:rsid w:val="00E01C80"/>
    <w:rsid w:val="00E056CF"/>
    <w:rsid w:val="00E222D3"/>
    <w:rsid w:val="00E2500C"/>
    <w:rsid w:val="00E41F20"/>
    <w:rsid w:val="00E440B4"/>
    <w:rsid w:val="00E70D1F"/>
    <w:rsid w:val="00E85384"/>
    <w:rsid w:val="00E92460"/>
    <w:rsid w:val="00E93972"/>
    <w:rsid w:val="00E94720"/>
    <w:rsid w:val="00EA3AFD"/>
    <w:rsid w:val="00EB0663"/>
    <w:rsid w:val="00EB0995"/>
    <w:rsid w:val="00EC2D60"/>
    <w:rsid w:val="00EC60AA"/>
    <w:rsid w:val="00ED165A"/>
    <w:rsid w:val="00ED1AC0"/>
    <w:rsid w:val="00ED3FBB"/>
    <w:rsid w:val="00EE1B13"/>
    <w:rsid w:val="00EE1F03"/>
    <w:rsid w:val="00F039CA"/>
    <w:rsid w:val="00F0426C"/>
    <w:rsid w:val="00F07C84"/>
    <w:rsid w:val="00F10C09"/>
    <w:rsid w:val="00F16CB1"/>
    <w:rsid w:val="00F50A84"/>
    <w:rsid w:val="00F51CC7"/>
    <w:rsid w:val="00F557E0"/>
    <w:rsid w:val="00F60E38"/>
    <w:rsid w:val="00F629EA"/>
    <w:rsid w:val="00F63074"/>
    <w:rsid w:val="00F66855"/>
    <w:rsid w:val="00F67B07"/>
    <w:rsid w:val="00F87681"/>
    <w:rsid w:val="00F96BE3"/>
    <w:rsid w:val="00FA02DB"/>
    <w:rsid w:val="00FB4352"/>
    <w:rsid w:val="00FD5086"/>
    <w:rsid w:val="00FD7A67"/>
    <w:rsid w:val="00FF0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4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EC60AA"/>
    <w:pPr>
      <w:ind w:left="720"/>
      <w:contextualSpacing/>
    </w:pPr>
  </w:style>
  <w:style w:type="character" w:styleId="Hypertextovprepojenie">
    <w:name w:val="Hyperlink"/>
    <w:basedOn w:val="Predvolenpsmoodseku"/>
    <w:uiPriority w:val="99"/>
    <w:unhideWhenUsed/>
    <w:rsid w:val="005D6D48"/>
    <w:rPr>
      <w:color w:val="0563C1" w:themeColor="hyperlink"/>
      <w:u w:val="single"/>
    </w:rPr>
  </w:style>
  <w:style w:type="table" w:customStyle="1" w:styleId="Mriekatabuky2">
    <w:name w:val="Mriežka tabuľky2"/>
    <w:basedOn w:val="Normlnatabuka"/>
    <w:next w:val="Mriekatabuky"/>
    <w:uiPriority w:val="59"/>
    <w:rsid w:val="006B6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8C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Schriftart: 9 pt,Schriftart: 10 pt,Schriftart: 8 pt,Podrozdział,Footnote,o,Footnote text,NBP,fn,WB-Fußnot,Text poznámky pod čiarou 007,_Poznámka pod čiarou,Footnote Text Char Char,Fo Char Char,Fotnot Char Cha,stile 1,ft"/>
    <w:basedOn w:val="Normlny"/>
    <w:link w:val="TextpoznmkypodiarouChar"/>
    <w:uiPriority w:val="99"/>
    <w:unhideWhenUsed/>
    <w:qFormat/>
    <w:rsid w:val="008C114C"/>
    <w:pPr>
      <w:spacing w:after="0" w:line="240" w:lineRule="auto"/>
    </w:pPr>
    <w:rPr>
      <w:sz w:val="20"/>
      <w:szCs w:val="20"/>
    </w:rPr>
  </w:style>
  <w:style w:type="character" w:customStyle="1" w:styleId="TextpoznmkypodiarouChar">
    <w:name w:val="Text poznámky pod čiarou Char"/>
    <w:aliases w:val="Schriftart: 9 pt Char,Schriftart: 10 pt Char,Schriftart: 8 pt Char,Podrozdział Char,Footnote Char,o Char,Footnote text Char,NBP Char,fn Char,WB-Fußnot Char,Text poznámky pod čiarou 007 Char,_Poznámka pod čiarou Char,ft Char"/>
    <w:basedOn w:val="Predvolenpsmoodseku"/>
    <w:link w:val="Textpoznmkypodiarou"/>
    <w:uiPriority w:val="99"/>
    <w:qFormat/>
    <w:rsid w:val="008C114C"/>
    <w:rPr>
      <w:sz w:val="20"/>
      <w:szCs w:val="20"/>
    </w:rPr>
  </w:style>
  <w:style w:type="character" w:styleId="Odkaznapoznmkupodiarou">
    <w:name w:val="footnote reference"/>
    <w:aliases w:val="Footnote symbol,Footnote number,fr,Footnotemark,FR,Footnotemark1,Footnotemark2,FR1,Footnotemark3,FR2,Footnotemark4,FR3,Footnotemark5,FR4,Footnotemark6,Footnotemark7,Footnotemark8,FR5,Footnotemark11,Footnotemark21,FR11,Nota"/>
    <w:basedOn w:val="Predvolenpsmoodseku"/>
    <w:link w:val="FootnotesymbolCarZchn"/>
    <w:uiPriority w:val="99"/>
    <w:unhideWhenUsed/>
    <w:qFormat/>
    <w:rsid w:val="008C114C"/>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qFormat/>
    <w:rsid w:val="008C114C"/>
    <w:pPr>
      <w:spacing w:line="240" w:lineRule="exact"/>
      <w:jc w:val="both"/>
    </w:pPr>
    <w:rPr>
      <w:vertAlign w:val="superscript"/>
    </w:rPr>
  </w:style>
  <w:style w:type="table" w:customStyle="1" w:styleId="Mriekatabuky4">
    <w:name w:val="Mriežka tabuľky4"/>
    <w:basedOn w:val="Normlnatabuka"/>
    <w:next w:val="Mriekatabuky"/>
    <w:uiPriority w:val="39"/>
    <w:rsid w:val="0043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B656B5"/>
    <w:rPr>
      <w:rFonts w:cs="Times New Roman"/>
    </w:rPr>
  </w:style>
  <w:style w:type="table" w:customStyle="1" w:styleId="Mriekatabuky5">
    <w:name w:val="Mriežka tabuľky5"/>
    <w:basedOn w:val="Normlnatabuka"/>
    <w:next w:val="Mriekatabuky"/>
    <w:uiPriority w:val="39"/>
    <w:rsid w:val="00D8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B0663"/>
    <w:rPr>
      <w:sz w:val="16"/>
      <w:szCs w:val="16"/>
    </w:rPr>
  </w:style>
  <w:style w:type="paragraph" w:styleId="Textkomentra">
    <w:name w:val="annotation text"/>
    <w:basedOn w:val="Normlny"/>
    <w:link w:val="TextkomentraChar"/>
    <w:uiPriority w:val="99"/>
    <w:semiHidden/>
    <w:unhideWhenUsed/>
    <w:rsid w:val="00EB0663"/>
    <w:pPr>
      <w:spacing w:line="240" w:lineRule="auto"/>
    </w:pPr>
    <w:rPr>
      <w:sz w:val="20"/>
      <w:szCs w:val="20"/>
    </w:rPr>
  </w:style>
  <w:style w:type="character" w:customStyle="1" w:styleId="TextkomentraChar">
    <w:name w:val="Text komentára Char"/>
    <w:basedOn w:val="Predvolenpsmoodseku"/>
    <w:link w:val="Textkomentra"/>
    <w:uiPriority w:val="99"/>
    <w:semiHidden/>
    <w:rsid w:val="00EB0663"/>
    <w:rPr>
      <w:sz w:val="20"/>
      <w:szCs w:val="20"/>
    </w:rPr>
  </w:style>
  <w:style w:type="paragraph" w:styleId="Predmetkomentra">
    <w:name w:val="annotation subject"/>
    <w:basedOn w:val="Textkomentra"/>
    <w:next w:val="Textkomentra"/>
    <w:link w:val="PredmetkomentraChar"/>
    <w:uiPriority w:val="99"/>
    <w:semiHidden/>
    <w:unhideWhenUsed/>
    <w:rsid w:val="00EB0663"/>
    <w:rPr>
      <w:b/>
      <w:bCs/>
    </w:rPr>
  </w:style>
  <w:style w:type="character" w:customStyle="1" w:styleId="PredmetkomentraChar">
    <w:name w:val="Predmet komentára Char"/>
    <w:basedOn w:val="TextkomentraChar"/>
    <w:link w:val="Predmetkomentra"/>
    <w:uiPriority w:val="99"/>
    <w:semiHidden/>
    <w:rsid w:val="00EB0663"/>
    <w:rPr>
      <w:b/>
      <w:bCs/>
      <w:sz w:val="20"/>
      <w:szCs w:val="20"/>
    </w:rPr>
  </w:style>
  <w:style w:type="table" w:customStyle="1" w:styleId="Mriekatabuky6">
    <w:name w:val="Mriežka tabuľky6"/>
    <w:basedOn w:val="Normlnatabuka"/>
    <w:next w:val="Mriekatabuky"/>
    <w:uiPriority w:val="39"/>
    <w:rsid w:val="0000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44992">
      <w:bodyDiv w:val="1"/>
      <w:marLeft w:val="0"/>
      <w:marRight w:val="0"/>
      <w:marTop w:val="0"/>
      <w:marBottom w:val="0"/>
      <w:divBdr>
        <w:top w:val="none" w:sz="0" w:space="0" w:color="auto"/>
        <w:left w:val="none" w:sz="0" w:space="0" w:color="auto"/>
        <w:bottom w:val="none" w:sz="0" w:space="0" w:color="auto"/>
        <w:right w:val="none" w:sz="0" w:space="0" w:color="auto"/>
      </w:divBdr>
    </w:div>
    <w:div w:id="898052148">
      <w:bodyDiv w:val="1"/>
      <w:marLeft w:val="0"/>
      <w:marRight w:val="0"/>
      <w:marTop w:val="0"/>
      <w:marBottom w:val="0"/>
      <w:divBdr>
        <w:top w:val="none" w:sz="0" w:space="0" w:color="auto"/>
        <w:left w:val="none" w:sz="0" w:space="0" w:color="auto"/>
        <w:bottom w:val="none" w:sz="0" w:space="0" w:color="auto"/>
        <w:right w:val="none" w:sz="0" w:space="0" w:color="auto"/>
      </w:divBdr>
    </w:div>
    <w:div w:id="12394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vyhladavanie-navrhov-aktov-eu?p_p_id=aktEUSearch_WAR_portletsel&amp;p_p_lifecycle=2&amp;p_p_state=normal&amp;p_p_mode=view&amp;p_p_cacheability=cacheLevelPage&amp;p_p_col_id=column-2&amp;p_p_col_count=1&amp;_aktEUSearch_WAR_portletsel_cooaddr=COO.2145.1000.3.4405070&amp;_aktEUSearch_WAR_portletsel_nazovSuboru=1_EN_impact_assessment_part2_v3.docx&amp;_aktEUSearch_WAR_portletsel_action=getFil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ybercompetence.sk/wp-content/uploads/dokumenty/ine/KCCKB-Cenni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egislativa@nbu.gov.s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onitoringmsp.sk/wp-content/uploads/2023/07/MSP_v_cislach_2022.pdf" TargetMode="External"/><Relationship Id="rId2" Type="http://schemas.openxmlformats.org/officeDocument/2006/relationships/hyperlink" Target="https://eidas.ec.europa.eu/efda/tl-browser/" TargetMode="External"/><Relationship Id="rId1" Type="http://schemas.openxmlformats.org/officeDocument/2006/relationships/hyperlink" Target="https://eidas.ec.europa.eu/efda/tl-browser/"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5_doložka_vybraných_vplyvov"/>
    <f:field ref="objsubject" par="" edit="true" text=""/>
    <f:field ref="objcreatedby" par="" text="Klačko, Lubomír"/>
    <f:field ref="objcreatedat" par="" text="12.7.2024 14:51:13"/>
    <f:field ref="objchangedby" par="" text="Administrator, System"/>
    <f:field ref="objmodifiedat" par="" text="12.7.2024 14:51: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8229ADF-1A3A-4529-B100-F9F15FA3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5386</Words>
  <Characters>30704</Characters>
  <Application>Microsoft Office Word</Application>
  <DocSecurity>0</DocSecurity>
  <Lines>255</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2024-09-05T07:31:00Z</dcterms:created>
  <dcterms:modified xsi:type="dcterms:W3CDTF">2024-09-19T07:35:00Z</dcterms:modified>
</cp:coreProperties>
</file>