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3463" w14:textId="77777777" w:rsidR="009039B9" w:rsidRPr="009F6EFF" w:rsidRDefault="009039B9" w:rsidP="002F2C75">
      <w:pPr>
        <w:widowControl/>
        <w:adjustRightInd/>
        <w:ind w:left="708" w:firstLine="708"/>
        <w:jc w:val="center"/>
        <w:rPr>
          <w:rFonts w:eastAsiaTheme="minorHAnsi"/>
          <w:color w:val="000000"/>
          <w:lang w:eastAsia="en-US"/>
        </w:rPr>
      </w:pPr>
      <w:r w:rsidRPr="009F6EFF">
        <w:rPr>
          <w:b/>
          <w:bCs/>
          <w:color w:val="000000" w:themeColor="text1"/>
          <w:sz w:val="28"/>
        </w:rPr>
        <w:t>Dôvodová správa</w:t>
      </w:r>
    </w:p>
    <w:p w14:paraId="01B879BC" w14:textId="77777777" w:rsidR="009039B9" w:rsidRPr="009F6EFF" w:rsidRDefault="009039B9" w:rsidP="009039B9">
      <w:pPr>
        <w:spacing w:after="100" w:afterAutospacing="1"/>
        <w:contextualSpacing/>
        <w:jc w:val="both"/>
        <w:rPr>
          <w:b/>
        </w:rPr>
      </w:pPr>
    </w:p>
    <w:p w14:paraId="1D22C484" w14:textId="77777777" w:rsidR="009039B9" w:rsidRPr="009F6EFF" w:rsidRDefault="009039B9" w:rsidP="009039B9">
      <w:pPr>
        <w:spacing w:after="100" w:afterAutospacing="1"/>
        <w:contextualSpacing/>
        <w:jc w:val="both"/>
        <w:rPr>
          <w:b/>
        </w:rPr>
      </w:pPr>
      <w:r w:rsidRPr="009F6EFF">
        <w:rPr>
          <w:b/>
        </w:rPr>
        <w:t>B. Osobitná časť</w:t>
      </w:r>
    </w:p>
    <w:p w14:paraId="59D9BDAB" w14:textId="77777777" w:rsidR="009039B9" w:rsidRPr="009F6EFF" w:rsidRDefault="009039B9" w:rsidP="009039B9">
      <w:pPr>
        <w:widowControl/>
        <w:spacing w:after="100" w:afterAutospacing="1"/>
        <w:contextualSpacing/>
        <w:jc w:val="both"/>
        <w:rPr>
          <w:b/>
          <w:color w:val="000000"/>
        </w:rPr>
      </w:pPr>
    </w:p>
    <w:p w14:paraId="114E1F11" w14:textId="77777777" w:rsidR="00780D3E" w:rsidRDefault="009039B9" w:rsidP="00780D3E">
      <w:pPr>
        <w:widowControl/>
        <w:spacing w:after="100" w:afterAutospacing="1"/>
        <w:contextualSpacing/>
        <w:jc w:val="both"/>
        <w:rPr>
          <w:b/>
          <w:color w:val="000000"/>
          <w:u w:val="single"/>
        </w:rPr>
      </w:pPr>
      <w:r w:rsidRPr="009F6EFF">
        <w:rPr>
          <w:b/>
          <w:color w:val="000000"/>
          <w:u w:val="single"/>
        </w:rPr>
        <w:t>K čl. I</w:t>
      </w:r>
    </w:p>
    <w:p w14:paraId="7D0A8FC3" w14:textId="77777777" w:rsidR="00780D3E" w:rsidRDefault="00780D3E" w:rsidP="00780D3E">
      <w:pPr>
        <w:widowControl/>
        <w:spacing w:after="100" w:afterAutospacing="1"/>
        <w:contextualSpacing/>
        <w:jc w:val="both"/>
        <w:rPr>
          <w:b/>
          <w:color w:val="000000"/>
          <w:u w:val="single"/>
        </w:rPr>
      </w:pPr>
    </w:p>
    <w:p w14:paraId="193A1BB6" w14:textId="4E2168E1" w:rsidR="00780D3E" w:rsidRPr="00780D3E" w:rsidRDefault="00046F8C" w:rsidP="009A2090">
      <w:pPr>
        <w:rPr>
          <w:rStyle w:val="Zstupntext"/>
          <w:b/>
          <w:color w:val="auto"/>
        </w:rPr>
      </w:pPr>
      <w:r>
        <w:rPr>
          <w:rStyle w:val="Zstupntext"/>
          <w:b/>
          <w:color w:val="auto"/>
        </w:rPr>
        <w:t>K bodom 1, 4, 7</w:t>
      </w:r>
      <w:r w:rsidR="001C6E6A">
        <w:rPr>
          <w:rStyle w:val="Zstupntext"/>
          <w:b/>
          <w:color w:val="auto"/>
        </w:rPr>
        <w:t>, 1</w:t>
      </w:r>
      <w:r w:rsidR="00F36F32">
        <w:rPr>
          <w:rStyle w:val="Zstupntext"/>
          <w:b/>
          <w:color w:val="auto"/>
        </w:rPr>
        <w:t>4</w:t>
      </w:r>
      <w:r w:rsidR="00571BC2">
        <w:rPr>
          <w:rStyle w:val="Zstupntext"/>
          <w:b/>
          <w:color w:val="auto"/>
        </w:rPr>
        <w:t xml:space="preserve"> až</w:t>
      </w:r>
      <w:r w:rsidR="00417E67">
        <w:rPr>
          <w:rStyle w:val="Zstupntext"/>
          <w:b/>
          <w:color w:val="auto"/>
        </w:rPr>
        <w:t xml:space="preserve"> 1</w:t>
      </w:r>
      <w:r w:rsidR="00571BC2">
        <w:rPr>
          <w:rStyle w:val="Zstupntext"/>
          <w:b/>
          <w:color w:val="auto"/>
        </w:rPr>
        <w:t>6</w:t>
      </w:r>
      <w:r w:rsidR="001C6E6A">
        <w:rPr>
          <w:rStyle w:val="Zstupntext"/>
          <w:b/>
          <w:color w:val="auto"/>
        </w:rPr>
        <w:t xml:space="preserve"> a 2</w:t>
      </w:r>
      <w:r w:rsidR="00571BC2">
        <w:rPr>
          <w:rStyle w:val="Zstupntext"/>
          <w:b/>
          <w:color w:val="auto"/>
        </w:rPr>
        <w:t>4</w:t>
      </w:r>
    </w:p>
    <w:p w14:paraId="6545CFEF" w14:textId="47D85C9C" w:rsidR="00977A0C" w:rsidRPr="009F6EFF" w:rsidRDefault="00977A0C" w:rsidP="00977A0C">
      <w:pPr>
        <w:autoSpaceDE w:val="0"/>
        <w:autoSpaceDN w:val="0"/>
        <w:jc w:val="both"/>
        <w:rPr>
          <w:rStyle w:val="Zstupntext"/>
          <w:b/>
          <w:color w:val="auto"/>
        </w:rPr>
      </w:pPr>
      <w:r w:rsidRPr="009F6EFF">
        <w:t>Legislatívno-technická úprava súvisiaca so zmenami nariadenia</w:t>
      </w:r>
      <w:r w:rsidR="008258D2" w:rsidRPr="008258D2">
        <w:t xml:space="preserve"> </w:t>
      </w:r>
      <w:r w:rsidR="008258D2" w:rsidRPr="00D56B33">
        <w:t>Európskeho parlamentu a Rady (EÚ) č. 910/2014 z 23. júla 2014 o elektronickej identifikácii a dôveryhodných službách pre elektronické transakcie na vnútornom trhu a o zrušení smernice 1999/93/ES (Ú. v. EÚ L 257, 28. 8. 2014) v platnom znení</w:t>
      </w:r>
      <w:r w:rsidR="008258D2">
        <w:t xml:space="preserve"> (ďalej len „nariadenie</w:t>
      </w:r>
      <w:r w:rsidR="008258D2" w:rsidRPr="001F5F92">
        <w:t xml:space="preserve"> (</w:t>
      </w:r>
      <w:r w:rsidR="008258D2">
        <w:t xml:space="preserve">EÚ) č. 910/2014 v platnom znení“), </w:t>
      </w:r>
      <w:r w:rsidRPr="009F6EFF">
        <w:t xml:space="preserve"> ktoré ma</w:t>
      </w:r>
      <w:r w:rsidR="00F80203">
        <w:t>jú</w:t>
      </w:r>
      <w:r w:rsidRPr="009F6EFF">
        <w:t xml:space="preserve"> vplyv na odkazy v poznámkach pod čiarou.</w:t>
      </w:r>
    </w:p>
    <w:p w14:paraId="4246F438" w14:textId="77777777" w:rsidR="00977A0C" w:rsidRDefault="00977A0C" w:rsidP="00A53759">
      <w:pPr>
        <w:pStyle w:val="Zkladntext2"/>
      </w:pPr>
    </w:p>
    <w:p w14:paraId="3713CD81" w14:textId="77777777" w:rsidR="00977A0C" w:rsidRPr="00977A0C" w:rsidRDefault="00977A0C" w:rsidP="00A53759">
      <w:pPr>
        <w:pStyle w:val="Zkladntext2"/>
        <w:rPr>
          <w:b/>
        </w:rPr>
      </w:pPr>
      <w:r w:rsidRPr="00977A0C">
        <w:rPr>
          <w:b/>
        </w:rPr>
        <w:t>K bodu 2</w:t>
      </w:r>
      <w:r>
        <w:rPr>
          <w:b/>
        </w:rPr>
        <w:t xml:space="preserve"> </w:t>
      </w:r>
    </w:p>
    <w:p w14:paraId="0DBF9A72" w14:textId="1AEC273F" w:rsidR="00DA3384" w:rsidRDefault="00B44B9F" w:rsidP="00A53759">
      <w:pPr>
        <w:pStyle w:val="Zkladntext2"/>
        <w:rPr>
          <w:vertAlign w:val="superscript"/>
        </w:rPr>
      </w:pPr>
      <w:r>
        <w:t>Rozširuje sa predmet zákona v súlade s návrhom zákona podľa ktorého</w:t>
      </w:r>
      <w:r w:rsidR="00F80203">
        <w:t>,</w:t>
      </w:r>
      <w:r>
        <w:t xml:space="preserve"> sa ustanovuje pôsobnosť Ministerstva vnútra Slovenskej republiky (ďalej len „ministerstvo vnútra“) v </w:t>
      </w:r>
      <w:r w:rsidRPr="008D3846">
        <w:t>obla</w:t>
      </w:r>
      <w:r>
        <w:t>sti elektronickej identifikácie</w:t>
      </w:r>
      <w:r w:rsidR="002B35D8">
        <w:t xml:space="preserve">. Ustanovujú sa podmienky poskytovania európskej digitálnej peňaženky digitálnej identity a povinnosti poskytovateľa </w:t>
      </w:r>
      <w:r w:rsidR="003958C8">
        <w:t xml:space="preserve">európskej digitálnej peňaženky digitálnej identity. Navrhovaná úprava vyplýva z </w:t>
      </w:r>
      <w:r w:rsidR="00DA3384" w:rsidRPr="00D56B33">
        <w:t xml:space="preserve">nariadenia </w:t>
      </w:r>
      <w:r w:rsidR="00AA79ED" w:rsidRPr="001F5F92">
        <w:t>(</w:t>
      </w:r>
      <w:r w:rsidR="00AA79ED">
        <w:t>EÚ) č. 910/2014 v platnom znení,</w:t>
      </w:r>
      <w:r w:rsidR="00AA79ED" w:rsidRPr="00D56B33" w:rsidDel="008258D2">
        <w:t xml:space="preserve"> </w:t>
      </w:r>
      <w:r w:rsidR="0035043D">
        <w:t>ktoré sa vykonáva návrhom zákona</w:t>
      </w:r>
      <w:r w:rsidR="00DA3384" w:rsidRPr="00D56B33">
        <w:t>.</w:t>
      </w:r>
      <w:r w:rsidR="00DA3384" w:rsidRPr="00D56B33">
        <w:rPr>
          <w:vertAlign w:val="superscript"/>
        </w:rPr>
        <w:t xml:space="preserve"> </w:t>
      </w:r>
    </w:p>
    <w:p w14:paraId="04BBE68F" w14:textId="265D6082" w:rsidR="00655449" w:rsidRPr="009F6EFF" w:rsidRDefault="00655449" w:rsidP="00F040CA">
      <w:pPr>
        <w:rPr>
          <w:rStyle w:val="Zstupntext"/>
          <w:b/>
          <w:color w:val="auto"/>
        </w:rPr>
      </w:pPr>
      <w:r w:rsidRPr="009F6EFF">
        <w:rPr>
          <w:rStyle w:val="Zstupntext"/>
          <w:b/>
          <w:color w:val="auto"/>
        </w:rPr>
        <w:t>K</w:t>
      </w:r>
      <w:r w:rsidR="000368A7">
        <w:rPr>
          <w:rStyle w:val="Zstupntext"/>
          <w:b/>
          <w:color w:val="auto"/>
        </w:rPr>
        <w:t> </w:t>
      </w:r>
      <w:r w:rsidRPr="009F6EFF">
        <w:rPr>
          <w:rStyle w:val="Zstupntext"/>
          <w:b/>
          <w:color w:val="auto"/>
        </w:rPr>
        <w:t>bod</w:t>
      </w:r>
      <w:r w:rsidR="00E85AF2">
        <w:rPr>
          <w:rStyle w:val="Zstupntext"/>
          <w:b/>
          <w:color w:val="auto"/>
        </w:rPr>
        <w:t>u</w:t>
      </w:r>
      <w:r w:rsidR="000368A7">
        <w:rPr>
          <w:rStyle w:val="Zstupntext"/>
          <w:b/>
          <w:color w:val="auto"/>
        </w:rPr>
        <w:t xml:space="preserve"> 3</w:t>
      </w:r>
    </w:p>
    <w:p w14:paraId="3788AE3A" w14:textId="254D7535" w:rsidR="007C1C8E" w:rsidRPr="009F6EFF" w:rsidRDefault="000368A7" w:rsidP="00C540CD">
      <w:pPr>
        <w:autoSpaceDE w:val="0"/>
        <w:autoSpaceDN w:val="0"/>
        <w:jc w:val="both"/>
        <w:rPr>
          <w:rStyle w:val="Zstupntext"/>
          <w:b/>
          <w:color w:val="auto"/>
        </w:rPr>
      </w:pPr>
      <w:r>
        <w:t>Ide o zosúladenie pojm</w:t>
      </w:r>
      <w:r w:rsidR="009335B7">
        <w:t xml:space="preserve">u „preukaz totožnosti“ </w:t>
      </w:r>
      <w:r>
        <w:t>so zákonom č. 395/2019 Z. z. o občianskych preukazoch a o zmene a doplnení niektorých zákonov v znení neskorších predpisov a</w:t>
      </w:r>
      <w:r w:rsidR="009335B7">
        <w:t xml:space="preserve"> pojmu „cestovný pas“ </w:t>
      </w:r>
      <w:r>
        <w:t>so zákonom č. 647/2007 Z. z. o cestovných dokladoch a o zmene a doplnení niektorých zákonov v znení neskorších predpisov</w:t>
      </w:r>
      <w:r w:rsidR="00D02DC5" w:rsidRPr="009F6EFF">
        <w:t>.</w:t>
      </w:r>
    </w:p>
    <w:p w14:paraId="1190BC58" w14:textId="77777777" w:rsidR="00655449" w:rsidRPr="00C318A4" w:rsidRDefault="00655449" w:rsidP="009039B9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</w:p>
    <w:p w14:paraId="78962434" w14:textId="22DE25FB" w:rsidR="009039B9" w:rsidRPr="009F6EFF" w:rsidRDefault="00D87D7B" w:rsidP="00F040CA">
      <w:pPr>
        <w:rPr>
          <w:rStyle w:val="Zstupntext"/>
          <w:b/>
          <w:color w:val="auto"/>
        </w:rPr>
      </w:pPr>
      <w:r w:rsidRPr="009F6EFF">
        <w:rPr>
          <w:rStyle w:val="Zstupntext"/>
          <w:b/>
          <w:color w:val="auto"/>
        </w:rPr>
        <w:t xml:space="preserve">K bodu </w:t>
      </w:r>
      <w:r w:rsidR="0035043D">
        <w:rPr>
          <w:rStyle w:val="Zstupntext"/>
          <w:b/>
          <w:color w:val="auto"/>
        </w:rPr>
        <w:t>5</w:t>
      </w:r>
    </w:p>
    <w:p w14:paraId="32F7CD7C" w14:textId="7250F352" w:rsidR="009039B9" w:rsidRPr="009F6EFF" w:rsidRDefault="00D87D7B" w:rsidP="009039B9">
      <w:pPr>
        <w:autoSpaceDE w:val="0"/>
        <w:autoSpaceDN w:val="0"/>
        <w:jc w:val="both"/>
      </w:pPr>
      <w:r w:rsidRPr="009F6EFF">
        <w:t>S cieľom digitalizácie výkonu verejnej správy, sledovania princíp</w:t>
      </w:r>
      <w:r w:rsidR="005571C4" w:rsidRPr="009F6EFF">
        <w:t xml:space="preserve">u hospodárnosti a efektívnosti </w:t>
      </w:r>
      <w:r w:rsidRPr="009F6EFF">
        <w:t>sa vypúšťa možnosť listinnej podoby formulára</w:t>
      </w:r>
      <w:r w:rsidR="005571C4" w:rsidRPr="009F6EFF">
        <w:t>, ktorý oznamuje zámer poskytovať kvalifikovanú dôveryhodnú službu.</w:t>
      </w:r>
      <w:r w:rsidRPr="009F6EFF">
        <w:t xml:space="preserve"> </w:t>
      </w:r>
      <w:r w:rsidR="00954617">
        <w:t xml:space="preserve">Navrhovaný ods. 1 písm. </w:t>
      </w:r>
      <w:r w:rsidR="00F85EF3">
        <w:t>c</w:t>
      </w:r>
      <w:r w:rsidR="00954617">
        <w:t>) vyplýva z </w:t>
      </w:r>
      <w:r w:rsidR="00B94F17" w:rsidRPr="009F6EFF">
        <w:t>nariadenia</w:t>
      </w:r>
      <w:r w:rsidR="00FF7BC5" w:rsidRPr="009F6EFF">
        <w:t xml:space="preserve"> (EÚ) </w:t>
      </w:r>
      <w:r w:rsidRPr="009F6EFF">
        <w:t>č. 910/2014</w:t>
      </w:r>
      <w:r w:rsidR="00B94F17" w:rsidRPr="009F6EFF">
        <w:t xml:space="preserve"> v platnom znení, ktoré</w:t>
      </w:r>
      <w:r w:rsidRPr="009F6EFF">
        <w:t xml:space="preserve"> ukladá povinnosť predkladať pred udelením štatútu audit o splnení požiadaviek stanovených v článku 21 smernice </w:t>
      </w:r>
      <w:r w:rsidR="00D5222B">
        <w:t xml:space="preserve">Európskeho parlamentu a Rady </w:t>
      </w:r>
      <w:r w:rsidRPr="009F6EFF">
        <w:t>(EÚ) 2022/2555</w:t>
      </w:r>
      <w:r w:rsidR="00954617">
        <w:t xml:space="preserve"> </w:t>
      </w:r>
      <w:r w:rsidR="00D5222B">
        <w:t>zo 14. decembra 2022 o opatreniach na zabezpečenie vysokej spoločnej úrovne kybernetickej bezpečnosti v Únii, ktorou sa mení nariadenie (EÚ)</w:t>
      </w:r>
      <w:r w:rsidR="00FB2F8D">
        <w:t xml:space="preserve"> č.</w:t>
      </w:r>
      <w:r w:rsidR="00C7193A">
        <w:t> </w:t>
      </w:r>
      <w:r w:rsidR="00D5222B">
        <w:t xml:space="preserve"> 910</w:t>
      </w:r>
      <w:r w:rsidR="00FB2F8D">
        <w:t>/2014 a smernica (EÚ) 2018/1972 a zrušuje smernica (EÚ) 2016/1148 (smernica NIS 2) (Ú. v. EÚ L 333, 27.</w:t>
      </w:r>
      <w:r w:rsidR="00D7542F">
        <w:t xml:space="preserve"> </w:t>
      </w:r>
      <w:r w:rsidR="00FB2F8D">
        <w:t>12.</w:t>
      </w:r>
      <w:r w:rsidR="00D7542F">
        <w:t xml:space="preserve"> </w:t>
      </w:r>
      <w:r w:rsidR="00FB2F8D">
        <w:t>2022 [ďalej len „smernica (EÚ) 2022/2555“]</w:t>
      </w:r>
      <w:r w:rsidRPr="009F6EFF">
        <w:t>. Transponovaním smernice (EÚ) 2022/2555 do právneho poriadku Slovenskej republiky je táto podmienka splnená auditom kybernetickej bezpečnosti podľa</w:t>
      </w:r>
      <w:r w:rsidR="00B744D9">
        <w:t xml:space="preserve"> čl. </w:t>
      </w:r>
      <w:r w:rsidR="00B744D9" w:rsidRPr="00B744D9">
        <w:t>21 ods. 1 nariadenia (EÚ) č. 910/2014 v platnom znení</w:t>
      </w:r>
      <w:r w:rsidR="00B744D9">
        <w:t xml:space="preserve"> alebo podľa</w:t>
      </w:r>
      <w:r w:rsidRPr="009F6EFF">
        <w:t xml:space="preserve"> § 29 zákona č. 69/2018 Z. z. o kybernetickej bezpečnosti a o zmene a doplnení niektorých zákonov v znení </w:t>
      </w:r>
      <w:r w:rsidR="00F85EF3">
        <w:t>neskorších predpisov</w:t>
      </w:r>
      <w:r w:rsidR="000F6A01" w:rsidRPr="009F6EFF">
        <w:t>.</w:t>
      </w:r>
    </w:p>
    <w:p w14:paraId="6792EBC8" w14:textId="77777777" w:rsidR="000F6A01" w:rsidRPr="009F6EFF" w:rsidRDefault="000F6A01" w:rsidP="009039B9">
      <w:pPr>
        <w:autoSpaceDE w:val="0"/>
        <w:autoSpaceDN w:val="0"/>
        <w:jc w:val="both"/>
      </w:pPr>
    </w:p>
    <w:p w14:paraId="0A6C3A6A" w14:textId="2693871A" w:rsidR="000F6A01" w:rsidRPr="009F6EFF" w:rsidRDefault="000F6A01" w:rsidP="00F040CA">
      <w:pPr>
        <w:pStyle w:val="Nadpis2"/>
        <w:rPr>
          <w:rStyle w:val="Zstupntext"/>
          <w:b w:val="0"/>
          <w:color w:val="auto"/>
        </w:rPr>
      </w:pPr>
      <w:r w:rsidRPr="009F6EFF">
        <w:rPr>
          <w:rStyle w:val="Zstupntext"/>
          <w:color w:val="auto"/>
        </w:rPr>
        <w:t xml:space="preserve">K bodu </w:t>
      </w:r>
      <w:r w:rsidR="00AA7B42">
        <w:rPr>
          <w:rStyle w:val="Zstupntext"/>
          <w:color w:val="auto"/>
        </w:rPr>
        <w:t>6</w:t>
      </w:r>
    </w:p>
    <w:p w14:paraId="7509B76A" w14:textId="04B2C318" w:rsidR="00ED26CF" w:rsidRDefault="009540E9" w:rsidP="009039B9">
      <w:pPr>
        <w:autoSpaceDE w:val="0"/>
        <w:autoSpaceDN w:val="0"/>
        <w:jc w:val="both"/>
      </w:pPr>
      <w:r w:rsidRPr="009F6EFF">
        <w:t>Navrhovan</w:t>
      </w:r>
      <w:r w:rsidR="00710733">
        <w:t xml:space="preserve">é ustanovenie § 3 ods. 4 </w:t>
      </w:r>
      <w:r w:rsidRPr="009F6EFF">
        <w:t>je implementáciou č</w:t>
      </w:r>
      <w:r w:rsidR="00C7193A">
        <w:t>l. 20</w:t>
      </w:r>
      <w:r w:rsidR="000F6A01" w:rsidRPr="009F6EFF">
        <w:t xml:space="preserve"> ods. 1 nariadenia (EÚ) č. 910/2014</w:t>
      </w:r>
      <w:r w:rsidRPr="009F6EFF">
        <w:t xml:space="preserve"> v platnom znení, ktorý </w:t>
      </w:r>
      <w:r w:rsidR="000F6A01" w:rsidRPr="009F6EFF">
        <w:t>ukladá povinnosť prevádzkovateľom základnej služby</w:t>
      </w:r>
      <w:r w:rsidR="00AA7B42">
        <w:t xml:space="preserve"> plniť povinnosti vyplývajúce z vyššie citovaného ustanovenia </w:t>
      </w:r>
      <w:r w:rsidR="000F6A01" w:rsidRPr="009F6EFF">
        <w:t xml:space="preserve"> </w:t>
      </w:r>
      <w:r w:rsidR="00ED26CF" w:rsidRPr="009F6EFF">
        <w:t xml:space="preserve">nariadenia (EÚ) č. 910/2014 v platnom znení </w:t>
      </w:r>
      <w:r w:rsidR="00ED26CF">
        <w:t xml:space="preserve">. Súčasne sa ustanovuje notifikačná povinnosť kvalifikovaného poskytovateľa dôveryhodnej služby, ktorú si plní prostredníctvom formulára, ktorý úrad zverejní na </w:t>
      </w:r>
      <w:r w:rsidR="00710733">
        <w:t xml:space="preserve">svojom </w:t>
      </w:r>
      <w:r w:rsidR="00ED26CF">
        <w:t>webovom sídle.</w:t>
      </w:r>
    </w:p>
    <w:p w14:paraId="10CE6595" w14:textId="6DCD68E0" w:rsidR="000F6A01" w:rsidRPr="009F6EFF" w:rsidRDefault="00710733" w:rsidP="009039B9">
      <w:pPr>
        <w:autoSpaceDE w:val="0"/>
        <w:autoSpaceDN w:val="0"/>
        <w:jc w:val="both"/>
      </w:pPr>
      <w:r>
        <w:t xml:space="preserve">Ustanovenie odseku 5 </w:t>
      </w:r>
      <w:r w:rsidR="00811A36">
        <w:t>ustanovuje povinnosť kvalifikovaného poskytovateľa dôveryhodnej služby oznámiť úradu každú zmenu</w:t>
      </w:r>
      <w:r w:rsidR="00811A36" w:rsidRPr="00811A36">
        <w:t xml:space="preserve"> </w:t>
      </w:r>
      <w:r w:rsidR="00811A36" w:rsidRPr="007E73C0">
        <w:t>v poskytovaní kvalifikovanej dôveryhodnej služby</w:t>
      </w:r>
      <w:r w:rsidR="00811A36">
        <w:t xml:space="preserve"> </w:t>
      </w:r>
      <w:r w:rsidR="00811A36">
        <w:lastRenderedPageBreak/>
        <w:t>prostredníctvom elektronického formulár</w:t>
      </w:r>
      <w:r w:rsidR="00A61BD4">
        <w:t>a</w:t>
      </w:r>
      <w:r w:rsidR="00811A36" w:rsidRPr="002811B7">
        <w:t>, ktorý úrad zverejní na svojom webovom sídle</w:t>
      </w:r>
      <w:r w:rsidR="00811A36">
        <w:t xml:space="preserve">, a predložiť </w:t>
      </w:r>
      <w:r w:rsidR="008D101F">
        <w:t xml:space="preserve">úradu aktualizovaný </w:t>
      </w:r>
      <w:r w:rsidR="008D101F" w:rsidRPr="008D101F">
        <w:t>certifikát príslušnej kvalifikovanej dôveryhodne</w:t>
      </w:r>
      <w:r w:rsidR="008D101F">
        <w:t xml:space="preserve">j služby v elektronickej podobe a </w:t>
      </w:r>
      <w:r w:rsidR="000F6A01" w:rsidRPr="009F6EFF">
        <w:t>záverečn</w:t>
      </w:r>
      <w:r w:rsidR="008D101F">
        <w:t>ú</w:t>
      </w:r>
      <w:r w:rsidR="000F6A01" w:rsidRPr="009F6EFF">
        <w:t xml:space="preserve"> správ</w:t>
      </w:r>
      <w:r w:rsidR="008D101F">
        <w:t>u</w:t>
      </w:r>
      <w:r w:rsidR="000F6A01" w:rsidRPr="009F6EFF">
        <w:t xml:space="preserve"> z auditov</w:t>
      </w:r>
      <w:r w:rsidR="00C7193A">
        <w:t xml:space="preserve"> orgánu dohľadu</w:t>
      </w:r>
      <w:r w:rsidR="00761949" w:rsidRPr="00761949">
        <w:t xml:space="preserve"> o výsledkoch auditu kybernetickej bezpečnost</w:t>
      </w:r>
      <w:r w:rsidR="00761949">
        <w:t xml:space="preserve">i podľa osobitného predpisu, </w:t>
      </w:r>
      <w:r w:rsidR="00761949" w:rsidRPr="00761949">
        <w:t>v elektronickej podobe</w:t>
      </w:r>
      <w:r w:rsidR="00761949">
        <w:t xml:space="preserve">, ktorá je splnená auditom </w:t>
      </w:r>
      <w:r w:rsidR="00761949" w:rsidRPr="00761949">
        <w:t>kybernetickej bezpečnosti podľa § 29 zákona č. 69/2018 Z. z. o kybernetickej bezpečnosti a o zmene a doplnení niektorých zákonov v znení neskorších predpisov</w:t>
      </w:r>
      <w:r w:rsidR="00761949">
        <w:t>.</w:t>
      </w:r>
    </w:p>
    <w:p w14:paraId="591BB335" w14:textId="77777777" w:rsidR="009039B9" w:rsidRPr="009F6EFF" w:rsidRDefault="009039B9" w:rsidP="009039B9">
      <w:pPr>
        <w:spacing w:after="100" w:afterAutospacing="1"/>
        <w:contextualSpacing/>
        <w:jc w:val="both"/>
      </w:pPr>
    </w:p>
    <w:p w14:paraId="12DFCFAE" w14:textId="42221524" w:rsidR="000903EB" w:rsidRPr="009F6EFF" w:rsidRDefault="000903EB">
      <w:r w:rsidRPr="009F6EFF">
        <w:rPr>
          <w:rStyle w:val="Zstupntext"/>
          <w:b/>
          <w:color w:val="auto"/>
        </w:rPr>
        <w:t xml:space="preserve">K bodu </w:t>
      </w:r>
      <w:r w:rsidR="00DF3795">
        <w:rPr>
          <w:rStyle w:val="Zstupntext"/>
          <w:b/>
          <w:color w:val="auto"/>
        </w:rPr>
        <w:t>8</w:t>
      </w:r>
    </w:p>
    <w:p w14:paraId="2F2EF63E" w14:textId="77777777" w:rsidR="009039B9" w:rsidRDefault="00012A12" w:rsidP="009039B9">
      <w:pPr>
        <w:widowControl/>
        <w:spacing w:after="100" w:afterAutospacing="1"/>
        <w:contextualSpacing/>
        <w:jc w:val="both"/>
      </w:pPr>
      <w:r>
        <w:t>Nariadenie</w:t>
      </w:r>
      <w:r w:rsidR="005E2CCB" w:rsidRPr="009F6EFF">
        <w:t xml:space="preserve"> (EÚ) č. 910/2014 </w:t>
      </w:r>
      <w:r>
        <w:t>v platnom znení</w:t>
      </w:r>
      <w:r w:rsidR="00E1663A" w:rsidRPr="009F6EFF">
        <w:t xml:space="preserve"> špecifik</w:t>
      </w:r>
      <w:r>
        <w:t>uje</w:t>
      </w:r>
      <w:r w:rsidR="00E1663A" w:rsidRPr="009F6EFF">
        <w:t xml:space="preserve"> </w:t>
      </w:r>
      <w:r w:rsidRPr="009F6EFF">
        <w:t xml:space="preserve">v čl. 24 ods. 2 písm. a) </w:t>
      </w:r>
      <w:r w:rsidR="00050A9E">
        <w:t xml:space="preserve">v platnom znení </w:t>
      </w:r>
      <w:r>
        <w:t>lehotu</w:t>
      </w:r>
      <w:r w:rsidR="00E1663A" w:rsidRPr="009F6EFF">
        <w:t xml:space="preserve"> na oznámenie</w:t>
      </w:r>
      <w:r w:rsidR="005E2CCB" w:rsidRPr="009F6EFF">
        <w:t xml:space="preserve"> zmien v poskytovaných kvalifikovaných službách</w:t>
      </w:r>
      <w:r w:rsidR="00C50BFB">
        <w:t>,</w:t>
      </w:r>
      <w:r w:rsidR="00B00C42">
        <w:t xml:space="preserve"> čím zanikla potreba úpravy tohto procesu v národnej </w:t>
      </w:r>
      <w:r w:rsidR="00C50BFB">
        <w:t xml:space="preserve">legislatíve. </w:t>
      </w:r>
      <w:r w:rsidR="006D4835">
        <w:t>Zároveň sa rušia ustanovenia o povinných hláseniach poskytovateľov dôveryhodných služieb o vydaných certifikátov, keďže nariadenie</w:t>
      </w:r>
      <w:r w:rsidR="006D4835" w:rsidRPr="009F6EFF">
        <w:t xml:space="preserve"> (EÚ) č.</w:t>
      </w:r>
      <w:r w:rsidR="00040DED">
        <w:t> </w:t>
      </w:r>
      <w:r w:rsidR="006D4835" w:rsidRPr="009F6EFF">
        <w:t xml:space="preserve">910/2014 </w:t>
      </w:r>
      <w:r w:rsidR="006D4835">
        <w:t>v platnom znení</w:t>
      </w:r>
      <w:r w:rsidR="006D4835" w:rsidRPr="009F6EFF">
        <w:t xml:space="preserve"> </w:t>
      </w:r>
      <w:r w:rsidR="00FD38AD">
        <w:t>ukladá</w:t>
      </w:r>
      <w:r w:rsidR="006D4835" w:rsidRPr="009F6EFF">
        <w:t xml:space="preserve"> </w:t>
      </w:r>
      <w:r w:rsidR="004B5114">
        <w:t>v</w:t>
      </w:r>
      <w:r w:rsidR="006D4835" w:rsidRPr="009F6EFF">
        <w:t xml:space="preserve"> čl. 24 ods. 2 písm. </w:t>
      </w:r>
      <w:r w:rsidR="00FD38AD">
        <w:t>5</w:t>
      </w:r>
      <w:r w:rsidR="006D4835" w:rsidRPr="009F6EFF">
        <w:t>)</w:t>
      </w:r>
      <w:r w:rsidR="00FD38AD">
        <w:t xml:space="preserve"> každému</w:t>
      </w:r>
      <w:r w:rsidR="006C1F68">
        <w:t>, kto vydáva kvalifikované certifikáty</w:t>
      </w:r>
      <w:r w:rsidR="00040DED">
        <w:t>,</w:t>
      </w:r>
      <w:r w:rsidR="00A632F2">
        <w:t xml:space="preserve"> </w:t>
      </w:r>
      <w:r w:rsidR="00FD38AD">
        <w:t xml:space="preserve">zriadiť a aktualizovať databázu vydaných </w:t>
      </w:r>
      <w:r w:rsidR="006C1F68">
        <w:t>certifikátov.</w:t>
      </w:r>
      <w:r w:rsidR="004B5114" w:rsidRPr="004B5114">
        <w:t xml:space="preserve"> </w:t>
      </w:r>
      <w:r w:rsidR="004B5114" w:rsidRPr="009F6EFF">
        <w:t>Návrhom sa zabraňuje duplicite ustanovení v zákone s nariadením (EÚ) č. 910/2014</w:t>
      </w:r>
      <w:r w:rsidR="004B5114">
        <w:t xml:space="preserve"> v platnom znení</w:t>
      </w:r>
      <w:r w:rsidR="004B5114" w:rsidRPr="009F6EFF">
        <w:t>.</w:t>
      </w:r>
    </w:p>
    <w:p w14:paraId="37A96C8F" w14:textId="77777777" w:rsidR="004B5114" w:rsidRPr="009F6EFF" w:rsidRDefault="004B5114" w:rsidP="009039B9">
      <w:pPr>
        <w:widowControl/>
        <w:spacing w:after="100" w:afterAutospacing="1"/>
        <w:contextualSpacing/>
        <w:jc w:val="both"/>
      </w:pPr>
    </w:p>
    <w:p w14:paraId="6553324E" w14:textId="3D642AB6" w:rsidR="00E85AF2" w:rsidRDefault="00E85AF2" w:rsidP="00F040CA">
      <w:pPr>
        <w:rPr>
          <w:rStyle w:val="Zstupntext"/>
          <w:b/>
          <w:color w:val="auto"/>
        </w:rPr>
      </w:pPr>
      <w:r>
        <w:rPr>
          <w:rStyle w:val="Zstupntext"/>
          <w:b/>
          <w:color w:val="auto"/>
        </w:rPr>
        <w:t>K bodu 9</w:t>
      </w:r>
    </w:p>
    <w:p w14:paraId="3557B448" w14:textId="14DA700C" w:rsidR="00E85AF2" w:rsidRPr="009F6EFF" w:rsidRDefault="00E85AF2" w:rsidP="00E85AF2">
      <w:pPr>
        <w:autoSpaceDE w:val="0"/>
        <w:autoSpaceDN w:val="0"/>
        <w:jc w:val="both"/>
        <w:rPr>
          <w:rStyle w:val="Zstupntext"/>
          <w:b/>
          <w:color w:val="auto"/>
        </w:rPr>
      </w:pPr>
      <w:r>
        <w:t xml:space="preserve">Ide o zosúladenie pojmu </w:t>
      </w:r>
      <w:r w:rsidR="009335B7">
        <w:t>„</w:t>
      </w:r>
      <w:r>
        <w:t>cestovný pas</w:t>
      </w:r>
      <w:r w:rsidR="009335B7">
        <w:t>“</w:t>
      </w:r>
      <w:r>
        <w:t xml:space="preserve"> so zákonom</w:t>
      </w:r>
      <w:r w:rsidR="009335B7">
        <w:t xml:space="preserve"> č. 647/2007 Z. z. </w:t>
      </w:r>
      <w:r w:rsidR="003425AE">
        <w:t xml:space="preserve"> </w:t>
      </w:r>
      <w:r>
        <w:t>o cestovných dokladoch a o zmene a doplnení niektorých zákonov v znení neskorších predpisov</w:t>
      </w:r>
      <w:r w:rsidRPr="009F6EFF">
        <w:t>.</w:t>
      </w:r>
    </w:p>
    <w:p w14:paraId="258D259B" w14:textId="77777777" w:rsidR="002E669F" w:rsidRDefault="002E669F" w:rsidP="00F040CA">
      <w:pPr>
        <w:rPr>
          <w:rStyle w:val="Zstupntext"/>
          <w:b/>
          <w:color w:val="auto"/>
        </w:rPr>
      </w:pPr>
    </w:p>
    <w:p w14:paraId="602A0BC7" w14:textId="49413320" w:rsidR="00F36F32" w:rsidRDefault="00F36F32" w:rsidP="00F040CA">
      <w:pPr>
        <w:rPr>
          <w:rStyle w:val="Zstupntext"/>
          <w:b/>
          <w:color w:val="auto"/>
        </w:rPr>
      </w:pPr>
      <w:r>
        <w:rPr>
          <w:rStyle w:val="Zstupntext"/>
          <w:b/>
          <w:color w:val="auto"/>
        </w:rPr>
        <w:t>K bodu 10</w:t>
      </w:r>
    </w:p>
    <w:p w14:paraId="75FF9E28" w14:textId="54DE78AC" w:rsidR="00F36F32" w:rsidRPr="00977F41" w:rsidRDefault="009A789D" w:rsidP="00F040CA">
      <w:pPr>
        <w:rPr>
          <w:rStyle w:val="Zstupntext"/>
          <w:color w:val="auto"/>
        </w:rPr>
      </w:pPr>
      <w:r w:rsidRPr="00977F41">
        <w:rPr>
          <w:rStyle w:val="Zstupntext"/>
          <w:color w:val="auto"/>
        </w:rPr>
        <w:t>Z</w:t>
      </w:r>
      <w:r w:rsidR="008A464E" w:rsidRPr="00977F41">
        <w:rPr>
          <w:rStyle w:val="Zstupntext"/>
          <w:color w:val="auto"/>
        </w:rPr>
        <w:t>verejnenie</w:t>
      </w:r>
      <w:r w:rsidRPr="00977F41">
        <w:rPr>
          <w:rStyle w:val="Zstupntext"/>
          <w:color w:val="auto"/>
        </w:rPr>
        <w:t xml:space="preserve"> zoznamu</w:t>
      </w:r>
      <w:r w:rsidR="00180630" w:rsidRPr="00977F41">
        <w:rPr>
          <w:rStyle w:val="Zstupntext"/>
          <w:color w:val="auto"/>
        </w:rPr>
        <w:t xml:space="preserve"> oprávnení </w:t>
      </w:r>
      <w:r w:rsidR="004C6233" w:rsidRPr="00977F41">
        <w:rPr>
          <w:rStyle w:val="Zstupntext"/>
          <w:color w:val="auto"/>
        </w:rPr>
        <w:t xml:space="preserve">v strojovo spracovateľnej podobe umožňuje </w:t>
      </w:r>
      <w:r w:rsidR="005855AC" w:rsidRPr="00977F41">
        <w:rPr>
          <w:rStyle w:val="Zstupntext"/>
          <w:color w:val="auto"/>
        </w:rPr>
        <w:t xml:space="preserve">automatizované spracovanie </w:t>
      </w:r>
      <w:r w:rsidR="009535E1" w:rsidRPr="00977F41">
        <w:rPr>
          <w:rStyle w:val="Zstupntext"/>
          <w:color w:val="auto"/>
        </w:rPr>
        <w:t>dát</w:t>
      </w:r>
      <w:r w:rsidR="008A464E" w:rsidRPr="00977F41">
        <w:rPr>
          <w:rStyle w:val="Zstupntext"/>
          <w:color w:val="auto"/>
        </w:rPr>
        <w:t>,</w:t>
      </w:r>
      <w:r w:rsidR="009535E1" w:rsidRPr="00977F41">
        <w:rPr>
          <w:rStyle w:val="Zstupntext"/>
          <w:color w:val="auto"/>
        </w:rPr>
        <w:t xml:space="preserve"> čo vedie k</w:t>
      </w:r>
      <w:r w:rsidR="00DD5CBC" w:rsidRPr="00977F41">
        <w:rPr>
          <w:rStyle w:val="Zstupntext"/>
          <w:color w:val="auto"/>
        </w:rPr>
        <w:t xml:space="preserve"> ich</w:t>
      </w:r>
      <w:r w:rsidR="009535E1" w:rsidRPr="00977F41">
        <w:rPr>
          <w:rStyle w:val="Zstupntext"/>
          <w:color w:val="auto"/>
        </w:rPr>
        <w:t xml:space="preserve"> efektívnejšiemu </w:t>
      </w:r>
      <w:r w:rsidR="00DD5CBC" w:rsidRPr="00977F41">
        <w:rPr>
          <w:rStyle w:val="Zstupntext"/>
          <w:color w:val="auto"/>
        </w:rPr>
        <w:t>využívaniu vo verejných elektronických službách.</w:t>
      </w:r>
    </w:p>
    <w:p w14:paraId="027EA644" w14:textId="77777777" w:rsidR="00DD5CBC" w:rsidRPr="00977F41" w:rsidRDefault="00DD5CBC" w:rsidP="00F040CA">
      <w:pPr>
        <w:rPr>
          <w:rStyle w:val="Zstupntext"/>
          <w:color w:val="auto"/>
        </w:rPr>
      </w:pPr>
    </w:p>
    <w:p w14:paraId="6E7C16FC" w14:textId="2796322B" w:rsidR="000B57A8" w:rsidRPr="009F6EFF" w:rsidRDefault="00235437" w:rsidP="00F040CA">
      <w:pPr>
        <w:rPr>
          <w:rStyle w:val="Zstupntext"/>
          <w:b/>
          <w:color w:val="auto"/>
        </w:rPr>
      </w:pPr>
      <w:r w:rsidRPr="009F6EFF">
        <w:rPr>
          <w:rStyle w:val="Zstupntext"/>
          <w:b/>
          <w:color w:val="auto"/>
        </w:rPr>
        <w:t>K bodu</w:t>
      </w:r>
      <w:r w:rsidR="000B57A8" w:rsidRPr="009F6EFF">
        <w:rPr>
          <w:rStyle w:val="Zstupntext"/>
          <w:b/>
          <w:color w:val="auto"/>
        </w:rPr>
        <w:t xml:space="preserve"> </w:t>
      </w:r>
      <w:r w:rsidR="00014E4A">
        <w:rPr>
          <w:rStyle w:val="Zstupntext"/>
          <w:b/>
          <w:color w:val="auto"/>
        </w:rPr>
        <w:t>1</w:t>
      </w:r>
      <w:r w:rsidR="00F36F32">
        <w:rPr>
          <w:rStyle w:val="Zstupntext"/>
          <w:b/>
          <w:color w:val="auto"/>
        </w:rPr>
        <w:t>1</w:t>
      </w:r>
    </w:p>
    <w:p w14:paraId="298AB71C" w14:textId="458462E4" w:rsidR="005828D8" w:rsidRDefault="00014E4A" w:rsidP="00451D5C">
      <w:pPr>
        <w:jc w:val="both"/>
      </w:pPr>
      <w:r>
        <w:t>Ustanovenie § 1</w:t>
      </w:r>
      <w:r w:rsidR="00F36F32">
        <w:t>1</w:t>
      </w:r>
      <w:r>
        <w:t xml:space="preserve"> upravuje podmienky poskytovania eur</w:t>
      </w:r>
      <w:r w:rsidR="00C3731E">
        <w:t>ópskej peňaženky digitál</w:t>
      </w:r>
      <w:r>
        <w:t xml:space="preserve">nej identity a povinnosti poskytovateľa </w:t>
      </w:r>
      <w:r w:rsidR="00C3731E">
        <w:t xml:space="preserve">európskej peňaženky digitálnej identity  </w:t>
      </w:r>
      <w:r w:rsidR="00CC32C1">
        <w:t>Ministerstvo vnútra</w:t>
      </w:r>
      <w:r w:rsidR="000765CA">
        <w:t xml:space="preserve"> </w:t>
      </w:r>
      <w:r w:rsidR="00CC32C1">
        <w:t>bude</w:t>
      </w:r>
      <w:r w:rsidR="00E1784E" w:rsidRPr="00E1784E">
        <w:t xml:space="preserve"> </w:t>
      </w:r>
      <w:r w:rsidR="00E1784E">
        <w:t>na základe tohto zákona</w:t>
      </w:r>
      <w:r w:rsidR="00CC32C1">
        <w:t xml:space="preserve"> poskytovať </w:t>
      </w:r>
      <w:r w:rsidR="00CC32C1" w:rsidRPr="009F6EFF">
        <w:t>európsku peňaženku digitálnej</w:t>
      </w:r>
      <w:r w:rsidR="00E1784E">
        <w:t xml:space="preserve"> </w:t>
      </w:r>
      <w:r w:rsidR="00CC32C1" w:rsidRPr="009F6EFF">
        <w:t xml:space="preserve"> identity</w:t>
      </w:r>
      <w:r w:rsidR="00CC32C1">
        <w:t xml:space="preserve"> </w:t>
      </w:r>
      <w:r w:rsidR="00E1784E">
        <w:t xml:space="preserve">ex </w:t>
      </w:r>
      <w:proofErr w:type="spellStart"/>
      <w:r w:rsidR="00E1784E">
        <w:t>offo</w:t>
      </w:r>
      <w:proofErr w:type="spellEnd"/>
      <w:r w:rsidR="006D5CB6">
        <w:t>,</w:t>
      </w:r>
      <w:r w:rsidR="00E1784E">
        <w:t xml:space="preserve"> </w:t>
      </w:r>
      <w:r w:rsidR="006D5CB6">
        <w:t>zároveň však poskytovať</w:t>
      </w:r>
      <w:r w:rsidR="006D5CB6" w:rsidRPr="006D5CB6">
        <w:t xml:space="preserve"> </w:t>
      </w:r>
      <w:r w:rsidR="006D5CB6" w:rsidRPr="009F6EFF">
        <w:t>európsku peňaženku digitálnej</w:t>
      </w:r>
      <w:r w:rsidR="006D5CB6">
        <w:t xml:space="preserve"> </w:t>
      </w:r>
      <w:r w:rsidR="006D5CB6" w:rsidRPr="009F6EFF">
        <w:t>identity</w:t>
      </w:r>
      <w:r w:rsidR="006D5CB6">
        <w:t xml:space="preserve"> bude mô</w:t>
      </w:r>
      <w:r w:rsidR="007E0E0F">
        <w:t>cť</w:t>
      </w:r>
      <w:r w:rsidR="000D308A">
        <w:t xml:space="preserve"> </w:t>
      </w:r>
      <w:bookmarkStart w:id="0" w:name="_GoBack"/>
      <w:r w:rsidR="000D308A">
        <w:t>osoba</w:t>
      </w:r>
      <w:r w:rsidR="000D308A" w:rsidRPr="000D308A">
        <w:t xml:space="preserve">, ktorá je kvalifikovaným poskytovateľom dôveryhodnej služby, alebo na tento účel preukáže, že má s kvalifikovaným poskytovateľom dôveryhodnej služby uzatvorenú platnú zmluvu a spĺňa požiadavky </w:t>
      </w:r>
      <w:r w:rsidR="00451D5C">
        <w:t xml:space="preserve"> </w:t>
      </w:r>
      <w:r w:rsidR="007E0E0F">
        <w:t>podľa čl. 5a</w:t>
      </w:r>
      <w:r w:rsidR="007E0E0F" w:rsidRPr="007E0E0F">
        <w:t xml:space="preserve"> nariadenia (EÚ) č. 910/2014 v platnom znení</w:t>
      </w:r>
      <w:r w:rsidR="00E9478F">
        <w:t xml:space="preserve">. </w:t>
      </w:r>
      <w:bookmarkEnd w:id="0"/>
      <w:r w:rsidR="00E9478F">
        <w:t xml:space="preserve">Ide teda o </w:t>
      </w:r>
      <w:r w:rsidR="00C3731E">
        <w:t xml:space="preserve"> </w:t>
      </w:r>
      <w:r w:rsidR="006D5CB6">
        <w:t>každý subjekt verejného</w:t>
      </w:r>
      <w:r w:rsidR="000765CA">
        <w:t>,</w:t>
      </w:r>
      <w:r w:rsidR="006D5CB6">
        <w:t xml:space="preserve"> ako aj súkromného sektora, ktorý bude spĺňať</w:t>
      </w:r>
      <w:r w:rsidR="009A2A6F">
        <w:t xml:space="preserve"> </w:t>
      </w:r>
      <w:r w:rsidR="00E9478F">
        <w:t xml:space="preserve">vyššie uvedené </w:t>
      </w:r>
      <w:r w:rsidR="000765CA">
        <w:t>požiadavky</w:t>
      </w:r>
      <w:r w:rsidR="006D5CB6">
        <w:t xml:space="preserve"> </w:t>
      </w:r>
      <w:r w:rsidR="00E9478F">
        <w:t xml:space="preserve">v súlade s </w:t>
      </w:r>
      <w:r w:rsidR="006D5CB6" w:rsidRPr="009F6EFF">
        <w:t>nariaden</w:t>
      </w:r>
      <w:r w:rsidR="00E9478F">
        <w:t>ím</w:t>
      </w:r>
      <w:r w:rsidR="006D5CB6" w:rsidRPr="009F6EFF">
        <w:t xml:space="preserve"> (EÚ) č. 910/2014 v platnom znení</w:t>
      </w:r>
      <w:r w:rsidR="009A2A6F" w:rsidRPr="005828D8">
        <w:t xml:space="preserve">. </w:t>
      </w:r>
      <w:r w:rsidR="0067666F" w:rsidRPr="0067666F">
        <w:t>Platnou zmluvou sa preukazuje, že musí ísť o zabezpečenie funkcionalít podporovaných peňaženkou, pričom samotné posúdenie prebieha v rámci administratívneho konania.</w:t>
      </w:r>
    </w:p>
    <w:p w14:paraId="499F86DC" w14:textId="77777777" w:rsidR="005828D8" w:rsidRDefault="005828D8" w:rsidP="00451D5C">
      <w:pPr>
        <w:autoSpaceDE w:val="0"/>
        <w:autoSpaceDN w:val="0"/>
        <w:jc w:val="both"/>
      </w:pPr>
    </w:p>
    <w:p w14:paraId="08059006" w14:textId="62DBDE7D" w:rsidR="005C383E" w:rsidRDefault="00AB2F2A" w:rsidP="000B57A8">
      <w:pPr>
        <w:autoSpaceDE w:val="0"/>
        <w:autoSpaceDN w:val="0"/>
        <w:jc w:val="both"/>
      </w:pPr>
      <w:r>
        <w:t>Subjektom</w:t>
      </w:r>
      <w:r w:rsidR="000B57A8" w:rsidRPr="009F6EFF">
        <w:t xml:space="preserve">, ktoré budú poskytovať európsku peňaženku digitálnej identity sa </w:t>
      </w:r>
      <w:r w:rsidR="0067666F">
        <w:t>u</w:t>
      </w:r>
      <w:r w:rsidR="000B57A8" w:rsidRPr="009F6EFF">
        <w:t>stanovuje základ</w:t>
      </w:r>
      <w:r w:rsidR="00433788">
        <w:t>ný rámec ich povinností</w:t>
      </w:r>
      <w:r>
        <w:t xml:space="preserve"> </w:t>
      </w:r>
      <w:r w:rsidR="00140630">
        <w:t>vyplývajúcich</w:t>
      </w:r>
      <w:r w:rsidR="000B57A8" w:rsidRPr="009F6EFF">
        <w:t xml:space="preserve"> z nariadenia (EÚ) č. 910/2014</w:t>
      </w:r>
      <w:r w:rsidR="00277DEE" w:rsidRPr="009F6EFF">
        <w:t xml:space="preserve"> v platnom znení</w:t>
      </w:r>
      <w:r w:rsidR="000B57A8" w:rsidRPr="009F6EFF">
        <w:t>.</w:t>
      </w:r>
      <w:r w:rsidR="00235437" w:rsidRPr="009F6EFF">
        <w:t xml:space="preserve"> </w:t>
      </w:r>
      <w:r w:rsidR="000B57A8" w:rsidRPr="009F6EFF">
        <w:t xml:space="preserve">Z dôvodu výkonu dohľadu ex </w:t>
      </w:r>
      <w:proofErr w:type="spellStart"/>
      <w:r w:rsidR="000B57A8" w:rsidRPr="009F6EFF">
        <w:t>ante</w:t>
      </w:r>
      <w:proofErr w:type="spellEnd"/>
      <w:r w:rsidR="000B57A8" w:rsidRPr="009F6EFF">
        <w:t xml:space="preserve"> s</w:t>
      </w:r>
      <w:r w:rsidR="00283F69">
        <w:t xml:space="preserve">a ukladá povinnosť </w:t>
      </w:r>
      <w:r>
        <w:t>subjektu</w:t>
      </w:r>
      <w:r w:rsidR="000B57A8" w:rsidRPr="009F6EFF">
        <w:t>, ktorý plánuje poskytovať európsku peňaženku digitálnej identity</w:t>
      </w:r>
      <w:r w:rsidR="00283F69">
        <w:t>,</w:t>
      </w:r>
      <w:r w:rsidR="000B57A8" w:rsidRPr="009F6EFF">
        <w:t xml:space="preserve"> oznámiť </w:t>
      </w:r>
      <w:r w:rsidR="001F7E5B">
        <w:t>tento zámer</w:t>
      </w:r>
      <w:r w:rsidR="000B57A8" w:rsidRPr="009F6EFF">
        <w:t xml:space="preserve"> úradu </w:t>
      </w:r>
      <w:r w:rsidR="003841A6">
        <w:t xml:space="preserve">prostredníctvom elektronického formulára, ktorý úrad zverení na svojom webovom sídle, </w:t>
      </w:r>
      <w:r w:rsidR="000B57A8" w:rsidRPr="009F6EFF">
        <w:t>spolu s certifikátom európsk</w:t>
      </w:r>
      <w:r w:rsidR="003841A6">
        <w:t xml:space="preserve">ej </w:t>
      </w:r>
      <w:r w:rsidR="000B57A8" w:rsidRPr="009F6EFF">
        <w:t>peňažen</w:t>
      </w:r>
      <w:r w:rsidR="003841A6">
        <w:t>ky</w:t>
      </w:r>
      <w:r w:rsidR="000B57A8" w:rsidRPr="009F6EFF">
        <w:t xml:space="preserve"> digitálnej identity</w:t>
      </w:r>
      <w:r w:rsidR="001F7E5B">
        <w:t>.</w:t>
      </w:r>
      <w:r w:rsidR="000B57A8" w:rsidRPr="009F6EFF">
        <w:t xml:space="preserve"> </w:t>
      </w:r>
      <w:r w:rsidR="001F7E5B">
        <w:t>Ú</w:t>
      </w:r>
      <w:r w:rsidR="000B57A8" w:rsidRPr="009F6EFF">
        <w:t>rad ako orgán dohľadu má možnosť rozhodnutím pozastaviť plánované poskytovanie európskej peňaženky digitálnej identity</w:t>
      </w:r>
      <w:r w:rsidR="00283F69">
        <w:t>,</w:t>
      </w:r>
      <w:r w:rsidR="000B57A8" w:rsidRPr="009F6EFF">
        <w:t xml:space="preserve"> ak nie sú splnené požiadavky nariadenia (EÚ) č. 910/2014</w:t>
      </w:r>
      <w:r w:rsidR="00277DEE" w:rsidRPr="009F6EFF">
        <w:t xml:space="preserve"> v platnom znení</w:t>
      </w:r>
      <w:r w:rsidR="000B57A8" w:rsidRPr="009F6EFF">
        <w:t xml:space="preserve">. </w:t>
      </w:r>
      <w:r w:rsidR="00277DEE" w:rsidRPr="009F6EFF">
        <w:t xml:space="preserve">Návrhom sa </w:t>
      </w:r>
      <w:r w:rsidR="00487C8E">
        <w:t>tiež ukladá povinnosť</w:t>
      </w:r>
      <w:r w:rsidR="0040598F" w:rsidRPr="0040598F">
        <w:t xml:space="preserve"> </w:t>
      </w:r>
      <w:r w:rsidR="0040598F" w:rsidRPr="009F6EFF">
        <w:t>poskytovateľ</w:t>
      </w:r>
      <w:r w:rsidR="0040598F">
        <w:t>ovi</w:t>
      </w:r>
      <w:r w:rsidR="0040598F" w:rsidRPr="009F6EFF">
        <w:t xml:space="preserve"> európskej peňaženky digitálnej identity</w:t>
      </w:r>
      <w:r w:rsidR="001C5714" w:rsidRPr="009F6EFF">
        <w:t xml:space="preserve"> zruš</w:t>
      </w:r>
      <w:r w:rsidR="00277DEE" w:rsidRPr="009F6EFF">
        <w:t>iť</w:t>
      </w:r>
      <w:r w:rsidR="000B57A8" w:rsidRPr="009F6EFF">
        <w:t xml:space="preserve"> </w:t>
      </w:r>
      <w:r w:rsidR="001C5714" w:rsidRPr="009F6EFF">
        <w:t>európsku peňaženku</w:t>
      </w:r>
      <w:r w:rsidR="000B57A8" w:rsidRPr="009F6EFF">
        <w:t xml:space="preserve"> digitálnej identity</w:t>
      </w:r>
      <w:r w:rsidR="005C383E">
        <w:t xml:space="preserve"> v prípadoch stanovených</w:t>
      </w:r>
      <w:r w:rsidR="00B75243">
        <w:t xml:space="preserve"> </w:t>
      </w:r>
      <w:r w:rsidR="005C383E">
        <w:t>v</w:t>
      </w:r>
      <w:r w:rsidR="00B75243">
        <w:t xml:space="preserve"> </w:t>
      </w:r>
      <w:r w:rsidR="00487C8E">
        <w:t>čl</w:t>
      </w:r>
      <w:r w:rsidR="005C383E">
        <w:t>.</w:t>
      </w:r>
      <w:r w:rsidR="00487C8E">
        <w:t xml:space="preserve"> 5a ods. 9</w:t>
      </w:r>
      <w:r w:rsidR="000B57A8" w:rsidRPr="009F6EFF">
        <w:t xml:space="preserve"> </w:t>
      </w:r>
      <w:r w:rsidR="007A46E7" w:rsidRPr="009F6EFF">
        <w:t>nariadenia (EÚ) č. 910/2014 v platnom znení</w:t>
      </w:r>
      <w:r w:rsidR="007A46E7">
        <w:t xml:space="preserve">. </w:t>
      </w:r>
    </w:p>
    <w:p w14:paraId="5872F172" w14:textId="77777777" w:rsidR="005C383E" w:rsidRDefault="005C383E" w:rsidP="000B57A8">
      <w:pPr>
        <w:autoSpaceDE w:val="0"/>
        <w:autoSpaceDN w:val="0"/>
        <w:jc w:val="both"/>
      </w:pPr>
    </w:p>
    <w:p w14:paraId="4CA59641" w14:textId="1B9C9220" w:rsidR="00511D6A" w:rsidRDefault="00675401" w:rsidP="000B57A8">
      <w:pPr>
        <w:autoSpaceDE w:val="0"/>
        <w:autoSpaceDN w:val="0"/>
        <w:jc w:val="both"/>
      </w:pPr>
      <w:r>
        <w:t xml:space="preserve">Registrovať spoliehajúcu </w:t>
      </w:r>
      <w:r w:rsidR="00222F76">
        <w:t xml:space="preserve">sa </w:t>
      </w:r>
      <w:r>
        <w:t>stranu je podľa návrhu</w:t>
      </w:r>
      <w:r w:rsidR="00FC26D4">
        <w:t xml:space="preserve">  zákona</w:t>
      </w:r>
      <w:r>
        <w:t xml:space="preserve"> možné len na základe žiadosti a po </w:t>
      </w:r>
      <w:r>
        <w:lastRenderedPageBreak/>
        <w:t>overení identity</w:t>
      </w:r>
      <w:r w:rsidR="00222F76">
        <w:t>,</w:t>
      </w:r>
      <w:r w:rsidR="00BC1C11">
        <w:t xml:space="preserve"> aby nemohli byť spochybnené právne následky využívania </w:t>
      </w:r>
      <w:r w:rsidR="00BC1C11" w:rsidRPr="009F6EFF">
        <w:t>európskej peňaženky digitálnej identity</w:t>
      </w:r>
      <w:r w:rsidR="00BC1C11">
        <w:t xml:space="preserve">. Používanie </w:t>
      </w:r>
      <w:r w:rsidR="00BC1C11" w:rsidRPr="009F6EFF">
        <w:t>európskej peňaženky digitálnej identity</w:t>
      </w:r>
      <w:r w:rsidR="00BC1C11">
        <w:t xml:space="preserve"> musí byť dobrovoľné</w:t>
      </w:r>
      <w:r w:rsidR="00222F76">
        <w:t>,</w:t>
      </w:r>
      <w:r w:rsidR="00BC1C11">
        <w:t xml:space="preserve"> a preto sa vyžaduje</w:t>
      </w:r>
      <w:r w:rsidR="00222F76">
        <w:t>,</w:t>
      </w:r>
      <w:r w:rsidR="00233B8F">
        <w:t xml:space="preserve"> aby osoba vykonala prejav vôle</w:t>
      </w:r>
      <w:r w:rsidR="00222F76">
        <w:t xml:space="preserve"> a zaviazala sa k </w:t>
      </w:r>
      <w:r w:rsidR="00EC6E43">
        <w:t>dodržiavaniu</w:t>
      </w:r>
      <w:r w:rsidR="00BC1C11">
        <w:t xml:space="preserve"> </w:t>
      </w:r>
      <w:r w:rsidR="00EC6E43" w:rsidRPr="00D06768">
        <w:t>pravidiel európskej peňaženky digitálnej identity</w:t>
      </w:r>
      <w:r w:rsidR="00222F76" w:rsidRPr="00D06768">
        <w:t>.</w:t>
      </w:r>
    </w:p>
    <w:p w14:paraId="07820E6A" w14:textId="77777777" w:rsidR="00511D6A" w:rsidRDefault="00511D6A" w:rsidP="000B57A8">
      <w:pPr>
        <w:autoSpaceDE w:val="0"/>
        <w:autoSpaceDN w:val="0"/>
        <w:jc w:val="both"/>
      </w:pPr>
    </w:p>
    <w:p w14:paraId="236FA0F9" w14:textId="2E1C45DC" w:rsidR="00075A92" w:rsidRPr="009F6EFF" w:rsidRDefault="00075A92" w:rsidP="000B57A8">
      <w:pPr>
        <w:autoSpaceDE w:val="0"/>
        <w:autoSpaceDN w:val="0"/>
        <w:jc w:val="both"/>
      </w:pPr>
      <w:r w:rsidRPr="009F6EFF">
        <w:t>Navrhované p</w:t>
      </w:r>
      <w:r w:rsidR="000B57A8" w:rsidRPr="009F6EFF">
        <w:t xml:space="preserve">ovinnosti v odseku </w:t>
      </w:r>
      <w:r w:rsidR="00FC26D4">
        <w:t xml:space="preserve">6 </w:t>
      </w:r>
      <w:r w:rsidRPr="009F6EFF">
        <w:t xml:space="preserve">majú za cieľ zefektívniť výkon dohľadu </w:t>
      </w:r>
      <w:r w:rsidR="00235437" w:rsidRPr="009F6EFF">
        <w:t>nad poskytovateľmi európskej peňaženky digitálnej identity a naplniť požiadavky nariadenia (EÚ) č. 910/2014 v platnom znení.</w:t>
      </w:r>
      <w:r w:rsidR="00E962B7">
        <w:t xml:space="preserve"> </w:t>
      </w:r>
      <w:r w:rsidR="00794021">
        <w:t xml:space="preserve"> Za a</w:t>
      </w:r>
      <w:r w:rsidR="00F636FB">
        <w:t>utentifikačný certifikát</w:t>
      </w:r>
      <w:r w:rsidR="00E962B7">
        <w:t xml:space="preserve"> sa </w:t>
      </w:r>
      <w:r w:rsidR="00F636FB">
        <w:t>bude</w:t>
      </w:r>
      <w:r w:rsidR="00794021">
        <w:t xml:space="preserve"> považovať</w:t>
      </w:r>
      <w:r w:rsidR="00826D2A">
        <w:t xml:space="preserve"> </w:t>
      </w:r>
      <w:r w:rsidR="00FF3BAA">
        <w:t>„</w:t>
      </w:r>
      <w:proofErr w:type="spellStart"/>
      <w:r w:rsidR="00E962B7">
        <w:t>ac</w:t>
      </w:r>
      <w:r w:rsidR="00306EF4">
        <w:t>c</w:t>
      </w:r>
      <w:r w:rsidR="00F636FB">
        <w:t>ess</w:t>
      </w:r>
      <w:proofErr w:type="spellEnd"/>
      <w:r w:rsidR="00F636FB">
        <w:t xml:space="preserve"> </w:t>
      </w:r>
      <w:proofErr w:type="spellStart"/>
      <w:r w:rsidR="00F636FB">
        <w:t>certific</w:t>
      </w:r>
      <w:r w:rsidR="00E962B7">
        <w:t>at</w:t>
      </w:r>
      <w:r w:rsidR="00826D2A">
        <w:t>e</w:t>
      </w:r>
      <w:proofErr w:type="spellEnd"/>
      <w:r w:rsidR="00FF3BAA">
        <w:t>“ podľa vykonávacieho nariadenia k nariadeniu</w:t>
      </w:r>
      <w:r w:rsidR="00FF3BAA" w:rsidRPr="00D56B33">
        <w:t xml:space="preserve"> </w:t>
      </w:r>
      <w:r w:rsidR="00FF3BAA" w:rsidRPr="001F5F92">
        <w:t>(</w:t>
      </w:r>
      <w:r w:rsidR="00FF3BAA">
        <w:t>EÚ) č. 910/2014 v platnom znení.</w:t>
      </w:r>
    </w:p>
    <w:p w14:paraId="0C7F273C" w14:textId="77777777" w:rsidR="004E5E9D" w:rsidRPr="005D3C4F" w:rsidRDefault="004E5E9D" w:rsidP="009039B9">
      <w:pPr>
        <w:autoSpaceDE w:val="0"/>
        <w:autoSpaceDN w:val="0"/>
        <w:jc w:val="both"/>
        <w:rPr>
          <w:rStyle w:val="Zstupntext"/>
          <w:color w:val="auto"/>
        </w:rPr>
      </w:pPr>
    </w:p>
    <w:p w14:paraId="0510D3CF" w14:textId="13C0E58D" w:rsidR="002234FB" w:rsidRPr="001768D1" w:rsidRDefault="00A64AD2" w:rsidP="00F040CA">
      <w:r w:rsidRPr="001768D1">
        <w:rPr>
          <w:rStyle w:val="Zstupntext"/>
          <w:b/>
          <w:color w:val="auto"/>
        </w:rPr>
        <w:t xml:space="preserve">K bodu </w:t>
      </w:r>
      <w:r w:rsidR="00EE57DB" w:rsidRPr="001768D1">
        <w:rPr>
          <w:rStyle w:val="Zstupntext"/>
          <w:b/>
          <w:color w:val="auto"/>
        </w:rPr>
        <w:t>1</w:t>
      </w:r>
      <w:r w:rsidR="00F36F32">
        <w:rPr>
          <w:rStyle w:val="Zstupntext"/>
          <w:b/>
          <w:color w:val="auto"/>
        </w:rPr>
        <w:t>2</w:t>
      </w:r>
    </w:p>
    <w:p w14:paraId="719A69B6" w14:textId="13A206F3" w:rsidR="00B85A00" w:rsidRPr="001768D1" w:rsidRDefault="00760017" w:rsidP="004F57FB">
      <w:pPr>
        <w:widowControl/>
        <w:spacing w:after="100" w:afterAutospacing="1"/>
        <w:contextualSpacing/>
        <w:jc w:val="both"/>
      </w:pPr>
      <w:r w:rsidRPr="001768D1">
        <w:t>Ministerstvo vnútra</w:t>
      </w:r>
      <w:r w:rsidR="000765CA" w:rsidRPr="001768D1">
        <w:rPr>
          <w:sz w:val="22"/>
          <w:szCs w:val="22"/>
        </w:rPr>
        <w:t xml:space="preserve"> </w:t>
      </w:r>
      <w:r w:rsidRPr="001768D1">
        <w:t xml:space="preserve">bude </w:t>
      </w:r>
      <w:r w:rsidR="00156846" w:rsidRPr="001768D1">
        <w:t>za</w:t>
      </w:r>
      <w:r w:rsidRPr="001768D1">
        <w:t xml:space="preserve"> Slovensk</w:t>
      </w:r>
      <w:r w:rsidR="00156846" w:rsidRPr="001768D1">
        <w:t>ú republiku</w:t>
      </w:r>
      <w:r w:rsidRPr="001768D1">
        <w:t xml:space="preserve"> poskytovať </w:t>
      </w:r>
      <w:r w:rsidR="00FA55AB" w:rsidRPr="001768D1">
        <w:t>elektronickú</w:t>
      </w:r>
      <w:r w:rsidRPr="001768D1">
        <w:t xml:space="preserve"> peňaženku digitálnej identity</w:t>
      </w:r>
      <w:r w:rsidR="006E18C4" w:rsidRPr="001768D1">
        <w:t xml:space="preserve">, </w:t>
      </w:r>
      <w:r w:rsidR="00156846" w:rsidRPr="001768D1">
        <w:t>čím bude naplnená povinnosť pre členské štáty vyplývajúca  z nariadenia (EÚ) č. 910/2014 v platnom znení, poskytnúť aspoň jednu európsk</w:t>
      </w:r>
      <w:r w:rsidR="00CC32C1" w:rsidRPr="001768D1">
        <w:t>u peňaženku digitálnej identity.</w:t>
      </w:r>
      <w:r w:rsidR="00156846" w:rsidRPr="001768D1">
        <w:t xml:space="preserve"> </w:t>
      </w:r>
      <w:r w:rsidR="000C604A" w:rsidRPr="001768D1">
        <w:t>Ustanovením</w:t>
      </w:r>
      <w:r w:rsidR="002234FB" w:rsidRPr="001768D1">
        <w:t xml:space="preserve"> sa </w:t>
      </w:r>
      <w:r w:rsidR="00113260" w:rsidRPr="001768D1">
        <w:t>m</w:t>
      </w:r>
      <w:r w:rsidR="002234FB" w:rsidRPr="001768D1">
        <w:t xml:space="preserve">inisterstvu vnútra </w:t>
      </w:r>
      <w:r w:rsidR="00720188" w:rsidRPr="001768D1">
        <w:t xml:space="preserve">v oblasti digitálnej identifikácie priznávajú oprávnenia a zodpovednosti za </w:t>
      </w:r>
      <w:r w:rsidR="005E6779" w:rsidRPr="001768D1">
        <w:t>centralizáciu zoznamu spoliehajúcich sa strán, poskytovani</w:t>
      </w:r>
      <w:r w:rsidR="00360932" w:rsidRPr="001768D1">
        <w:t>e</w:t>
      </w:r>
      <w:r w:rsidR="005E6779" w:rsidRPr="001768D1">
        <w:t xml:space="preserve"> </w:t>
      </w:r>
      <w:r w:rsidR="00360932" w:rsidRPr="001768D1">
        <w:t>európskej peňaženky digitálnej identity, spojenie osobných údajov s európskou peňaženkou digitálnej identity</w:t>
      </w:r>
      <w:r w:rsidR="00101C07" w:rsidRPr="001768D1">
        <w:t xml:space="preserve"> a ich validácia v súlade s požiadavkami čl. 5a ods. 18 nariadenia (EÚ) č. 910/2014 v platnom znení</w:t>
      </w:r>
      <w:r w:rsidR="004F57FB" w:rsidRPr="001768D1">
        <w:t xml:space="preserve">. </w:t>
      </w:r>
      <w:r w:rsidR="007D62F0" w:rsidRPr="001768D1">
        <w:t>Ustanovuje sa, že m</w:t>
      </w:r>
      <w:r w:rsidR="00CF4ADE" w:rsidRPr="001768D1">
        <w:t xml:space="preserve">inisterstvo vnútra </w:t>
      </w:r>
      <w:r w:rsidR="00140ACA" w:rsidRPr="001768D1">
        <w:t>je orgánom zodpovedným za elektronickú identifikáciu</w:t>
      </w:r>
      <w:r w:rsidR="00052E00" w:rsidRPr="001768D1">
        <w:t>.</w:t>
      </w:r>
      <w:r w:rsidR="00D02755" w:rsidRPr="001768D1">
        <w:rPr>
          <w:rFonts w:ascii="Times" w:hAnsi="Times" w:cs="Times"/>
          <w:bCs/>
          <w:sz w:val="25"/>
          <w:szCs w:val="25"/>
        </w:rPr>
        <w:t xml:space="preserve"> </w:t>
      </w:r>
      <w:r w:rsidR="00D060E9" w:rsidRPr="001768D1">
        <w:t>Čl. 11a ods. 1 a 2 nariadenia (EÚ) č. 910/2014 bude implementovaný v rámci schémy elektronicke</w:t>
      </w:r>
      <w:r w:rsidR="00205F68" w:rsidRPr="001768D1">
        <w:t>j identifikácie, ktorú predpokladá nariadenie (EÚ) č. 910/2014 v platnom znení.</w:t>
      </w:r>
    </w:p>
    <w:p w14:paraId="4BD67030" w14:textId="46AC0CD6" w:rsidR="00D02755" w:rsidRPr="001768D1" w:rsidRDefault="00D02755" w:rsidP="004F57FB">
      <w:pPr>
        <w:widowControl/>
        <w:spacing w:after="100" w:afterAutospacing="1"/>
        <w:contextualSpacing/>
        <w:jc w:val="both"/>
        <w:rPr>
          <w:highlight w:val="yellow"/>
        </w:rPr>
      </w:pPr>
    </w:p>
    <w:p w14:paraId="3FA0B385" w14:textId="01016F75" w:rsidR="00BD0BD1" w:rsidRPr="00B6595E" w:rsidRDefault="008C4B9F" w:rsidP="001768D1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  <w:r w:rsidRPr="001768D1">
        <w:t>Súčasne sa</w:t>
      </w:r>
      <w:r w:rsidR="0059274E" w:rsidRPr="001768D1">
        <w:t xml:space="preserve"> v § 10</w:t>
      </w:r>
      <w:r w:rsidR="00C01482" w:rsidRPr="001768D1">
        <w:t>a</w:t>
      </w:r>
      <w:r w:rsidR="0059274E" w:rsidRPr="001768D1">
        <w:t xml:space="preserve"> ods. 2 návrhu zákona</w:t>
      </w:r>
      <w:r w:rsidRPr="001768D1">
        <w:t xml:space="preserve"> m</w:t>
      </w:r>
      <w:r w:rsidR="004F57FB" w:rsidRPr="001768D1">
        <w:t xml:space="preserve">inisterstvu vnútra </w:t>
      </w:r>
      <w:r w:rsidR="000C604A" w:rsidRPr="001768D1">
        <w:t>určuje rozsah pôsobnosti v </w:t>
      </w:r>
      <w:r w:rsidR="004F57FB" w:rsidRPr="001768D1">
        <w:t>oblasti elektronického osvedčenia atribútov</w:t>
      </w:r>
      <w:r w:rsidR="00140ACA" w:rsidRPr="001768D1">
        <w:t>,</w:t>
      </w:r>
      <w:r w:rsidR="004F57FB" w:rsidRPr="001768D1">
        <w:t xml:space="preserve"> ak o to požiada </w:t>
      </w:r>
      <w:r w:rsidR="00C321D6" w:rsidRPr="001768D1">
        <w:t xml:space="preserve"> </w:t>
      </w:r>
      <w:r w:rsidR="00E74615" w:rsidRPr="001768D1">
        <w:t>osoba</w:t>
      </w:r>
      <w:r w:rsidR="001768D1">
        <w:t xml:space="preserve"> </w:t>
      </w:r>
      <w:r w:rsidR="00C321D6" w:rsidRPr="001768D1">
        <w:t>zodpovedn</w:t>
      </w:r>
      <w:r w:rsidR="00E74615" w:rsidRPr="001768D1">
        <w:t>á</w:t>
      </w:r>
      <w:r w:rsidR="00214635" w:rsidRPr="001768D1">
        <w:t xml:space="preserve"> za autentický zdroj a identifikuje subjekty verejného sektora, ktoré sú zodpovedné za elektronické atribúty, ktoré majú byť osvedčované.</w:t>
      </w:r>
      <w:r w:rsidR="009C426E" w:rsidRPr="001768D1">
        <w:t xml:space="preserve"> Ministerstvo vnútra </w:t>
      </w:r>
      <w:r w:rsidR="00F0055B" w:rsidRPr="001768D1">
        <w:t xml:space="preserve">na základe požiadavky subjektu verejného sektora zaregistruje typy atribútov oprávnení pre </w:t>
      </w:r>
      <w:r w:rsidR="00ED1565" w:rsidRPr="001768D1">
        <w:t>elektronické</w:t>
      </w:r>
      <w:r w:rsidR="00F0055B" w:rsidRPr="001768D1">
        <w:t xml:space="preserve"> osvedčenia atribútov </w:t>
      </w:r>
      <w:r w:rsidR="00ED1565" w:rsidRPr="001768D1">
        <w:t>a bude zodpovedať za jednoznačné pridelenie elektronického osvedčenia atribútov oprávnenej osoby.</w:t>
      </w:r>
      <w:r w:rsidR="00BE43A3">
        <w:t xml:space="preserve"> </w:t>
      </w:r>
      <w:r w:rsidR="00BD0BD1" w:rsidRPr="00BE43A3">
        <w:t>Ministerstvo vnútra</w:t>
      </w:r>
      <w:r w:rsidR="00BE43A3">
        <w:rPr>
          <w:rStyle w:val="Zstupntext"/>
          <w:color w:val="auto"/>
        </w:rPr>
        <w:t xml:space="preserve"> </w:t>
      </w:r>
      <w:r w:rsidR="00BD0BD1" w:rsidRPr="00BE43A3">
        <w:rPr>
          <w:rStyle w:val="Zstupntext"/>
          <w:color w:val="auto"/>
        </w:rPr>
        <w:t>vydáva a ruší elektronické osvedčenie atribútov založené na údajoch z autentického zdroja subjektu verejného sektora</w:t>
      </w:r>
      <w:r w:rsidR="00BE43A3" w:rsidRPr="00B6595E">
        <w:rPr>
          <w:rStyle w:val="Zstupntext"/>
          <w:color w:val="auto"/>
        </w:rPr>
        <w:t>.</w:t>
      </w:r>
      <w:r w:rsidR="00B6595E" w:rsidRPr="00B6595E">
        <w:rPr>
          <w:rStyle w:val="Zstupntext"/>
          <w:color w:val="auto"/>
        </w:rPr>
        <w:t xml:space="preserve"> </w:t>
      </w:r>
      <w:r w:rsidR="008804D4" w:rsidRPr="00B6595E">
        <w:rPr>
          <w:rStyle w:val="Zstupntext"/>
          <w:color w:val="auto"/>
        </w:rPr>
        <w:t>Týmto nie je dotknuté oprávnenie vydať alebo zrušiť elektronické osvedčenia atribútov inej osobe v súlade s čl. 45f nariadenia (EÚ) č. 910/2014 v platnom znení.</w:t>
      </w:r>
    </w:p>
    <w:p w14:paraId="07106C04" w14:textId="2B64014C" w:rsidR="008804D4" w:rsidRDefault="00D060E9" w:rsidP="001768D1">
      <w:pPr>
        <w:widowControl/>
        <w:spacing w:after="100" w:afterAutospacing="1"/>
        <w:contextualSpacing/>
        <w:jc w:val="both"/>
        <w:rPr>
          <w:rStyle w:val="Zstupntext"/>
          <w:b/>
          <w:color w:val="auto"/>
        </w:rPr>
      </w:pPr>
      <w:r>
        <w:rPr>
          <w:rStyle w:val="Zstupntext"/>
          <w:b/>
          <w:color w:val="auto"/>
        </w:rPr>
        <w:t xml:space="preserve"> </w:t>
      </w:r>
    </w:p>
    <w:p w14:paraId="41AC595F" w14:textId="6A3311E9" w:rsidR="00141E35" w:rsidRPr="009F6EFF" w:rsidRDefault="009039B9" w:rsidP="00F040CA">
      <w:pPr>
        <w:rPr>
          <w:rStyle w:val="Zstupntext"/>
          <w:b/>
          <w:color w:val="auto"/>
        </w:rPr>
      </w:pPr>
      <w:r w:rsidRPr="009F6EFF">
        <w:rPr>
          <w:rStyle w:val="Zstupntext"/>
          <w:b/>
          <w:color w:val="auto"/>
        </w:rPr>
        <w:t>K bod</w:t>
      </w:r>
      <w:r w:rsidR="00141E35" w:rsidRPr="009F6EFF">
        <w:rPr>
          <w:rStyle w:val="Zstupntext"/>
          <w:b/>
          <w:color w:val="auto"/>
        </w:rPr>
        <w:t>u</w:t>
      </w:r>
      <w:r w:rsidRPr="009F6EFF">
        <w:rPr>
          <w:rStyle w:val="Zstupntext"/>
          <w:b/>
          <w:color w:val="auto"/>
        </w:rPr>
        <w:t xml:space="preserve"> 1</w:t>
      </w:r>
      <w:r w:rsidR="00F36F32">
        <w:rPr>
          <w:rStyle w:val="Zstupntext"/>
          <w:b/>
          <w:color w:val="auto"/>
        </w:rPr>
        <w:t>3</w:t>
      </w:r>
    </w:p>
    <w:p w14:paraId="0BED58C6" w14:textId="77777777" w:rsidR="00D96C60" w:rsidRDefault="00864DA9" w:rsidP="00C47097">
      <w:pPr>
        <w:widowControl/>
        <w:spacing w:after="100" w:afterAutospacing="1"/>
        <w:contextualSpacing/>
        <w:jc w:val="both"/>
      </w:pPr>
      <w:r>
        <w:t>Ustanovenie</w:t>
      </w:r>
      <w:r w:rsidR="006A48FF" w:rsidRPr="009F6EFF">
        <w:t xml:space="preserve"> </w:t>
      </w:r>
      <w:r w:rsidR="006A5CDD">
        <w:t xml:space="preserve">§ 11 </w:t>
      </w:r>
      <w:r>
        <w:t>vymedzuje</w:t>
      </w:r>
      <w:r w:rsidR="006A48FF" w:rsidRPr="009F6EFF">
        <w:t xml:space="preserve"> úlohy úradu vychádzajúc z obsahu nariadenia </w:t>
      </w:r>
      <w:r w:rsidR="001A7DEA" w:rsidRPr="009F6EFF">
        <w:t>(</w:t>
      </w:r>
      <w:r w:rsidR="006A48FF" w:rsidRPr="009F6EFF">
        <w:t>EÚ) č. 910/2014 v pla</w:t>
      </w:r>
      <w:r>
        <w:t>tn</w:t>
      </w:r>
      <w:r w:rsidR="006A48FF" w:rsidRPr="009F6EFF">
        <w:t>om znení a zároveň z existujúcej praxe</w:t>
      </w:r>
      <w:r w:rsidR="00010E69" w:rsidRPr="009F6EFF">
        <w:t>.</w:t>
      </w:r>
      <w:r w:rsidR="006A48FF" w:rsidRPr="009F6EFF">
        <w:t xml:space="preserve"> </w:t>
      </w:r>
      <w:r w:rsidR="001F2847">
        <w:t>Nariadenie</w:t>
      </w:r>
      <w:r w:rsidR="00D96C60" w:rsidRPr="009F6EFF">
        <w:t xml:space="preserve"> (EÚ) č. 910/2014 </w:t>
      </w:r>
      <w:r w:rsidR="001F2847">
        <w:t>v platnom znení zaviedlo</w:t>
      </w:r>
      <w:r w:rsidR="00D96C60" w:rsidRPr="009F6EFF">
        <w:t xml:space="preserve"> inštitút jednotného kontaktného miesta na komunikáciu a spoluprácu s orgánmi Európskej únie, ako aj s ostatnými členskými štátmi</w:t>
      </w:r>
      <w:r w:rsidR="00141E35" w:rsidRPr="009F6EFF">
        <w:t xml:space="preserve"> a skupinu pre spoluprácu v oblasti digitálnej identity</w:t>
      </w:r>
      <w:r w:rsidR="00D96C60" w:rsidRPr="009F6EFF">
        <w:t>.</w:t>
      </w:r>
      <w:r w:rsidR="00141E35" w:rsidRPr="009F6EFF">
        <w:t xml:space="preserve"> </w:t>
      </w:r>
      <w:r w:rsidR="008C4B9F">
        <w:t>Úrad</w:t>
      </w:r>
      <w:r w:rsidR="00B32F6E" w:rsidRPr="009F6EFF">
        <w:t xml:space="preserve"> sa podľa navrhovanej úpravy stane členom skupiny pre spoluprácu v oblasti digitálnej identity</w:t>
      </w:r>
      <w:r w:rsidR="007511F9">
        <w:t>,</w:t>
      </w:r>
      <w:r w:rsidR="00B32F6E" w:rsidRPr="009F6EFF">
        <w:t xml:space="preserve"> ako aj jednotným kontaktným miestom pre dôveryhodné služby, európske peňaženky digitálnej identity a  schémy elektronickej identifikácie</w:t>
      </w:r>
      <w:r w:rsidR="00493962" w:rsidRPr="009F6EFF">
        <w:t>.</w:t>
      </w:r>
      <w:r w:rsidR="00B32F6E" w:rsidRPr="009F6EFF">
        <w:t xml:space="preserve"> </w:t>
      </w:r>
      <w:r w:rsidR="00C47097" w:rsidRPr="009F6EFF">
        <w:t>Úradu sa ukladajú oznamovacie povinnosti vyplývajúce z</w:t>
      </w:r>
      <w:r w:rsidR="001F2847">
        <w:t> </w:t>
      </w:r>
      <w:r w:rsidR="00D96C60" w:rsidRPr="009F6EFF">
        <w:t>nariadenia (EÚ) č. 910/2014</w:t>
      </w:r>
      <w:r w:rsidR="00C47097" w:rsidRPr="009F6EFF">
        <w:t xml:space="preserve"> v platnom znení</w:t>
      </w:r>
      <w:r w:rsidR="00D96C60" w:rsidRPr="009F6EFF">
        <w:t>.</w:t>
      </w:r>
      <w:r w:rsidR="00625D41" w:rsidRPr="009F6EFF">
        <w:t xml:space="preserve"> </w:t>
      </w:r>
      <w:r w:rsidR="007C1001">
        <w:t xml:space="preserve">Úrad pozastavuje poskytovanie alebo používanie </w:t>
      </w:r>
      <w:r w:rsidR="00804A92" w:rsidRPr="00804A92">
        <w:t xml:space="preserve">európskej peňaženky digitálnej identity </w:t>
      </w:r>
      <w:r w:rsidR="00804A92">
        <w:t>a ruší jej platnosť podľa čl. 5e ods. 2 nariadenia</w:t>
      </w:r>
      <w:r w:rsidR="00F93BAE">
        <w:t xml:space="preserve"> </w:t>
      </w:r>
      <w:r w:rsidR="00F93BAE" w:rsidRPr="009F6EFF">
        <w:t>(EÚ) č. 910/2014 v platnom znení</w:t>
      </w:r>
      <w:r w:rsidR="00F93BAE">
        <w:t>.</w:t>
      </w:r>
      <w:r w:rsidR="00804A92">
        <w:t xml:space="preserve"> </w:t>
      </w:r>
      <w:r w:rsidR="00625D41" w:rsidRPr="009F6EFF">
        <w:t>Navrhova</w:t>
      </w:r>
      <w:r w:rsidR="00F661D8">
        <w:t>né ustanovenia § 11 ods. 1 písm.</w:t>
      </w:r>
      <w:r w:rsidR="00625D41" w:rsidRPr="009F6EFF">
        <w:t xml:space="preserve"> </w:t>
      </w:r>
      <w:r w:rsidR="00C15E26" w:rsidRPr="009F6EFF">
        <w:t>h</w:t>
      </w:r>
      <w:r w:rsidR="00625D41" w:rsidRPr="009F6EFF">
        <w:t xml:space="preserve">) až </w:t>
      </w:r>
      <w:r w:rsidR="00F661D8">
        <w:t>m</w:t>
      </w:r>
      <w:r w:rsidR="00625D41" w:rsidRPr="009F6EFF">
        <w:t>) ostávajú zachované.</w:t>
      </w:r>
    </w:p>
    <w:p w14:paraId="7FC985A9" w14:textId="51111711" w:rsidR="00780D3E" w:rsidRPr="00780D3E" w:rsidRDefault="00780D3E" w:rsidP="00F040CA">
      <w:pPr>
        <w:rPr>
          <w:rStyle w:val="Zstupntext"/>
          <w:b/>
          <w:color w:val="auto"/>
        </w:rPr>
      </w:pPr>
    </w:p>
    <w:p w14:paraId="7119AA07" w14:textId="77777777" w:rsidR="00A622B1" w:rsidRDefault="00D11B22" w:rsidP="00A622B1">
      <w:pPr>
        <w:widowControl/>
        <w:spacing w:after="100" w:afterAutospacing="1"/>
        <w:contextualSpacing/>
        <w:jc w:val="both"/>
      </w:pPr>
      <w:r>
        <w:t xml:space="preserve">Ustanovenie </w:t>
      </w:r>
      <w:r w:rsidR="006A5CDD">
        <w:t xml:space="preserve">§ 12 </w:t>
      </w:r>
      <w:r w:rsidR="001A7DEA" w:rsidRPr="009F6EFF">
        <w:t>oprávňuje</w:t>
      </w:r>
      <w:r w:rsidR="00897444">
        <w:t xml:space="preserve"> úrad</w:t>
      </w:r>
      <w:r w:rsidR="001A7DEA" w:rsidRPr="009F6EFF">
        <w:t xml:space="preserve"> vykonávať kontrolu </w:t>
      </w:r>
      <w:r>
        <w:t>dodržiavania</w:t>
      </w:r>
      <w:r w:rsidR="001A7DEA" w:rsidRPr="009F6EFF">
        <w:t xml:space="preserve"> povinností poskytovateľa dôveryhodnej služby alebo poskytovateľa európske</w:t>
      </w:r>
      <w:r w:rsidR="00064487" w:rsidRPr="009F6EFF">
        <w:t>j peňaženky digitálnej identity, ktorá sa má vykonávať podľa zákona Národnej rady Slovenskej republiky č. 10/1996 Z.</w:t>
      </w:r>
      <w:r w:rsidR="00F44697" w:rsidRPr="009F6EFF">
        <w:t xml:space="preserve"> </w:t>
      </w:r>
      <w:r w:rsidR="001F2847">
        <w:t xml:space="preserve">z. o kontrole </w:t>
      </w:r>
      <w:r w:rsidR="001F2847">
        <w:lastRenderedPageBreak/>
        <w:t>v </w:t>
      </w:r>
      <w:r w:rsidR="00064487" w:rsidRPr="009F6EFF">
        <w:t>štátnej správe v znení neskorších predpisov</w:t>
      </w:r>
      <w:r>
        <w:t xml:space="preserve"> (ďalej len „zákon č. 10/1996 Z. z“)</w:t>
      </w:r>
      <w:r w:rsidR="00064487" w:rsidRPr="009F6EFF">
        <w:t xml:space="preserve">. Návrh reflektuje na problémy z aplikačnej </w:t>
      </w:r>
      <w:r w:rsidR="00332F30" w:rsidRPr="009F6EFF">
        <w:t xml:space="preserve">praxe, ktoré vznikali limitovaním výkonu kontroly len na </w:t>
      </w:r>
      <w:r w:rsidR="00B01E5A">
        <w:t xml:space="preserve">základe </w:t>
      </w:r>
      <w:r w:rsidR="00332F30" w:rsidRPr="009F6EFF">
        <w:t>konkrétn</w:t>
      </w:r>
      <w:r w:rsidR="00B01E5A">
        <w:t>ych</w:t>
      </w:r>
      <w:r w:rsidR="00332F30" w:rsidRPr="009F6EFF">
        <w:t xml:space="preserve"> ustanoven</w:t>
      </w:r>
      <w:r w:rsidR="00B01E5A">
        <w:t>í</w:t>
      </w:r>
      <w:r w:rsidR="00332F30" w:rsidRPr="009F6EFF">
        <w:t xml:space="preserve"> zákona </w:t>
      </w:r>
      <w:r w:rsidR="00BF3F3D">
        <w:t xml:space="preserve">č. </w:t>
      </w:r>
      <w:r w:rsidR="00332F30" w:rsidRPr="009F6EFF">
        <w:t>10/1996 Z.</w:t>
      </w:r>
      <w:r w:rsidR="00F44697" w:rsidRPr="009F6EFF">
        <w:t xml:space="preserve"> </w:t>
      </w:r>
      <w:r w:rsidR="00677A48">
        <w:t>z</w:t>
      </w:r>
      <w:r w:rsidR="00F44697" w:rsidRPr="009F6EFF">
        <w:t>.</w:t>
      </w:r>
    </w:p>
    <w:p w14:paraId="009CB9EB" w14:textId="77777777" w:rsidR="009039B9" w:rsidRPr="009F6EFF" w:rsidRDefault="008F3664" w:rsidP="00A622B1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  <w:r w:rsidRPr="009F6EFF">
        <w:t>Ustanovenie upravuje výkon dohľadu, podľa ktorého úrad dohliada na kvalifikovaných poskytovateľov dôveryhodných služieb a poskytovateľ</w:t>
      </w:r>
      <w:r w:rsidR="00677A48">
        <w:t>ov</w:t>
      </w:r>
      <w:r w:rsidRPr="009F6EFF">
        <w:t xml:space="preserve"> európskych peňaženiek digitálnej identity s cieľom zaručiť prostredníctvom dohľadu ex </w:t>
      </w:r>
      <w:proofErr w:type="spellStart"/>
      <w:r w:rsidRPr="009F6EFF">
        <w:t>ante</w:t>
      </w:r>
      <w:proofErr w:type="spellEnd"/>
      <w:r w:rsidRPr="009F6EFF">
        <w:t xml:space="preserve"> a ex post, aby títo poskytovatelia dôveryhodných služieb a</w:t>
      </w:r>
      <w:r w:rsidR="00677A48">
        <w:t xml:space="preserve"> poskytovatelia </w:t>
      </w:r>
      <w:r w:rsidR="001A7DEA" w:rsidRPr="009F6EFF">
        <w:t>európskych peňaženiek digitálnej identity</w:t>
      </w:r>
      <w:r w:rsidRPr="009F6EFF">
        <w:t xml:space="preserve"> spĺňali požiadavky stanovené nariadením </w:t>
      </w:r>
      <w:r w:rsidR="001A7DEA" w:rsidRPr="009F6EFF">
        <w:t>(</w:t>
      </w:r>
      <w:r w:rsidR="009D5250">
        <w:t>EÚ) č. </w:t>
      </w:r>
      <w:r w:rsidR="001A7DEA" w:rsidRPr="009F6EFF">
        <w:t>910/2014 v pla</w:t>
      </w:r>
      <w:r w:rsidR="0031587E">
        <w:t>t</w:t>
      </w:r>
      <w:r w:rsidR="001A7DEA" w:rsidRPr="009F6EFF">
        <w:t>nom znení</w:t>
      </w:r>
      <w:r w:rsidRPr="009F6EFF">
        <w:t>.</w:t>
      </w:r>
    </w:p>
    <w:p w14:paraId="3C6011A2" w14:textId="165B7B41" w:rsidR="00C4531C" w:rsidRDefault="00C4531C" w:rsidP="006D75E5">
      <w:pPr>
        <w:rPr>
          <w:rStyle w:val="Zstupntext"/>
          <w:b/>
          <w:color w:val="auto"/>
        </w:rPr>
      </w:pPr>
    </w:p>
    <w:p w14:paraId="50A2C61B" w14:textId="72C1687C" w:rsidR="006D75E5" w:rsidRPr="006D75E5" w:rsidRDefault="007C7C3A" w:rsidP="006D75E5">
      <w:pPr>
        <w:rPr>
          <w:b/>
        </w:rPr>
      </w:pPr>
      <w:r w:rsidRPr="009F6EFF">
        <w:rPr>
          <w:rStyle w:val="Zstupntext"/>
          <w:b/>
          <w:color w:val="auto"/>
        </w:rPr>
        <w:t>K bod</w:t>
      </w:r>
      <w:r w:rsidR="00FA234F">
        <w:rPr>
          <w:rStyle w:val="Zstupntext"/>
          <w:b/>
          <w:color w:val="auto"/>
        </w:rPr>
        <w:t>u</w:t>
      </w:r>
      <w:r w:rsidR="009039B9" w:rsidRPr="009F6EFF">
        <w:rPr>
          <w:rStyle w:val="Zstupntext"/>
          <w:b/>
          <w:color w:val="auto"/>
        </w:rPr>
        <w:t xml:space="preserve"> </w:t>
      </w:r>
      <w:r w:rsidR="006A46EE" w:rsidRPr="009F6EFF">
        <w:rPr>
          <w:rStyle w:val="Zstupntext"/>
          <w:b/>
          <w:color w:val="auto"/>
        </w:rPr>
        <w:t>1</w:t>
      </w:r>
      <w:r w:rsidR="0033377B">
        <w:rPr>
          <w:rStyle w:val="Zstupntext"/>
          <w:b/>
          <w:color w:val="auto"/>
        </w:rPr>
        <w:t>7</w:t>
      </w:r>
    </w:p>
    <w:p w14:paraId="0F96DA5B" w14:textId="1EA2A697" w:rsidR="000835F7" w:rsidRDefault="00DC6955" w:rsidP="006B1AF6">
      <w:pPr>
        <w:widowControl/>
        <w:spacing w:after="100" w:afterAutospacing="1"/>
        <w:contextualSpacing/>
        <w:jc w:val="both"/>
      </w:pPr>
      <w:r w:rsidRPr="009F6EFF">
        <w:t>Navrhovaná úprava reflektuje zmeny v rozsahu povinností v zákon</w:t>
      </w:r>
      <w:r w:rsidR="00FF0C4F" w:rsidRPr="009F6EFF">
        <w:t>e</w:t>
      </w:r>
      <w:r w:rsidR="00140220">
        <w:t xml:space="preserve"> ako aj v nariadení (EÚ) č. </w:t>
      </w:r>
      <w:r w:rsidRPr="009F6EFF">
        <w:t>910/2014</w:t>
      </w:r>
      <w:r w:rsidR="00832255" w:rsidRPr="009F6EFF">
        <w:t xml:space="preserve"> v platnom znení</w:t>
      </w:r>
      <w:r w:rsidR="00735A8C">
        <w:t xml:space="preserve">. V § 14 ods. 5 sa ustanovuje, že </w:t>
      </w:r>
      <w:r w:rsidR="00FF0C4F" w:rsidRPr="009F6EFF">
        <w:t>správneho deliktu</w:t>
      </w:r>
      <w:r w:rsidR="00735A8C">
        <w:t xml:space="preserve"> sa orgán verejnej moci dopustím </w:t>
      </w:r>
      <w:r w:rsidR="00FA234F" w:rsidRPr="00850A1B">
        <w:t>tým, že vydá elektronické osvedčenie atribútov v rozpore s čl. 45f ods. 2 nariadenia (EÚ) č. 910/2014 v platnom znení</w:t>
      </w:r>
      <w:r w:rsidR="00397AF6">
        <w:t xml:space="preserve"> a ustanovuje sa výška pokuty</w:t>
      </w:r>
      <w:r w:rsidR="00FA234F" w:rsidRPr="00850A1B">
        <w:t>.</w:t>
      </w:r>
    </w:p>
    <w:p w14:paraId="21FBBD5D" w14:textId="69DD6A2A" w:rsidR="00C41F68" w:rsidRDefault="00735A8C" w:rsidP="006B1AF6">
      <w:pPr>
        <w:widowControl/>
        <w:spacing w:after="100" w:afterAutospacing="1"/>
        <w:contextualSpacing/>
        <w:jc w:val="both"/>
      </w:pPr>
      <w:r>
        <w:t>V § 14</w:t>
      </w:r>
      <w:r w:rsidR="000835F7">
        <w:t xml:space="preserve"> ods. 6 sa ustanovujú správne delikty, ktor</w:t>
      </w:r>
      <w:r w:rsidR="00F77F71">
        <w:t>ých</w:t>
      </w:r>
      <w:r w:rsidR="000835F7">
        <w:t xml:space="preserve"> sa dopustí n</w:t>
      </w:r>
      <w:r w:rsidR="000835F7" w:rsidRPr="001D2767">
        <w:t>ekvalifikovaný poskytovateľ dôveryhodnej služby</w:t>
      </w:r>
      <w:r w:rsidR="000835F7">
        <w:t xml:space="preserve"> tým, že </w:t>
      </w:r>
      <w:r w:rsidR="00D82794">
        <w:t>poruší povinností podľa</w:t>
      </w:r>
      <w:r w:rsidR="00F77F71">
        <w:t xml:space="preserve"> </w:t>
      </w:r>
      <w:r w:rsidR="00F77F71" w:rsidRPr="00850A1B">
        <w:t>nariadenia (EÚ) č. 910/2014 v platnom znení</w:t>
      </w:r>
      <w:r w:rsidR="00F77F71">
        <w:t xml:space="preserve"> </w:t>
      </w:r>
      <w:r w:rsidR="00B41CC8">
        <w:t>.</w:t>
      </w:r>
    </w:p>
    <w:p w14:paraId="519C4CEF" w14:textId="77777777" w:rsidR="00C41F68" w:rsidRDefault="00C41F68" w:rsidP="006B1AF6">
      <w:pPr>
        <w:widowControl/>
        <w:spacing w:after="100" w:afterAutospacing="1"/>
        <w:contextualSpacing/>
        <w:jc w:val="both"/>
      </w:pPr>
    </w:p>
    <w:p w14:paraId="744056D8" w14:textId="6DB2971C" w:rsidR="00DC13E2" w:rsidRDefault="00FA234F" w:rsidP="006B1AF6">
      <w:pPr>
        <w:widowControl/>
        <w:spacing w:after="100" w:afterAutospacing="1"/>
        <w:contextualSpacing/>
        <w:jc w:val="both"/>
        <w:rPr>
          <w:b/>
        </w:rPr>
      </w:pPr>
      <w:r w:rsidRPr="00AC4345">
        <w:rPr>
          <w:b/>
        </w:rPr>
        <w:t>K bodu 1</w:t>
      </w:r>
      <w:r w:rsidR="0033377B">
        <w:rPr>
          <w:b/>
        </w:rPr>
        <w:t>8</w:t>
      </w:r>
    </w:p>
    <w:p w14:paraId="63509D7E" w14:textId="77777777" w:rsidR="003C2537" w:rsidRPr="009F6EFF" w:rsidRDefault="00DA24A8" w:rsidP="003C2537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  <w:r>
        <w:t>V § 14 ods. 7 sa ustanovuje</w:t>
      </w:r>
      <w:r w:rsidR="003C2537">
        <w:t xml:space="preserve"> výška pokuty pre nekvalifikovaného poskytovateľa</w:t>
      </w:r>
      <w:r w:rsidR="003C2537" w:rsidRPr="00911516">
        <w:t xml:space="preserve"> dôveryhodnej služby</w:t>
      </w:r>
      <w:r w:rsidR="003C2537">
        <w:t xml:space="preserve"> za správny delikt </w:t>
      </w:r>
      <w:r w:rsidR="00735A8C">
        <w:t xml:space="preserve">podľa § 14 ods. 6 </w:t>
      </w:r>
      <w:r w:rsidR="003C2537">
        <w:t>v súlade s požiadavkami čl. 16 ods. 2</w:t>
      </w:r>
      <w:r w:rsidR="003C2537" w:rsidRPr="006B1AF6">
        <w:t xml:space="preserve"> </w:t>
      </w:r>
      <w:r w:rsidR="003C2537" w:rsidRPr="009F6EFF">
        <w:t>nariaden</w:t>
      </w:r>
      <w:r w:rsidR="003C2537">
        <w:t>ia</w:t>
      </w:r>
      <w:r w:rsidR="003C2537" w:rsidRPr="009F6EFF">
        <w:t xml:space="preserve"> (</w:t>
      </w:r>
      <w:r w:rsidR="003C2537">
        <w:t>EÚ) č. </w:t>
      </w:r>
      <w:r w:rsidR="003C2537" w:rsidRPr="009F6EFF">
        <w:t>910/2014 v pla</w:t>
      </w:r>
      <w:r w:rsidR="003C2537">
        <w:t>t</w:t>
      </w:r>
      <w:r w:rsidR="003C2537" w:rsidRPr="009F6EFF">
        <w:t>nom znení.</w:t>
      </w:r>
    </w:p>
    <w:p w14:paraId="26B6E2E3" w14:textId="77777777" w:rsidR="00B41CC8" w:rsidRDefault="00DA24A8" w:rsidP="00ED6EE8">
      <w:pPr>
        <w:widowControl/>
        <w:spacing w:after="100" w:afterAutospacing="1"/>
        <w:contextualSpacing/>
        <w:jc w:val="both"/>
      </w:pPr>
      <w:r>
        <w:t>V § 14 ods. 8 sa u</w:t>
      </w:r>
      <w:r w:rsidR="00397AF6">
        <w:t xml:space="preserve">stanovujú správne delikty </w:t>
      </w:r>
      <w:r>
        <w:t>pre kvalifikovaného poskytovateľa</w:t>
      </w:r>
      <w:r w:rsidRPr="00911516">
        <w:t xml:space="preserve"> dôveryhodnej služby</w:t>
      </w:r>
      <w:r>
        <w:t xml:space="preserve"> </w:t>
      </w:r>
      <w:r w:rsidR="00B41CC8">
        <w:t xml:space="preserve">za porušenie povinností podľa </w:t>
      </w:r>
      <w:r w:rsidR="00B41CC8" w:rsidRPr="001F5F92">
        <w:t>nariadenia (</w:t>
      </w:r>
      <w:r w:rsidR="00B41CC8">
        <w:t>EÚ) č. 910/2014 v platnom znení</w:t>
      </w:r>
    </w:p>
    <w:p w14:paraId="512AD875" w14:textId="77777777" w:rsidR="00B41CC8" w:rsidRDefault="00B41CC8" w:rsidP="00ED6EE8">
      <w:pPr>
        <w:widowControl/>
        <w:spacing w:after="100" w:afterAutospacing="1"/>
        <w:contextualSpacing/>
        <w:jc w:val="both"/>
      </w:pPr>
    </w:p>
    <w:p w14:paraId="73BEF0F8" w14:textId="775BF7DE" w:rsidR="00B41CC8" w:rsidRPr="00AC4345" w:rsidRDefault="00417E67" w:rsidP="00ED6EE8">
      <w:pPr>
        <w:widowControl/>
        <w:spacing w:after="100" w:afterAutospacing="1"/>
        <w:contextualSpacing/>
        <w:jc w:val="both"/>
        <w:rPr>
          <w:b/>
        </w:rPr>
      </w:pPr>
      <w:r w:rsidRPr="00417E67">
        <w:rPr>
          <w:b/>
        </w:rPr>
        <w:t>K bodu 1</w:t>
      </w:r>
      <w:r w:rsidR="0033377B">
        <w:rPr>
          <w:b/>
        </w:rPr>
        <w:t>9</w:t>
      </w:r>
    </w:p>
    <w:p w14:paraId="7F2F4C95" w14:textId="77777777" w:rsidR="00894BE4" w:rsidRPr="009F6EFF" w:rsidRDefault="00894BE4" w:rsidP="00894BE4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  <w:r>
        <w:t>V § 14 ods. 9 sa ustanovuje výška pokuty pre kvalifikovaného poskytovateľa</w:t>
      </w:r>
      <w:r w:rsidRPr="00911516">
        <w:t xml:space="preserve"> dôveryhodnej služby</w:t>
      </w:r>
      <w:r>
        <w:t xml:space="preserve"> za správny delikt podľa § 14 ods. 8 v súlade s požiadavkami čl. 16 ods. 2</w:t>
      </w:r>
      <w:r w:rsidRPr="006B1AF6">
        <w:t xml:space="preserve"> </w:t>
      </w:r>
      <w:r w:rsidRPr="009F6EFF">
        <w:t>nariaden</w:t>
      </w:r>
      <w:r>
        <w:t>ia</w:t>
      </w:r>
      <w:r w:rsidRPr="009F6EFF">
        <w:t xml:space="preserve"> (</w:t>
      </w:r>
      <w:r>
        <w:t>EÚ) č. </w:t>
      </w:r>
      <w:r w:rsidRPr="009F6EFF">
        <w:t>910/2014 v pla</w:t>
      </w:r>
      <w:r>
        <w:t>t</w:t>
      </w:r>
      <w:r w:rsidRPr="009F6EFF">
        <w:t>nom znení.</w:t>
      </w:r>
    </w:p>
    <w:p w14:paraId="5499DEF2" w14:textId="77777777" w:rsidR="00894BE4" w:rsidRDefault="00DE44EA" w:rsidP="00894BE4">
      <w:pPr>
        <w:widowControl/>
        <w:spacing w:after="100" w:afterAutospacing="1"/>
        <w:contextualSpacing/>
        <w:jc w:val="both"/>
      </w:pPr>
      <w:r>
        <w:t>V § 14 ods. 10 a 11 sa ustanovujú správne delikty poskytovateľa európskej peňaženky digitálnej identity a</w:t>
      </w:r>
      <w:r w:rsidR="00EE3909">
        <w:t xml:space="preserve"> výška pokút v </w:t>
      </w:r>
      <w:r w:rsidR="00EE3909" w:rsidRPr="00EE3909">
        <w:t>s</w:t>
      </w:r>
      <w:r w:rsidR="00EE3909">
        <w:t xml:space="preserve">úlade </w:t>
      </w:r>
      <w:r w:rsidR="0090474D">
        <w:t>s požiadavkami</w:t>
      </w:r>
      <w:r w:rsidR="00EE3909" w:rsidRPr="00EE3909">
        <w:t xml:space="preserve"> nariadenia</w:t>
      </w:r>
      <w:r w:rsidR="0090474D">
        <w:t xml:space="preserve"> </w:t>
      </w:r>
      <w:r w:rsidR="0090474D" w:rsidRPr="009F6EFF">
        <w:t>(</w:t>
      </w:r>
      <w:r w:rsidR="0090474D">
        <w:t>EÚ) č. </w:t>
      </w:r>
      <w:r w:rsidR="0090474D" w:rsidRPr="009F6EFF">
        <w:t>910/2014 v pla</w:t>
      </w:r>
      <w:r w:rsidR="0090474D">
        <w:t>t</w:t>
      </w:r>
      <w:r w:rsidR="0090474D" w:rsidRPr="009F6EFF">
        <w:t>nom znení</w:t>
      </w:r>
      <w:r w:rsidR="00EE3909" w:rsidRPr="00EE3909">
        <w:t>, aby  stanovené sankcie  boli účinné, primerané a odrádzajúce.</w:t>
      </w:r>
    </w:p>
    <w:p w14:paraId="71BEE9D9" w14:textId="77777777" w:rsidR="00ED6EE8" w:rsidRPr="00E97315" w:rsidRDefault="00ED6EE8" w:rsidP="00ED6EE8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</w:p>
    <w:p w14:paraId="441E101C" w14:textId="3CAA36B4" w:rsidR="00784D18" w:rsidRPr="009F6EFF" w:rsidRDefault="00784D18" w:rsidP="00784D18">
      <w:pPr>
        <w:rPr>
          <w:rStyle w:val="Zstupntext"/>
          <w:b/>
          <w:color w:val="auto"/>
        </w:rPr>
      </w:pPr>
      <w:r w:rsidRPr="009F6EFF">
        <w:rPr>
          <w:rStyle w:val="Zstupntext"/>
          <w:b/>
          <w:color w:val="auto"/>
        </w:rPr>
        <w:t xml:space="preserve">K bodu </w:t>
      </w:r>
      <w:r w:rsidR="0033377B">
        <w:rPr>
          <w:rStyle w:val="Zstupntext"/>
          <w:b/>
          <w:color w:val="auto"/>
        </w:rPr>
        <w:t>20</w:t>
      </w:r>
    </w:p>
    <w:p w14:paraId="505CD9C3" w14:textId="77777777" w:rsidR="00DA24A8" w:rsidRPr="00AC4345" w:rsidRDefault="00784D18" w:rsidP="00E97315">
      <w:pPr>
        <w:rPr>
          <w:rStyle w:val="Zstupntext"/>
          <w:color w:val="auto"/>
        </w:rPr>
      </w:pPr>
      <w:r w:rsidRPr="00AC4345">
        <w:rPr>
          <w:rStyle w:val="Zstupntext"/>
          <w:color w:val="auto"/>
        </w:rPr>
        <w:t>Ide o legislatívno-technickú úpravu súvisiacu so zmenami v § 14.</w:t>
      </w:r>
    </w:p>
    <w:p w14:paraId="151AF4A5" w14:textId="77777777" w:rsidR="00784D18" w:rsidRDefault="00784D18" w:rsidP="00E97315">
      <w:pPr>
        <w:rPr>
          <w:rStyle w:val="Zstupntext"/>
          <w:b/>
          <w:color w:val="auto"/>
        </w:rPr>
      </w:pPr>
    </w:p>
    <w:p w14:paraId="46281982" w14:textId="69017426" w:rsidR="00ED6EE8" w:rsidRPr="009F6EFF" w:rsidRDefault="00ED6EE8" w:rsidP="00E97315">
      <w:pPr>
        <w:rPr>
          <w:rStyle w:val="Zstupntext"/>
          <w:b/>
          <w:color w:val="auto"/>
        </w:rPr>
      </w:pPr>
      <w:r w:rsidRPr="009F6EFF">
        <w:rPr>
          <w:rStyle w:val="Zstupntext"/>
          <w:b/>
          <w:color w:val="auto"/>
        </w:rPr>
        <w:t xml:space="preserve">K bodu </w:t>
      </w:r>
      <w:r w:rsidR="007F7715">
        <w:rPr>
          <w:rStyle w:val="Zstupntext"/>
          <w:b/>
          <w:color w:val="auto"/>
        </w:rPr>
        <w:t>2</w:t>
      </w:r>
      <w:r w:rsidR="0033377B">
        <w:rPr>
          <w:rStyle w:val="Zstupntext"/>
          <w:b/>
          <w:color w:val="auto"/>
        </w:rPr>
        <w:t>1</w:t>
      </w:r>
    </w:p>
    <w:p w14:paraId="0B677994" w14:textId="13703AFC" w:rsidR="005679F0" w:rsidRDefault="00990FCD" w:rsidP="00E97315">
      <w:pPr>
        <w:pStyle w:val="Zkladntext2"/>
        <w:rPr>
          <w:bCs/>
        </w:rPr>
      </w:pPr>
      <w:r>
        <w:rPr>
          <w:rStyle w:val="Zstupntext"/>
          <w:color w:val="auto"/>
        </w:rPr>
        <w:t xml:space="preserve">V návrhu zákona sa vypúšťa ustanovenie o elektronickej podateľne, avšak táto úprava </w:t>
      </w:r>
      <w:r w:rsidR="005263B6">
        <w:rPr>
          <w:rStyle w:val="Zstupntext"/>
          <w:color w:val="auto"/>
        </w:rPr>
        <w:t>bude</w:t>
      </w:r>
      <w:r w:rsidR="00C73647">
        <w:rPr>
          <w:rStyle w:val="Zstupntext"/>
          <w:color w:val="auto"/>
        </w:rPr>
        <w:t xml:space="preserve"> upravená v zákone</w:t>
      </w:r>
      <w:r>
        <w:rPr>
          <w:rStyle w:val="Zstupntext"/>
          <w:color w:val="auto"/>
        </w:rPr>
        <w:t xml:space="preserve"> č. </w:t>
      </w:r>
      <w:r w:rsidR="00C73647" w:rsidRPr="001F5F92">
        <w:t>305/2013 Z. z. o elektronickej podobe výkonu pôsobnosti orgánov verejnej moci a o zmene a doplnení niektorých zákonov (zákon o e-</w:t>
      </w:r>
      <w:proofErr w:type="spellStart"/>
      <w:r w:rsidR="00C73647" w:rsidRPr="001F5F92">
        <w:t>Governmente</w:t>
      </w:r>
      <w:proofErr w:type="spellEnd"/>
      <w:r w:rsidR="00C73647" w:rsidRPr="001F5F92">
        <w:t>) v</w:t>
      </w:r>
      <w:r w:rsidR="00C73647">
        <w:t> </w:t>
      </w:r>
      <w:r w:rsidR="00C73647" w:rsidRPr="001F5F92">
        <w:t>znení</w:t>
      </w:r>
      <w:r w:rsidR="00C73647">
        <w:t xml:space="preserve"> neskorších predpisov</w:t>
      </w:r>
      <w:r w:rsidR="00854B05">
        <w:t xml:space="preserve">, ktorý je sprievodnou novelou ako </w:t>
      </w:r>
      <w:r w:rsidR="005263B6">
        <w:t>čl. II</w:t>
      </w:r>
      <w:r w:rsidR="00854B05">
        <w:t xml:space="preserve"> návrhu zákona, </w:t>
      </w:r>
      <w:r w:rsidR="00C73647" w:rsidRPr="00B6595E">
        <w:rPr>
          <w:rStyle w:val="Zstupntext"/>
          <w:color w:val="auto"/>
        </w:rPr>
        <w:t>spolu so splnomo</w:t>
      </w:r>
      <w:r w:rsidR="005263B6" w:rsidRPr="00B6595E">
        <w:rPr>
          <w:rStyle w:val="Zstupntext"/>
          <w:color w:val="auto"/>
        </w:rPr>
        <w:t>c</w:t>
      </w:r>
      <w:r w:rsidR="00B73A5C" w:rsidRPr="00B6595E">
        <w:rPr>
          <w:rStyle w:val="Zstupntext"/>
          <w:color w:val="auto"/>
        </w:rPr>
        <w:t>ňovacím ustanovením n</w:t>
      </w:r>
      <w:r w:rsidR="00C73647" w:rsidRPr="00B6595E">
        <w:rPr>
          <w:rStyle w:val="Zstupntext"/>
          <w:color w:val="auto"/>
        </w:rPr>
        <w:t xml:space="preserve">a vydanie podrobností </w:t>
      </w:r>
      <w:r w:rsidR="00C73647" w:rsidRPr="00B6595E">
        <w:rPr>
          <w:bCs/>
        </w:rPr>
        <w:t>o zabezpečení činností elektronickej podateľne súvisiace s prijímaním, odosielaním a potvrdzovaním prijatia elektronických dokumentov a elektronických dokumentov podpísaných kvalifikovaným elektronickým podpisom alebo zapečatených kvalifikovanou elektronickou pečaťou.</w:t>
      </w:r>
    </w:p>
    <w:p w14:paraId="53939037" w14:textId="2B9E5944" w:rsidR="000E3140" w:rsidRPr="00B6595E" w:rsidRDefault="000E3140" w:rsidP="00E97315">
      <w:pPr>
        <w:pStyle w:val="Zkladntext2"/>
        <w:rPr>
          <w:bCs/>
        </w:rPr>
      </w:pPr>
      <w:r>
        <w:rPr>
          <w:bCs/>
        </w:rPr>
        <w:t>Presun právnej úpravy v oblasti elektronickej podateľne je odôvodnený skutočnosťou, že nariade</w:t>
      </w:r>
      <w:r w:rsidR="00E8407C">
        <w:rPr>
          <w:bCs/>
        </w:rPr>
        <w:t xml:space="preserve">nie </w:t>
      </w:r>
      <w:r w:rsidR="00E8407C" w:rsidRPr="00E8407C">
        <w:rPr>
          <w:bCs/>
        </w:rPr>
        <w:t>(EÚ) č. 910/2014 v platnom znení</w:t>
      </w:r>
      <w:r w:rsidR="00E8407C">
        <w:rPr>
          <w:bCs/>
        </w:rPr>
        <w:t xml:space="preserve"> takýto inštitút nepozná a</w:t>
      </w:r>
      <w:r w:rsidR="008D7BD7">
        <w:rPr>
          <w:bCs/>
        </w:rPr>
        <w:t xml:space="preserve"> úprava je </w:t>
      </w:r>
      <w:r w:rsidR="00E8407C">
        <w:rPr>
          <w:bCs/>
        </w:rPr>
        <w:t>nad rámec predmetného nariadenia. Vzhľadom na skutočnosť, že elektroni</w:t>
      </w:r>
      <w:r w:rsidR="00027E9B">
        <w:rPr>
          <w:bCs/>
        </w:rPr>
        <w:t xml:space="preserve">cká podateľňa je etablovaný prvok v oblasti elektronickej komunikácie na vnútroštátnej úrovni a Ministerstvo </w:t>
      </w:r>
      <w:r w:rsidR="000D2F3E">
        <w:rPr>
          <w:bCs/>
        </w:rPr>
        <w:t xml:space="preserve">investícií, regionálneho rozvoja a informatizácie </w:t>
      </w:r>
      <w:r w:rsidR="00027E9B">
        <w:rPr>
          <w:bCs/>
        </w:rPr>
        <w:t xml:space="preserve">Slovenskej republiky a iné orgány verejnej moci </w:t>
      </w:r>
      <w:r w:rsidR="00027E9B">
        <w:rPr>
          <w:bCs/>
        </w:rPr>
        <w:lastRenderedPageBreak/>
        <w:t>prejavili potrebu tento inštitút zachovať</w:t>
      </w:r>
      <w:r w:rsidR="0097330E">
        <w:rPr>
          <w:bCs/>
        </w:rPr>
        <w:t xml:space="preserve"> na účely zabezpečenia elektronickej komunikácie v Slovenskej republike</w:t>
      </w:r>
      <w:r w:rsidR="00027E9B">
        <w:rPr>
          <w:bCs/>
        </w:rPr>
        <w:t xml:space="preserve">, dochádza </w:t>
      </w:r>
      <w:r w:rsidR="0097330E">
        <w:rPr>
          <w:bCs/>
        </w:rPr>
        <w:t xml:space="preserve">po dohode s Ministerstvom </w:t>
      </w:r>
      <w:r w:rsidR="00F65EFF">
        <w:rPr>
          <w:bCs/>
        </w:rPr>
        <w:t xml:space="preserve">investícií, regionálneho rozvoja a informatizácie </w:t>
      </w:r>
      <w:r w:rsidR="0097330E">
        <w:rPr>
          <w:bCs/>
        </w:rPr>
        <w:t xml:space="preserve">Slovenskej republiky </w:t>
      </w:r>
      <w:r w:rsidR="00027E9B">
        <w:rPr>
          <w:bCs/>
        </w:rPr>
        <w:t xml:space="preserve">k presunu právnej úpravy do </w:t>
      </w:r>
      <w:r w:rsidR="008D7BD7">
        <w:rPr>
          <w:bCs/>
        </w:rPr>
        <w:t>§ 10 ods. 7 a </w:t>
      </w:r>
      <w:r w:rsidR="000D2F3E">
        <w:rPr>
          <w:bCs/>
        </w:rPr>
        <w:t xml:space="preserve">§ </w:t>
      </w:r>
      <w:r w:rsidR="008D7BD7">
        <w:rPr>
          <w:bCs/>
        </w:rPr>
        <w:t xml:space="preserve">59 ods. 2 </w:t>
      </w:r>
      <w:r w:rsidR="008D7BD7">
        <w:rPr>
          <w:rStyle w:val="Zstupntext"/>
          <w:color w:val="auto"/>
        </w:rPr>
        <w:t xml:space="preserve">zákona č. </w:t>
      </w:r>
      <w:r w:rsidR="008D7BD7" w:rsidRPr="001F5F92">
        <w:t>305/2013 Z. z. o elektronickej podobe výkonu pôsobnosti orgánov verejnej moci a o zmene a doplnení niektorých zákonov (zákon o e-</w:t>
      </w:r>
      <w:proofErr w:type="spellStart"/>
      <w:r w:rsidR="008D7BD7" w:rsidRPr="001F5F92">
        <w:t>Governmente</w:t>
      </w:r>
      <w:proofErr w:type="spellEnd"/>
      <w:r w:rsidR="008D7BD7" w:rsidRPr="001F5F92">
        <w:t>) v</w:t>
      </w:r>
      <w:r w:rsidR="008D7BD7">
        <w:t> </w:t>
      </w:r>
      <w:r w:rsidR="008D7BD7" w:rsidRPr="001F5F92">
        <w:t>znení</w:t>
      </w:r>
      <w:r w:rsidR="008D7BD7">
        <w:t xml:space="preserve"> neskorších predpisov.</w:t>
      </w:r>
    </w:p>
    <w:p w14:paraId="1BAFE514" w14:textId="77777777" w:rsidR="005679F0" w:rsidRDefault="005679F0" w:rsidP="00E97315">
      <w:pPr>
        <w:pStyle w:val="Zkladntext2"/>
        <w:rPr>
          <w:bCs/>
          <w:highlight w:val="green"/>
        </w:rPr>
      </w:pPr>
    </w:p>
    <w:p w14:paraId="45F40097" w14:textId="77D1D10F" w:rsidR="005679F0" w:rsidRDefault="00417E67" w:rsidP="00E97315">
      <w:pPr>
        <w:pStyle w:val="Zkladntext2"/>
        <w:rPr>
          <w:b/>
          <w:bCs/>
        </w:rPr>
      </w:pPr>
      <w:r w:rsidRPr="00417E67">
        <w:rPr>
          <w:b/>
          <w:bCs/>
        </w:rPr>
        <w:t>K bodu 2</w:t>
      </w:r>
      <w:r w:rsidR="0033377B">
        <w:rPr>
          <w:b/>
          <w:bCs/>
        </w:rPr>
        <w:t>2</w:t>
      </w:r>
    </w:p>
    <w:p w14:paraId="537123AB" w14:textId="77777777" w:rsidR="00E1504E" w:rsidRDefault="005679F0" w:rsidP="00E97315">
      <w:pPr>
        <w:pStyle w:val="Zkladntext2"/>
        <w:rPr>
          <w:bCs/>
        </w:rPr>
      </w:pPr>
      <w:r w:rsidRPr="00AC4345">
        <w:rPr>
          <w:bCs/>
        </w:rPr>
        <w:t>Vypúšťa sa splnomocňovacie ustanovenie týkajúce sa</w:t>
      </w:r>
      <w:r w:rsidR="008A0E1D" w:rsidRPr="00AC4345">
        <w:rPr>
          <w:bCs/>
        </w:rPr>
        <w:t xml:space="preserve"> </w:t>
      </w:r>
      <w:r w:rsidRPr="00AC4345">
        <w:rPr>
          <w:bCs/>
        </w:rPr>
        <w:t xml:space="preserve">elektronickej </w:t>
      </w:r>
      <w:r w:rsidR="00C8392C">
        <w:rPr>
          <w:bCs/>
        </w:rPr>
        <w:t>podateľne</w:t>
      </w:r>
      <w:r w:rsidR="006E45AE">
        <w:rPr>
          <w:bCs/>
        </w:rPr>
        <w:t xml:space="preserve">, keďže táto úpravu bude upravená v </w:t>
      </w:r>
      <w:r w:rsidR="00E1504E" w:rsidRPr="00E1504E">
        <w:rPr>
          <w:bCs/>
        </w:rPr>
        <w:t>zákone č. 305/2013 Z. z. o elektronickej podobe výkonu pôsobnosti orgánov verejnej moci a o zmene a doplnení niektorých zákonov (zákon o e-</w:t>
      </w:r>
      <w:proofErr w:type="spellStart"/>
      <w:r w:rsidR="00E1504E" w:rsidRPr="00E1504E">
        <w:rPr>
          <w:bCs/>
        </w:rPr>
        <w:t>Governmente</w:t>
      </w:r>
      <w:proofErr w:type="spellEnd"/>
      <w:r w:rsidR="00E1504E" w:rsidRPr="00E1504E">
        <w:rPr>
          <w:bCs/>
        </w:rPr>
        <w:t>) v znení neskorších predpisov, ktorý je sprievodnou novelou ako čl. II návrhu zákona</w:t>
      </w:r>
      <w:r w:rsidR="00C8392C">
        <w:rPr>
          <w:bCs/>
        </w:rPr>
        <w:t xml:space="preserve">. </w:t>
      </w:r>
    </w:p>
    <w:p w14:paraId="3CC76FE8" w14:textId="3252CD07" w:rsidR="005679F0" w:rsidRPr="00AC4345" w:rsidRDefault="00C8392C" w:rsidP="00E97315">
      <w:pPr>
        <w:pStyle w:val="Zkladntext2"/>
        <w:rPr>
          <w:b/>
          <w:bCs/>
        </w:rPr>
      </w:pPr>
      <w:r>
        <w:rPr>
          <w:bCs/>
        </w:rPr>
        <w:t xml:space="preserve">Súčasne sa navrhuje </w:t>
      </w:r>
      <w:r w:rsidR="008A0E1D" w:rsidRPr="00AC4345">
        <w:rPr>
          <w:bCs/>
        </w:rPr>
        <w:t>ustanovi</w:t>
      </w:r>
      <w:r w:rsidR="005679F0" w:rsidRPr="00AC4345">
        <w:rPr>
          <w:bCs/>
        </w:rPr>
        <w:t xml:space="preserve">ť splnomocňovacie ustanovenie na vydanie </w:t>
      </w:r>
      <w:r w:rsidR="008A0E1D" w:rsidRPr="00AC4345">
        <w:rPr>
          <w:bCs/>
        </w:rPr>
        <w:t>všeobecne záväzného právneho predpisu, ktorý</w:t>
      </w:r>
      <w:r w:rsidR="00E1504E">
        <w:rPr>
          <w:bCs/>
        </w:rPr>
        <w:t>m</w:t>
      </w:r>
      <w:r w:rsidR="008A0E1D" w:rsidRPr="00AC4345">
        <w:rPr>
          <w:bCs/>
        </w:rPr>
        <w:t xml:space="preserve"> sa ustanovia</w:t>
      </w:r>
      <w:r w:rsidR="008A0E1D">
        <w:rPr>
          <w:b/>
          <w:bCs/>
        </w:rPr>
        <w:t xml:space="preserve"> </w:t>
      </w:r>
      <w:r w:rsidR="008A0E1D">
        <w:t xml:space="preserve">opatrenia v oblasti elektronickej identifikácie a dôveryhodných služieb podľa </w:t>
      </w:r>
      <w:r w:rsidR="008A0E1D" w:rsidRPr="001F5F92">
        <w:rPr>
          <w:noProof/>
        </w:rPr>
        <w:t xml:space="preserve">nariadenia (EÚ) č. 910/2014 </w:t>
      </w:r>
      <w:r w:rsidR="008A0E1D" w:rsidRPr="001F5F92">
        <w:t>v platnom znení</w:t>
      </w:r>
      <w:r w:rsidR="003D5B12">
        <w:t>. Ide o obdobné splnomocňovacie ustanovenie</w:t>
      </w:r>
      <w:r w:rsidR="00E1504E">
        <w:t xml:space="preserve"> ako je</w:t>
      </w:r>
      <w:r w:rsidR="003D5B12">
        <w:t xml:space="preserve"> ustanovené v zákone č. 69/2018 Z. z., ktoré vyplýva z aplikačnej praxe, kedy sa bežne stáva, že Eur</w:t>
      </w:r>
      <w:r w:rsidR="00B73A5C">
        <w:t>ópska komisia mešká s prijatím vykonávacích</w:t>
      </w:r>
      <w:r w:rsidR="003D5B12">
        <w:t xml:space="preserve"> </w:t>
      </w:r>
      <w:r w:rsidR="00B73A5C">
        <w:t>nariadení</w:t>
      </w:r>
      <w:r w:rsidR="003D5B12">
        <w:t xml:space="preserve"> k</w:t>
      </w:r>
      <w:r w:rsidR="00C74732">
        <w:t xml:space="preserve"> európskemu </w:t>
      </w:r>
      <w:r w:rsidR="003D5B12">
        <w:t> nariadeniu</w:t>
      </w:r>
      <w:r w:rsidR="00C74732">
        <w:t>. Ide teda o riešenie sit</w:t>
      </w:r>
      <w:r w:rsidR="006B7F6A">
        <w:t>u</w:t>
      </w:r>
      <w:r w:rsidR="00C74732">
        <w:t>ácie, ktorá v budúcnosti môže vzniknúť a</w:t>
      </w:r>
      <w:r w:rsidR="00770399">
        <w:t> </w:t>
      </w:r>
      <w:r w:rsidR="00C74732">
        <w:t>úrad</w:t>
      </w:r>
      <w:r w:rsidR="00770399">
        <w:t xml:space="preserve">, </w:t>
      </w:r>
      <w:r w:rsidR="00C74732">
        <w:t>ako</w:t>
      </w:r>
      <w:r w:rsidR="00770399">
        <w:t xml:space="preserve"> orgán</w:t>
      </w:r>
      <w:r w:rsidR="00C74732">
        <w:t xml:space="preserve"> zodpovedný </w:t>
      </w:r>
      <w:r w:rsidR="00770399">
        <w:t>za</w:t>
      </w:r>
      <w:r w:rsidR="00E1504E">
        <w:t xml:space="preserve"> danú</w:t>
      </w:r>
      <w:r w:rsidR="00C74732">
        <w:t xml:space="preserve"> oblasť</w:t>
      </w:r>
      <w:r w:rsidR="00770399">
        <w:t>,</w:t>
      </w:r>
      <w:r w:rsidR="00C74732">
        <w:t xml:space="preserve"> </w:t>
      </w:r>
      <w:r w:rsidR="006B7F6A">
        <w:t xml:space="preserve">má zámer byť pripravený legislatívne na to, ak táto situácia vznikne, aby mal právny základ na vydanie </w:t>
      </w:r>
      <w:r w:rsidR="00770399">
        <w:t>vykonávacieho právneho predpisu</w:t>
      </w:r>
      <w:r w:rsidR="006B7F6A">
        <w:t>.</w:t>
      </w:r>
      <w:r w:rsidR="00C74732">
        <w:t xml:space="preserve"> </w:t>
      </w:r>
      <w:r w:rsidR="003D5B12">
        <w:t xml:space="preserve"> </w:t>
      </w:r>
    </w:p>
    <w:p w14:paraId="4A1CE2F5" w14:textId="77777777" w:rsidR="005679F0" w:rsidRPr="00AC4345" w:rsidRDefault="005679F0" w:rsidP="00E97315">
      <w:pPr>
        <w:pStyle w:val="Zkladntext2"/>
        <w:rPr>
          <w:b/>
          <w:bCs/>
        </w:rPr>
      </w:pPr>
    </w:p>
    <w:p w14:paraId="513BBC60" w14:textId="2D904C47" w:rsidR="005679F0" w:rsidRDefault="005679F0" w:rsidP="00E97315">
      <w:pPr>
        <w:pStyle w:val="Zkladntext2"/>
        <w:rPr>
          <w:b/>
          <w:bCs/>
        </w:rPr>
      </w:pPr>
      <w:r w:rsidRPr="00AC4345">
        <w:rPr>
          <w:b/>
          <w:bCs/>
        </w:rPr>
        <w:t>K bodu 2</w:t>
      </w:r>
      <w:r w:rsidR="00FD4997">
        <w:rPr>
          <w:b/>
          <w:bCs/>
        </w:rPr>
        <w:t>3</w:t>
      </w:r>
    </w:p>
    <w:p w14:paraId="7BB693E0" w14:textId="072AFFDD" w:rsidR="00ED6EE8" w:rsidRDefault="0069638F" w:rsidP="00E97315">
      <w:pPr>
        <w:pStyle w:val="Zkladntext2"/>
        <w:rPr>
          <w:bCs/>
        </w:rPr>
      </w:pPr>
      <w:r w:rsidRPr="00AC4345">
        <w:rPr>
          <w:bCs/>
        </w:rPr>
        <w:t xml:space="preserve">Z dôvodu ponechania mandátnych certifikátov a zavedenia elektronického osvedčenia atribútov </w:t>
      </w:r>
      <w:r w:rsidR="00D807FD" w:rsidRPr="00AC4345">
        <w:rPr>
          <w:bCs/>
        </w:rPr>
        <w:t xml:space="preserve">v súlade s </w:t>
      </w:r>
      <w:r w:rsidR="00D807FD" w:rsidRPr="00CF7481">
        <w:rPr>
          <w:noProof/>
        </w:rPr>
        <w:t xml:space="preserve">nariadením (EÚ) č. 910/2014 </w:t>
      </w:r>
      <w:r w:rsidR="00D807FD" w:rsidRPr="00CF7481">
        <w:t>v platnom znení</w:t>
      </w:r>
      <w:r w:rsidR="00D807FD" w:rsidRPr="00AC4345">
        <w:rPr>
          <w:bCs/>
        </w:rPr>
        <w:t xml:space="preserve"> </w:t>
      </w:r>
      <w:r w:rsidRPr="00AC4345">
        <w:rPr>
          <w:bCs/>
        </w:rPr>
        <w:t>sa ustanovuje vzťah medzi týmito inštitútmi</w:t>
      </w:r>
      <w:r w:rsidR="006E45AE">
        <w:rPr>
          <w:bCs/>
        </w:rPr>
        <w:t>.</w:t>
      </w:r>
    </w:p>
    <w:p w14:paraId="056F792E" w14:textId="17F7F489" w:rsidR="00F17FD8" w:rsidRDefault="00F17FD8" w:rsidP="00E97315">
      <w:pPr>
        <w:pStyle w:val="Zkladntext2"/>
        <w:rPr>
          <w:bCs/>
        </w:rPr>
      </w:pPr>
    </w:p>
    <w:p w14:paraId="1E6CE11F" w14:textId="2D0C4264" w:rsidR="00F17FD8" w:rsidRPr="00977F41" w:rsidRDefault="00F17FD8" w:rsidP="00E97315">
      <w:pPr>
        <w:pStyle w:val="Zkladntext2"/>
        <w:rPr>
          <w:b/>
          <w:bCs/>
        </w:rPr>
      </w:pPr>
      <w:r w:rsidRPr="00977F41">
        <w:rPr>
          <w:b/>
          <w:bCs/>
        </w:rPr>
        <w:t>K bodu 25</w:t>
      </w:r>
    </w:p>
    <w:p w14:paraId="4A5BB20C" w14:textId="6E9550B3" w:rsidR="00F17FD8" w:rsidRPr="0069638F" w:rsidRDefault="00F17FD8" w:rsidP="00E97315">
      <w:pPr>
        <w:pStyle w:val="Zkladntext2"/>
        <w:rPr>
          <w:rStyle w:val="Zstupntext"/>
          <w:color w:val="auto"/>
        </w:rPr>
      </w:pPr>
      <w:r>
        <w:rPr>
          <w:bCs/>
        </w:rPr>
        <w:t xml:space="preserve">Ide o opravu chyby v písaní v platnom znení zákona, keďže </w:t>
      </w:r>
      <w:r w:rsidR="00A52BBB">
        <w:rPr>
          <w:bCs/>
        </w:rPr>
        <w:t>v poznámke pod čiarou k odkazom 43 a 44</w:t>
      </w:r>
      <w:r>
        <w:rPr>
          <w:bCs/>
        </w:rPr>
        <w:t xml:space="preserve"> </w:t>
      </w:r>
      <w:r w:rsidR="006E45AE">
        <w:rPr>
          <w:bCs/>
        </w:rPr>
        <w:t xml:space="preserve">je </w:t>
      </w:r>
      <w:r w:rsidR="00A52BBB">
        <w:rPr>
          <w:bCs/>
        </w:rPr>
        <w:t xml:space="preserve">uvedený </w:t>
      </w:r>
      <w:r w:rsidR="006E45AE">
        <w:rPr>
          <w:bCs/>
        </w:rPr>
        <w:t xml:space="preserve">nesprávny </w:t>
      </w:r>
      <w:r>
        <w:rPr>
          <w:bCs/>
        </w:rPr>
        <w:t>odkaz na nariadenie (EÚ) č. 910/2016 a správne má ísť o nariadenie (EÚ) č. 910/2014.</w:t>
      </w:r>
      <w:r w:rsidR="00993A2C">
        <w:rPr>
          <w:bCs/>
        </w:rPr>
        <w:t xml:space="preserve"> </w:t>
      </w:r>
    </w:p>
    <w:p w14:paraId="2653F2E2" w14:textId="77777777" w:rsidR="000519B1" w:rsidRPr="00AC4345" w:rsidRDefault="000519B1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  <w:u w:val="single"/>
        </w:rPr>
      </w:pPr>
      <w:r w:rsidRPr="00AC4345">
        <w:rPr>
          <w:rStyle w:val="Zstupntext"/>
          <w:b/>
          <w:color w:val="auto"/>
          <w:u w:val="single"/>
        </w:rPr>
        <w:t>K čl. II</w:t>
      </w:r>
    </w:p>
    <w:p w14:paraId="759F511E" w14:textId="77777777" w:rsidR="002A022D" w:rsidRPr="009F6EFF" w:rsidRDefault="002A022D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  <w:u w:val="single"/>
        </w:rPr>
      </w:pPr>
    </w:p>
    <w:p w14:paraId="7BF7EB6C" w14:textId="77777777" w:rsidR="00C8392C" w:rsidRDefault="00E37E5B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</w:rPr>
      </w:pPr>
      <w:r w:rsidRPr="00AC4345">
        <w:rPr>
          <w:rStyle w:val="Zstupntext"/>
          <w:b/>
          <w:color w:val="auto"/>
        </w:rPr>
        <w:t>K bodu 1</w:t>
      </w:r>
    </w:p>
    <w:p w14:paraId="710F946E" w14:textId="77777777" w:rsidR="00E37E5B" w:rsidRPr="00AC4345" w:rsidRDefault="00E37E5B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</w:rPr>
      </w:pPr>
      <w:r w:rsidRPr="00AC4345">
        <w:rPr>
          <w:rStyle w:val="Zstupntext"/>
          <w:color w:val="auto"/>
        </w:rPr>
        <w:t>V nadväznosti na vypustenie úpravy elektronickej podateľne zo zákona č. 272/2014 Z. z. sa navrhuje úprava</w:t>
      </w:r>
      <w:r w:rsidR="006E2F54" w:rsidRPr="00AC4345">
        <w:rPr>
          <w:rStyle w:val="Zstupntext"/>
          <w:color w:val="auto"/>
        </w:rPr>
        <w:t xml:space="preserve"> v predmetnej úprave v zákone </w:t>
      </w:r>
      <w:r w:rsidRPr="00AC4345">
        <w:rPr>
          <w:rStyle w:val="Zstupntext"/>
          <w:color w:val="auto"/>
        </w:rPr>
        <w:t xml:space="preserve"> </w:t>
      </w:r>
      <w:r w:rsidRPr="006E2F54">
        <w:t>č. 305</w:t>
      </w:r>
      <w:r w:rsidRPr="001F5F92">
        <w:t>/2013 Z. z. o elektronickej podobe výkonu pôsobnosti orgánov verejnej moci a o zmene a doplnení niektorých zákonov (zákon o e-</w:t>
      </w:r>
      <w:proofErr w:type="spellStart"/>
      <w:r w:rsidRPr="001F5F92">
        <w:t>Governmente</w:t>
      </w:r>
      <w:proofErr w:type="spellEnd"/>
      <w:r w:rsidRPr="001F5F92">
        <w:t>) v</w:t>
      </w:r>
      <w:r w:rsidR="006E2F54">
        <w:t> </w:t>
      </w:r>
      <w:r w:rsidRPr="001F5F92">
        <w:t>znení</w:t>
      </w:r>
      <w:r w:rsidR="006E2F54">
        <w:t xml:space="preserve"> neskorších predpisov.</w:t>
      </w:r>
    </w:p>
    <w:p w14:paraId="7DBE2616" w14:textId="77777777" w:rsidR="006E2F54" w:rsidRDefault="006E2F54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</w:rPr>
      </w:pPr>
    </w:p>
    <w:p w14:paraId="02C80A04" w14:textId="77777777" w:rsidR="00C8392C" w:rsidRDefault="00E37E5B" w:rsidP="00AC4345">
      <w:pPr>
        <w:widowControl/>
        <w:spacing w:after="100" w:afterAutospacing="1"/>
        <w:contextualSpacing/>
        <w:jc w:val="both"/>
        <w:rPr>
          <w:rStyle w:val="Zstupntext"/>
          <w:b/>
          <w:color w:val="auto"/>
        </w:rPr>
      </w:pPr>
      <w:r w:rsidRPr="00AC4345">
        <w:rPr>
          <w:rStyle w:val="Zstupntext"/>
          <w:b/>
          <w:color w:val="auto"/>
        </w:rPr>
        <w:t>K bodu 2</w:t>
      </w:r>
    </w:p>
    <w:p w14:paraId="4F34DDD8" w14:textId="77777777" w:rsidR="006E2F54" w:rsidRPr="00AC4345" w:rsidRDefault="006E2F54" w:rsidP="00AC4345">
      <w:pPr>
        <w:widowControl/>
        <w:spacing w:after="100" w:afterAutospacing="1"/>
        <w:contextualSpacing/>
        <w:jc w:val="both"/>
        <w:rPr>
          <w:b/>
        </w:rPr>
      </w:pPr>
      <w:r w:rsidRPr="003B0432">
        <w:rPr>
          <w:rStyle w:val="Zstupntext"/>
          <w:color w:val="auto"/>
        </w:rPr>
        <w:t xml:space="preserve">Splnomocňovacie ustanovenie na vydanie podrobností </w:t>
      </w:r>
      <w:r w:rsidRPr="003B0432">
        <w:rPr>
          <w:bCs/>
        </w:rPr>
        <w:t>o zabezpečení činností elektronickej podateľne súvisiace s prijímaním, odosielaním a potvrdzovaním prijatia elektronických dokumentov a elektronických dokumentov podpísaných kvalifikovaným elektronickým podpisom alebo zapečatených kvalifikovanou elektronickou pečaťou.</w:t>
      </w:r>
    </w:p>
    <w:p w14:paraId="3A2F8F9F" w14:textId="77777777" w:rsidR="006E2F54" w:rsidRDefault="006E2F54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  <w:u w:val="single"/>
        </w:rPr>
      </w:pPr>
    </w:p>
    <w:p w14:paraId="4DA5A3AC" w14:textId="77777777" w:rsidR="009039B9" w:rsidRPr="009F6EFF" w:rsidRDefault="009039B9" w:rsidP="009039B9">
      <w:pPr>
        <w:widowControl/>
        <w:spacing w:after="100" w:afterAutospacing="1"/>
        <w:contextualSpacing/>
        <w:jc w:val="both"/>
        <w:rPr>
          <w:rStyle w:val="Zstupntext"/>
          <w:b/>
          <w:color w:val="auto"/>
          <w:u w:val="single"/>
        </w:rPr>
      </w:pPr>
      <w:r w:rsidRPr="009F6EFF">
        <w:rPr>
          <w:rStyle w:val="Zstupntext"/>
          <w:b/>
          <w:color w:val="auto"/>
          <w:u w:val="single"/>
        </w:rPr>
        <w:t>K čl. II</w:t>
      </w:r>
      <w:r w:rsidR="000519B1">
        <w:rPr>
          <w:rStyle w:val="Zstupntext"/>
          <w:b/>
          <w:color w:val="auto"/>
          <w:u w:val="single"/>
        </w:rPr>
        <w:t>I</w:t>
      </w:r>
    </w:p>
    <w:p w14:paraId="704896DD" w14:textId="77777777" w:rsidR="003B0432" w:rsidRDefault="003B0432" w:rsidP="009039B9">
      <w:pPr>
        <w:widowControl/>
        <w:spacing w:after="100" w:afterAutospacing="1"/>
        <w:contextualSpacing/>
        <w:jc w:val="both"/>
        <w:rPr>
          <w:rStyle w:val="Zstupntext"/>
          <w:color w:val="auto"/>
        </w:rPr>
      </w:pPr>
    </w:p>
    <w:p w14:paraId="6684E050" w14:textId="6279A8AB" w:rsidR="009039B9" w:rsidRPr="009F6EFF" w:rsidRDefault="009039B9" w:rsidP="009039B9">
      <w:pPr>
        <w:widowControl/>
        <w:spacing w:after="100" w:afterAutospacing="1"/>
        <w:contextualSpacing/>
        <w:jc w:val="both"/>
        <w:rPr>
          <w:rStyle w:val="Zstupntext"/>
          <w:color w:val="000000"/>
        </w:rPr>
      </w:pPr>
      <w:r w:rsidRPr="009F6EFF">
        <w:rPr>
          <w:rStyle w:val="Zstupntext"/>
          <w:color w:val="auto"/>
        </w:rPr>
        <w:t>Navrhuje</w:t>
      </w:r>
      <w:r w:rsidRPr="009F6EFF">
        <w:rPr>
          <w:rStyle w:val="Zstupntext"/>
          <w:color w:val="000000"/>
        </w:rPr>
        <w:t xml:space="preserve"> sa účinnosť</w:t>
      </w:r>
      <w:r w:rsidR="004D428F" w:rsidRPr="009F6EFF">
        <w:rPr>
          <w:rStyle w:val="Zstupntext"/>
          <w:color w:val="000000"/>
        </w:rPr>
        <w:t xml:space="preserve"> </w:t>
      </w:r>
      <w:r w:rsidRPr="009F6EFF">
        <w:rPr>
          <w:rStyle w:val="Zstupntext"/>
          <w:color w:val="000000"/>
        </w:rPr>
        <w:t>zákona</w:t>
      </w:r>
      <w:r w:rsidR="006E2F54">
        <w:rPr>
          <w:rStyle w:val="Zstupntext"/>
          <w:color w:val="000000"/>
        </w:rPr>
        <w:t xml:space="preserve"> vzhľadom na dĺžku legislatívneho procesu a potreby implementácie nariadenia</w:t>
      </w:r>
      <w:r w:rsidR="00C8392C">
        <w:rPr>
          <w:rStyle w:val="Zstupntext"/>
          <w:color w:val="000000"/>
        </w:rPr>
        <w:t xml:space="preserve"> </w:t>
      </w:r>
      <w:r w:rsidR="00C8392C" w:rsidRPr="001F5F92">
        <w:rPr>
          <w:noProof/>
        </w:rPr>
        <w:t xml:space="preserve">(EÚ) č. 910/2014 </w:t>
      </w:r>
      <w:r w:rsidR="00C8392C" w:rsidRPr="001F5F92">
        <w:t>v platnom znení</w:t>
      </w:r>
    </w:p>
    <w:sectPr w:rsidR="009039B9" w:rsidRPr="009F6EFF" w:rsidSect="00923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66BF" w14:textId="77777777" w:rsidR="00E37E5B" w:rsidRDefault="00E37E5B" w:rsidP="00DC6955">
      <w:r>
        <w:separator/>
      </w:r>
    </w:p>
  </w:endnote>
  <w:endnote w:type="continuationSeparator" w:id="0">
    <w:p w14:paraId="56EEE8D8" w14:textId="77777777" w:rsidR="00E37E5B" w:rsidRDefault="00E37E5B" w:rsidP="00D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6632" w14:textId="77777777" w:rsidR="006E1C35" w:rsidRDefault="006E1C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657514"/>
      <w:docPartObj>
        <w:docPartGallery w:val="Page Numbers (Bottom of Page)"/>
        <w:docPartUnique/>
      </w:docPartObj>
    </w:sdtPr>
    <w:sdtEndPr/>
    <w:sdtContent>
      <w:p w14:paraId="6C280311" w14:textId="6C093682" w:rsidR="006E2F54" w:rsidRDefault="006E2F5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D5C">
          <w:rPr>
            <w:noProof/>
          </w:rPr>
          <w:t>5</w:t>
        </w:r>
        <w:r>
          <w:fldChar w:fldCharType="end"/>
        </w:r>
      </w:p>
    </w:sdtContent>
  </w:sdt>
  <w:p w14:paraId="560A936B" w14:textId="77777777" w:rsidR="006E2F54" w:rsidRDefault="006E2F5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2BA7" w14:textId="77777777" w:rsidR="006E1C35" w:rsidRDefault="006E1C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8248" w14:textId="77777777" w:rsidR="00E37E5B" w:rsidRDefault="00E37E5B" w:rsidP="00DC6955">
      <w:r>
        <w:separator/>
      </w:r>
    </w:p>
  </w:footnote>
  <w:footnote w:type="continuationSeparator" w:id="0">
    <w:p w14:paraId="7814BBFC" w14:textId="77777777" w:rsidR="00E37E5B" w:rsidRDefault="00E37E5B" w:rsidP="00D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203F" w14:textId="77777777" w:rsidR="006E1C35" w:rsidRDefault="006E1C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1D0D" w14:textId="77777777" w:rsidR="006E1C35" w:rsidRDefault="006E1C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3CDE" w14:textId="77777777" w:rsidR="006E1C35" w:rsidRDefault="006E1C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430"/>
    <w:multiLevelType w:val="hybridMultilevel"/>
    <w:tmpl w:val="8B7EE1E8"/>
    <w:lvl w:ilvl="0" w:tplc="38F8C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9B"/>
    <w:rsid w:val="00006C59"/>
    <w:rsid w:val="00010663"/>
    <w:rsid w:val="00010E69"/>
    <w:rsid w:val="00012A12"/>
    <w:rsid w:val="00014E4A"/>
    <w:rsid w:val="000163CB"/>
    <w:rsid w:val="00027E9B"/>
    <w:rsid w:val="000368A7"/>
    <w:rsid w:val="00040DED"/>
    <w:rsid w:val="000441D4"/>
    <w:rsid w:val="00046A67"/>
    <w:rsid w:val="00046F8C"/>
    <w:rsid w:val="00050A9E"/>
    <w:rsid w:val="00051740"/>
    <w:rsid w:val="000519B1"/>
    <w:rsid w:val="00052E00"/>
    <w:rsid w:val="0005389B"/>
    <w:rsid w:val="00064487"/>
    <w:rsid w:val="0006532A"/>
    <w:rsid w:val="000740C5"/>
    <w:rsid w:val="00075A92"/>
    <w:rsid w:val="000765CA"/>
    <w:rsid w:val="00077F5F"/>
    <w:rsid w:val="000835F7"/>
    <w:rsid w:val="000903EB"/>
    <w:rsid w:val="000A282F"/>
    <w:rsid w:val="000A6F85"/>
    <w:rsid w:val="000A7C27"/>
    <w:rsid w:val="000B56B1"/>
    <w:rsid w:val="000B57A8"/>
    <w:rsid w:val="000C604A"/>
    <w:rsid w:val="000C7FDD"/>
    <w:rsid w:val="000D2F3E"/>
    <w:rsid w:val="000D308A"/>
    <w:rsid w:val="000E3140"/>
    <w:rsid w:val="000E71B5"/>
    <w:rsid w:val="000F6A01"/>
    <w:rsid w:val="00101C07"/>
    <w:rsid w:val="00102A1B"/>
    <w:rsid w:val="00113260"/>
    <w:rsid w:val="00123B84"/>
    <w:rsid w:val="00140220"/>
    <w:rsid w:val="00140630"/>
    <w:rsid w:val="00140823"/>
    <w:rsid w:val="00140ACA"/>
    <w:rsid w:val="00141E35"/>
    <w:rsid w:val="00156846"/>
    <w:rsid w:val="001768D1"/>
    <w:rsid w:val="00180630"/>
    <w:rsid w:val="00190677"/>
    <w:rsid w:val="001958FC"/>
    <w:rsid w:val="001A7DEA"/>
    <w:rsid w:val="001C5714"/>
    <w:rsid w:val="001C6E6A"/>
    <w:rsid w:val="001E3B7E"/>
    <w:rsid w:val="001F2847"/>
    <w:rsid w:val="001F51A8"/>
    <w:rsid w:val="001F5628"/>
    <w:rsid w:val="001F7E5B"/>
    <w:rsid w:val="002004E0"/>
    <w:rsid w:val="00205F68"/>
    <w:rsid w:val="002121EB"/>
    <w:rsid w:val="00214635"/>
    <w:rsid w:val="00222F76"/>
    <w:rsid w:val="002234FB"/>
    <w:rsid w:val="00223EDD"/>
    <w:rsid w:val="00233B8F"/>
    <w:rsid w:val="00235437"/>
    <w:rsid w:val="00235795"/>
    <w:rsid w:val="002502A0"/>
    <w:rsid w:val="00252818"/>
    <w:rsid w:val="00256485"/>
    <w:rsid w:val="00277DEE"/>
    <w:rsid w:val="00283F69"/>
    <w:rsid w:val="0029408C"/>
    <w:rsid w:val="002A022D"/>
    <w:rsid w:val="002B35D8"/>
    <w:rsid w:val="002E669F"/>
    <w:rsid w:val="002F2C75"/>
    <w:rsid w:val="002F7A35"/>
    <w:rsid w:val="00306EF4"/>
    <w:rsid w:val="00313468"/>
    <w:rsid w:val="0031587E"/>
    <w:rsid w:val="00332F30"/>
    <w:rsid w:val="0033377B"/>
    <w:rsid w:val="003425AE"/>
    <w:rsid w:val="00343ACD"/>
    <w:rsid w:val="0035043D"/>
    <w:rsid w:val="00360932"/>
    <w:rsid w:val="003655B4"/>
    <w:rsid w:val="00371F2D"/>
    <w:rsid w:val="00375C05"/>
    <w:rsid w:val="003841A6"/>
    <w:rsid w:val="00392E44"/>
    <w:rsid w:val="003958C8"/>
    <w:rsid w:val="00397AF6"/>
    <w:rsid w:val="003A43FA"/>
    <w:rsid w:val="003B0432"/>
    <w:rsid w:val="003B6963"/>
    <w:rsid w:val="003C2537"/>
    <w:rsid w:val="003C3CE5"/>
    <w:rsid w:val="003D5B12"/>
    <w:rsid w:val="003E257E"/>
    <w:rsid w:val="003E3100"/>
    <w:rsid w:val="003E69EC"/>
    <w:rsid w:val="003F50BB"/>
    <w:rsid w:val="0040598F"/>
    <w:rsid w:val="00417E67"/>
    <w:rsid w:val="00433788"/>
    <w:rsid w:val="0043777C"/>
    <w:rsid w:val="00451D5C"/>
    <w:rsid w:val="0048064F"/>
    <w:rsid w:val="00487C8E"/>
    <w:rsid w:val="00493962"/>
    <w:rsid w:val="004B2892"/>
    <w:rsid w:val="004B4D7F"/>
    <w:rsid w:val="004B5114"/>
    <w:rsid w:val="004C6233"/>
    <w:rsid w:val="004D428F"/>
    <w:rsid w:val="004D55CC"/>
    <w:rsid w:val="004E2C5B"/>
    <w:rsid w:val="004E5E9D"/>
    <w:rsid w:val="004E5F7C"/>
    <w:rsid w:val="004F02F2"/>
    <w:rsid w:val="004F57FB"/>
    <w:rsid w:val="00500F43"/>
    <w:rsid w:val="00511D6A"/>
    <w:rsid w:val="005263B6"/>
    <w:rsid w:val="005571C4"/>
    <w:rsid w:val="00566B04"/>
    <w:rsid w:val="005679F0"/>
    <w:rsid w:val="00571BC2"/>
    <w:rsid w:val="00581DC4"/>
    <w:rsid w:val="005828D8"/>
    <w:rsid w:val="005855AC"/>
    <w:rsid w:val="0059274E"/>
    <w:rsid w:val="005A3D9F"/>
    <w:rsid w:val="005B6109"/>
    <w:rsid w:val="005C383E"/>
    <w:rsid w:val="005D3C4F"/>
    <w:rsid w:val="005D4895"/>
    <w:rsid w:val="005E2CCB"/>
    <w:rsid w:val="005E6779"/>
    <w:rsid w:val="005F4690"/>
    <w:rsid w:val="005F5F46"/>
    <w:rsid w:val="00610673"/>
    <w:rsid w:val="00625D41"/>
    <w:rsid w:val="00655449"/>
    <w:rsid w:val="006555B2"/>
    <w:rsid w:val="00660039"/>
    <w:rsid w:val="006723FA"/>
    <w:rsid w:val="00675401"/>
    <w:rsid w:val="0067666F"/>
    <w:rsid w:val="00677A48"/>
    <w:rsid w:val="0069638F"/>
    <w:rsid w:val="006A46EE"/>
    <w:rsid w:val="006A48FF"/>
    <w:rsid w:val="006A5CDD"/>
    <w:rsid w:val="006A7712"/>
    <w:rsid w:val="006B1AF6"/>
    <w:rsid w:val="006B6D6D"/>
    <w:rsid w:val="006B7F6A"/>
    <w:rsid w:val="006C0B5F"/>
    <w:rsid w:val="006C1F68"/>
    <w:rsid w:val="006C3484"/>
    <w:rsid w:val="006D4835"/>
    <w:rsid w:val="006D5CB6"/>
    <w:rsid w:val="006D75E5"/>
    <w:rsid w:val="006E1889"/>
    <w:rsid w:val="006E18C4"/>
    <w:rsid w:val="006E1C35"/>
    <w:rsid w:val="006E2F54"/>
    <w:rsid w:val="006E45AE"/>
    <w:rsid w:val="00710733"/>
    <w:rsid w:val="00720188"/>
    <w:rsid w:val="00735A8C"/>
    <w:rsid w:val="007511F9"/>
    <w:rsid w:val="00751A17"/>
    <w:rsid w:val="00760017"/>
    <w:rsid w:val="00761949"/>
    <w:rsid w:val="00765990"/>
    <w:rsid w:val="00770399"/>
    <w:rsid w:val="007748F7"/>
    <w:rsid w:val="007753C8"/>
    <w:rsid w:val="00780D3E"/>
    <w:rsid w:val="00784036"/>
    <w:rsid w:val="00784D18"/>
    <w:rsid w:val="00794021"/>
    <w:rsid w:val="00796819"/>
    <w:rsid w:val="007A425F"/>
    <w:rsid w:val="007A46E7"/>
    <w:rsid w:val="007C1001"/>
    <w:rsid w:val="007C1C8E"/>
    <w:rsid w:val="007C2A55"/>
    <w:rsid w:val="007C4945"/>
    <w:rsid w:val="007C5BB7"/>
    <w:rsid w:val="007C7C3A"/>
    <w:rsid w:val="007D156C"/>
    <w:rsid w:val="007D2111"/>
    <w:rsid w:val="007D485E"/>
    <w:rsid w:val="007D62F0"/>
    <w:rsid w:val="007E0E0F"/>
    <w:rsid w:val="007E2311"/>
    <w:rsid w:val="007F7715"/>
    <w:rsid w:val="00804A92"/>
    <w:rsid w:val="00811A36"/>
    <w:rsid w:val="00815CF4"/>
    <w:rsid w:val="0081703E"/>
    <w:rsid w:val="008258D2"/>
    <w:rsid w:val="00826D2A"/>
    <w:rsid w:val="00832255"/>
    <w:rsid w:val="00854B05"/>
    <w:rsid w:val="00864DA9"/>
    <w:rsid w:val="0086765D"/>
    <w:rsid w:val="00871C10"/>
    <w:rsid w:val="008733EE"/>
    <w:rsid w:val="008745AB"/>
    <w:rsid w:val="008804D4"/>
    <w:rsid w:val="00894BE4"/>
    <w:rsid w:val="00897444"/>
    <w:rsid w:val="008A0E1D"/>
    <w:rsid w:val="008A464E"/>
    <w:rsid w:val="008C4B9F"/>
    <w:rsid w:val="008D101F"/>
    <w:rsid w:val="008D3846"/>
    <w:rsid w:val="008D7BD7"/>
    <w:rsid w:val="008E2349"/>
    <w:rsid w:val="008F3664"/>
    <w:rsid w:val="009039B9"/>
    <w:rsid w:val="0090474D"/>
    <w:rsid w:val="0090640F"/>
    <w:rsid w:val="00916F2A"/>
    <w:rsid w:val="009233C4"/>
    <w:rsid w:val="009335B7"/>
    <w:rsid w:val="009535E1"/>
    <w:rsid w:val="009540E9"/>
    <w:rsid w:val="00954617"/>
    <w:rsid w:val="00955AD0"/>
    <w:rsid w:val="009707CD"/>
    <w:rsid w:val="0097330E"/>
    <w:rsid w:val="00977A0C"/>
    <w:rsid w:val="00977F41"/>
    <w:rsid w:val="00990FCD"/>
    <w:rsid w:val="00993A2C"/>
    <w:rsid w:val="009A0EE2"/>
    <w:rsid w:val="009A2090"/>
    <w:rsid w:val="009A2A6F"/>
    <w:rsid w:val="009A789D"/>
    <w:rsid w:val="009C426E"/>
    <w:rsid w:val="009D3356"/>
    <w:rsid w:val="009D5250"/>
    <w:rsid w:val="009E1174"/>
    <w:rsid w:val="009F6EFF"/>
    <w:rsid w:val="00A17C60"/>
    <w:rsid w:val="00A52BBB"/>
    <w:rsid w:val="00A53759"/>
    <w:rsid w:val="00A55EB9"/>
    <w:rsid w:val="00A61BD4"/>
    <w:rsid w:val="00A622B1"/>
    <w:rsid w:val="00A632F2"/>
    <w:rsid w:val="00A64AD2"/>
    <w:rsid w:val="00AA79ED"/>
    <w:rsid w:val="00AA7B42"/>
    <w:rsid w:val="00AB2F2A"/>
    <w:rsid w:val="00AC4345"/>
    <w:rsid w:val="00AE268B"/>
    <w:rsid w:val="00B00C42"/>
    <w:rsid w:val="00B01E5A"/>
    <w:rsid w:val="00B27191"/>
    <w:rsid w:val="00B32F6E"/>
    <w:rsid w:val="00B41CC8"/>
    <w:rsid w:val="00B42B5A"/>
    <w:rsid w:val="00B44B9F"/>
    <w:rsid w:val="00B57C8C"/>
    <w:rsid w:val="00B6595E"/>
    <w:rsid w:val="00B73A5C"/>
    <w:rsid w:val="00B744D9"/>
    <w:rsid w:val="00B75243"/>
    <w:rsid w:val="00B85A00"/>
    <w:rsid w:val="00B94F17"/>
    <w:rsid w:val="00BA6E9D"/>
    <w:rsid w:val="00BC1C11"/>
    <w:rsid w:val="00BD0BD1"/>
    <w:rsid w:val="00BE11DD"/>
    <w:rsid w:val="00BE43A3"/>
    <w:rsid w:val="00BE6CCD"/>
    <w:rsid w:val="00BF3F3D"/>
    <w:rsid w:val="00C01482"/>
    <w:rsid w:val="00C03018"/>
    <w:rsid w:val="00C108A1"/>
    <w:rsid w:val="00C15E26"/>
    <w:rsid w:val="00C30FB4"/>
    <w:rsid w:val="00C318A4"/>
    <w:rsid w:val="00C321D6"/>
    <w:rsid w:val="00C3731E"/>
    <w:rsid w:val="00C40935"/>
    <w:rsid w:val="00C41F68"/>
    <w:rsid w:val="00C45270"/>
    <w:rsid w:val="00C4531C"/>
    <w:rsid w:val="00C47097"/>
    <w:rsid w:val="00C50BFB"/>
    <w:rsid w:val="00C540CD"/>
    <w:rsid w:val="00C616B5"/>
    <w:rsid w:val="00C7193A"/>
    <w:rsid w:val="00C73647"/>
    <w:rsid w:val="00C74732"/>
    <w:rsid w:val="00C75352"/>
    <w:rsid w:val="00C8392C"/>
    <w:rsid w:val="00C91464"/>
    <w:rsid w:val="00C9191D"/>
    <w:rsid w:val="00CA1EC8"/>
    <w:rsid w:val="00CB60CC"/>
    <w:rsid w:val="00CC32C1"/>
    <w:rsid w:val="00CC5790"/>
    <w:rsid w:val="00CF4ADE"/>
    <w:rsid w:val="00CF7481"/>
    <w:rsid w:val="00D02755"/>
    <w:rsid w:val="00D02DC5"/>
    <w:rsid w:val="00D060E9"/>
    <w:rsid w:val="00D06768"/>
    <w:rsid w:val="00D11B22"/>
    <w:rsid w:val="00D43507"/>
    <w:rsid w:val="00D51089"/>
    <w:rsid w:val="00D5222B"/>
    <w:rsid w:val="00D75062"/>
    <w:rsid w:val="00D7542F"/>
    <w:rsid w:val="00D807FD"/>
    <w:rsid w:val="00D82794"/>
    <w:rsid w:val="00D87D7B"/>
    <w:rsid w:val="00D96C60"/>
    <w:rsid w:val="00DA24A8"/>
    <w:rsid w:val="00DA3384"/>
    <w:rsid w:val="00DC13E2"/>
    <w:rsid w:val="00DC6955"/>
    <w:rsid w:val="00DC748F"/>
    <w:rsid w:val="00DD5CBC"/>
    <w:rsid w:val="00DE260A"/>
    <w:rsid w:val="00DE44EA"/>
    <w:rsid w:val="00DF3795"/>
    <w:rsid w:val="00E07F04"/>
    <w:rsid w:val="00E1504E"/>
    <w:rsid w:val="00E1663A"/>
    <w:rsid w:val="00E1784E"/>
    <w:rsid w:val="00E37E5B"/>
    <w:rsid w:val="00E44BD5"/>
    <w:rsid w:val="00E50B02"/>
    <w:rsid w:val="00E5470C"/>
    <w:rsid w:val="00E74615"/>
    <w:rsid w:val="00E83C15"/>
    <w:rsid w:val="00E8407C"/>
    <w:rsid w:val="00E85AF2"/>
    <w:rsid w:val="00E862B7"/>
    <w:rsid w:val="00E9478F"/>
    <w:rsid w:val="00E962B7"/>
    <w:rsid w:val="00E97315"/>
    <w:rsid w:val="00E976E6"/>
    <w:rsid w:val="00EC6E43"/>
    <w:rsid w:val="00ED1565"/>
    <w:rsid w:val="00ED26CF"/>
    <w:rsid w:val="00ED6EE8"/>
    <w:rsid w:val="00EE3909"/>
    <w:rsid w:val="00EE57DB"/>
    <w:rsid w:val="00F0055B"/>
    <w:rsid w:val="00F0066D"/>
    <w:rsid w:val="00F040CA"/>
    <w:rsid w:val="00F05C0E"/>
    <w:rsid w:val="00F07992"/>
    <w:rsid w:val="00F17FD8"/>
    <w:rsid w:val="00F31410"/>
    <w:rsid w:val="00F36F32"/>
    <w:rsid w:val="00F44697"/>
    <w:rsid w:val="00F44F1B"/>
    <w:rsid w:val="00F4584F"/>
    <w:rsid w:val="00F636FB"/>
    <w:rsid w:val="00F65EFF"/>
    <w:rsid w:val="00F661D8"/>
    <w:rsid w:val="00F7372C"/>
    <w:rsid w:val="00F77F71"/>
    <w:rsid w:val="00F80203"/>
    <w:rsid w:val="00F80A2C"/>
    <w:rsid w:val="00F85EF3"/>
    <w:rsid w:val="00F865BF"/>
    <w:rsid w:val="00F93BAE"/>
    <w:rsid w:val="00FA234F"/>
    <w:rsid w:val="00FA55AB"/>
    <w:rsid w:val="00FB2F8D"/>
    <w:rsid w:val="00FC26D4"/>
    <w:rsid w:val="00FD1AE0"/>
    <w:rsid w:val="00FD38AD"/>
    <w:rsid w:val="00FD4997"/>
    <w:rsid w:val="00FF0C4F"/>
    <w:rsid w:val="00FF3BAA"/>
    <w:rsid w:val="00FF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2AE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39B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1F2D"/>
    <w:pPr>
      <w:keepNext/>
      <w:widowControl/>
      <w:contextualSpacing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040CA"/>
    <w:pPr>
      <w:keepNext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39B9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039B9"/>
    <w:rPr>
      <w:rFonts w:ascii="Times New Roman" w:hAnsi="Times New Roman" w:cs="Times New Roman" w:hint="default"/>
      <w:color w:val="80808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A28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C6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69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69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69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F6EFF"/>
    <w:pPr>
      <w:autoSpaceDE w:val="0"/>
      <w:autoSpaceDN w:val="0"/>
      <w:jc w:val="both"/>
    </w:pPr>
    <w:rPr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F6EFF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71F2D"/>
    <w:pPr>
      <w:widowControl/>
      <w:spacing w:after="100" w:afterAutospacing="1"/>
      <w:contextualSpacing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71F2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71F2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040CA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5A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5A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5A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5A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5A0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5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5A0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4_B_dôvodová-správa_osobitná-časť"/>
    <f:field ref="objsubject" par="" edit="true" text=""/>
    <f:field ref="objcreatedby" par="" text="Klačko, Lubomír"/>
    <f:field ref="objcreatedat" par="" text="12.7.2024 14:54:48"/>
    <f:field ref="objchangedby" par="" text="Administrator, System"/>
    <f:field ref="objmodifiedat" par="" text="12.7.2024 14:54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2024-09-16T11:37:00Z</dcterms:created>
  <dcterms:modified xsi:type="dcterms:W3CDTF">2024-09-19T09:54:00Z</dcterms:modified>
</cp:coreProperties>
</file>