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CF362F" w:rsidRDefault="00CF362F">
      <w:pPr>
        <w:jc w:val="center"/>
        <w:divId w:val="1905942842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Zákon, 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  <w:r w:rsidR="00E64720">
              <w:rPr>
                <w:rFonts w:ascii="Times New Roman" w:hAnsi="Times New Roman" w:cs="Calibri"/>
                <w:sz w:val="20"/>
                <w:szCs w:val="20"/>
              </w:rPr>
              <w:t>19. 7. – 8. 8. 2024/ bežný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64720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CF362F" w:rsidP="00CF362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42 /2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CF362F" w:rsidP="00CF362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42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CF362F" w:rsidP="00CF362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31 /2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CF362F" w:rsidP="00CF362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4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CF362F" w:rsidP="00CF362F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7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64720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64720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64720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64720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CF362F" w:rsidRDefault="00CF362F" w:rsidP="00E64720">
      <w:pPr>
        <w:spacing w:after="0" w:line="240" w:lineRule="auto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37"/>
        <w:gridCol w:w="1405"/>
        <w:gridCol w:w="1405"/>
        <w:gridCol w:w="1392"/>
        <w:gridCol w:w="1038"/>
      </w:tblGrid>
      <w:tr w:rsidR="00CF362F" w:rsidTr="00E64720">
        <w:trPr>
          <w:divId w:val="1977908735"/>
          <w:jc w:val="center"/>
        </w:trPr>
        <w:tc>
          <w:tcPr>
            <w:tcW w:w="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2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(1o,1z)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 (5o,0z)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 (31o,0z)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(0o,1z)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školstva,výskumu,vývoja a mládeže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cestovného ruchu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informačná služba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na ochranu osobných údajov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37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52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53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54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územné plánovanie a výstavbu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55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reguláciu sieťových odvetví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56</w:t>
            </w:r>
            <w:r w:rsidR="00CF362F">
              <w:rPr>
                <w:rFonts w:ascii="Times" w:hAnsi="Times" w:cs="Times"/>
                <w:sz w:val="25"/>
                <w:szCs w:val="25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Samosprávne kraje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362F">
        <w:trPr>
          <w:divId w:val="19779087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 (40o,2z)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CF362F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62F" w:rsidRDefault="00E64720" w:rsidP="00E64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bookmarkStart w:id="0" w:name="_GoBack"/>
            <w:bookmarkEnd w:id="0"/>
          </w:p>
        </w:tc>
      </w:tr>
    </w:tbl>
    <w:p w:rsidR="00BF7CE0" w:rsidRPr="00BF7CE0" w:rsidRDefault="00BF7CE0" w:rsidP="00E64720">
      <w:pPr>
        <w:spacing w:after="0" w:line="240" w:lineRule="auto"/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Vyhodnotenie vecných pripomienok je uvedené v tabuľkovej časti.</w:t>
      </w:r>
    </w:p>
    <w:p w:rsidR="00BF7CE0" w:rsidRPr="00BF7CE0" w:rsidRDefault="00BF7CE0" w:rsidP="00E6472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E64720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E64720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E64720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E64720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E64720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E64720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E64720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 w:rsidP="00E64720">
      <w:pPr>
        <w:spacing w:after="0" w:line="240" w:lineRule="auto"/>
      </w:pPr>
      <w:r>
        <w:br w:type="page"/>
      </w:r>
    </w:p>
    <w:p w:rsidR="00CF362F" w:rsidRDefault="00CF362F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558"/>
        <w:gridCol w:w="570"/>
        <w:gridCol w:w="570"/>
        <w:gridCol w:w="3897"/>
      </w:tblGrid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>1. V čl. I bode 5 v § 14 ods. 4 navrhujeme slová „nevzťahujú ustanovenia tretej časti zákona“ nahradiť slovami „nevzťahuje tretia časť“. 2. V čl. I bode 6 v § 14a ods. 3 navrhujeme slová „rozsahu odhadovanej dĺžky trvania“ nahradiť slovami „odhadovanom trvaní“. 3. V čl. I bode 6 v § 14a ods. 1 a 4 navrhujeme vypustiť slovo „najneskôr“ a slová „bol vydaný nahradiť slovami „sa vydal“. 4. V čl. I bode 10 navrhujeme slová „bola podaná“ nahradiť slovami „sa podala“ a slová „bola...podaná“ slovami „sa...podala“. 5. V čl. I bode 11 navrhujeme slová „bol vydaný“ nahradiť slovami „sa vydal“ a slová „bol ...vydaný“ slovami „sa...vydal“.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Pripomienky v bodoch 3, 4 a 5 neboli akceptované z dôvodu, že rovnaká formulácia je použitá aj v platnom znení zákona.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čl. II</w:t>
            </w:r>
            <w:r>
              <w:rPr>
                <w:rFonts w:ascii="Times" w:hAnsi="Times" w:cs="Times"/>
                <w:sz w:val="25"/>
                <w:szCs w:val="25"/>
              </w:rPr>
              <w:br/>
              <w:t>V čl. II vo všetkých novelizačných bodoch navrhujeme vypustiť slová „Sadzobník správnych poplatkov časti XVIII. Konzulárne poplatky“ z dôvodu nadbytočnosti, a postačuje uvádzať len konkrétnu položku, keďže položky sú priebežne číslované (obdobne ako sú číslované paragrafy) a teda uvádzanie časti a jej nadpisu nemá pridanú hodnotu z hľadiska orientácie. V čl. II bodoch 1 a 6 navrhujeme slovo „položke“ nahradiť sovom „položkách“. V čl. II navrhujeme zlúčiť novelizačné body 2 a 3 s úvodnou vetou: „V prílohe položka 243 znie:“, keďže bodom 2 sa novelizujú všetky písmená položky 243 a bodom 3 sa položka 243 dopĺňa písmenom i).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Návrh je potrebné zosúladiť s prílohou č. 1 Legislatívnych pravidiel vlády SR (napríklad v čl. I bode 5 úvodnej vete slová „nad § 14“ nahradiť slovami „nad paragrafom“, v § 14 ods. 2 prvej vete za slovo „od“ vložiť slovo „jeho“, v § 14 ods. 2 druhej vete vypustiť čiarku a slová „a to na základe jeho žiadosti“, pretože uvedená skutočnosť už vyplýva z § 14 ods. 1, v § 14 ods. 3 na konci za slovo „štáty“ vložiť slová „Európskej únie“, v poznámke pod čiarou k odkazu 10a na konci pripojiť tieto slová: „v znení zákona č. 8/2018 Z. z.“, v bode 6 § 14a ods. 3 slová „odseku 2“ nahradiť slovami „odseku 1“ a slová „rozsahu odhadovanej dĺžky trvania“ nahradiť slovami „odhadovanom čase“, v 14a ods. 5 prvej vete vypustiť slovo „mimoriadne“ ako nadbytočné, v bode 14 úvodnej vete za slovo „druhým“ vložiť slovo „bodom“, v čl. II úvodnej vete za slová „zákona č. 342/2005 Z. z.,“ vložiť slová „zákona č. 468/2005 Z. z.,“, za slová „zákona č. 427/2022 Z. z.,“ vložiť slová „zákona č. 429/2022 Z. z.,“ a slová „zákona č. 332/2023 Z. z. a zákona č. 530/2023 Z. z.“ nahradiť slovami „zákona č. 332/2023 Z. z., zákona č. 530/2023 Z. z., zákona č. 120/2024 Z. z., zákona č. 142/2024 Z. z., zákona č. 160/2024 Z. z., zákona č. 161/2024 Z. z. a zákona č. 162/2024 Z. z.“, v bode 2 novelizovať len tie písmená položky 243, kde dochádza k zmenám oproti platnému zneniu zákona).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Neakceptovaná pripomienka týkajúca sa vypustenia slova „mimoriadne“ v § 14a ods. 5 prvej vete, vzhľadom na znenie transponovanej smernice (EÚ) 2019/997 (čl. 4 ods. 6).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doložke vybraných vplyvov je označený pozitívny vplyv (zvýšenie súm správnych poplatkov) a negatívny vplyv (úprava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informačného systému a obstaranie čistopisov) na rozpočet verejnej správy, ktorý nie je rozpočtovo zabezpečený. V Analýze vplyvov na rozpočet verejnej správy, na zamestnanosť vo verejnej správe a financovanie návrhu je kvantifikované zvýšenie príjmov v sume 171 799 eur ročne od roku 2025 a zvýšenie výdavkov v kapitole Ministerstva zahraničných vecí a európskych záležitostí SR v sume 57 000 eur v roku 2025 a v sume 12 500 eur v roku 2026. Žiadame všetky negatívne vplyvy vyplývajúce z návrhu zákona zabezpečiť v rámci schválených limitov výdavkov kapitoly Ministerstva zahraničných vecí a európskych záležitostí SR, bez dodatočných požiadaviek na rozpočet verejnej správy. V nadväznosti na uvedené je potrebné upraviť doložku vybraných vplyvov a Analýzu vplyvov na rozpočet verejnej správy, na zamestnanosť vo verejnej správe a financovanie návrhu tak, aby z nich nevyplýval rozpočtovo nekrytý vplyv.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Negatívne vplyvy budú rozpočtovo zabezpečené v rámci kapitoly MZVEZ SR. Doložka vybraných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vplyvov a analýza vplyvov na rozpočet verejnej správy boli upravené v zmysle pripomienky.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MKSR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K čl. I K bodu 6: V § 14a ods. 7 odporúčame poslednú vetu naformulovať takto: „V tomto prípade konzulárnu ochranu nezastúpenému občanovi poskytne príslušný orgán členského štátu, ktorého je daná osoba občanom.“. Odôvodnenie: Súlad s dôvodovou správou, podľa ktorej by zo zákona mala jednoznačne vyplývať povinnosť poskytnúť konzulárnu ochranu. K bodu 10: V § 23 ods. 4 poslednej vete v časti za bodkočiarkou navrhujeme slovo „orgán“ nahradiť slovami „policajný útvar“. Odôvodnenie: Súlad s dôvodovou správou a napríklad aj s bodom 11 (§ 27 ods. 3).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Pripomienka k § 14a ods. 7 neakceptovaná vzhľadom na znenie transponovanej smernice (čl. 4 ods. 4). Pripomienka k § 23 ods. 4 neakceptovaná vzhľadom na to, že nemusí ísť vždy o policajný útvar. 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textu návrhu</w:t>
            </w:r>
            <w:r>
              <w:rPr>
                <w:rFonts w:ascii="Times" w:hAnsi="Times" w:cs="Times"/>
                <w:sz w:val="25"/>
                <w:szCs w:val="25"/>
              </w:rPr>
              <w:br/>
              <w:t>Predkladateľovi odporúčame upraviť celý text návrhu po gramatickej stránke. Gramatická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Materiál upravený v zmysle uplatnených pripomienok. 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textu návrhu</w:t>
            </w:r>
            <w:r>
              <w:rPr>
                <w:rFonts w:ascii="Times" w:hAnsi="Times" w:cs="Times"/>
                <w:sz w:val="25"/>
                <w:szCs w:val="25"/>
              </w:rPr>
              <w:br/>
              <w:t>Predkladateľovi odporúčame v celom texte návrhu používať legislatívne skratky v súlade s bodom 9.1. až 9.5. Prílohy č. 1 k Legislatívnym pravidlám vlády Slovenskej republiky. Legislatívno-technická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Legislatívna skratka v návrhu zákona je zavedená v súlade s Legislatívnymi pravidlami vlády SR.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I. bod 6</w:t>
            </w:r>
            <w:r>
              <w:rPr>
                <w:rFonts w:ascii="Times" w:hAnsi="Times" w:cs="Times"/>
                <w:sz w:val="25"/>
                <w:szCs w:val="25"/>
              </w:rPr>
              <w:br/>
              <w:t>Predkladateľovi odporúčame v odseku 3 nahradiť slová "podľa odseku 2" slovami "podľa odseku 1", nakoľko odsek 2 predmetného ustanovenia upravuje povinnosť zastupiteľského úradu poskytnúť všetky dostupné informácie o občanovi a nie overenie štátnej príslušnosti a totožnosti, na ktoré má odsek 3 odkazovať. Legislatívno-technická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Predkladacej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>Predkladateľovi odporúčame v predposlednom odseku v prvej vete slovo "ktorá" nahradiť slovom "ktoré" a v druhej vete slovo "ktorých" nahradiť slovom "ktoré", nakoľko ide o nesprávny tvar slova. Gramatická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I. bod 14</w:t>
            </w:r>
            <w:r>
              <w:rPr>
                <w:rFonts w:ascii="Times" w:hAnsi="Times" w:cs="Times"/>
                <w:sz w:val="25"/>
                <w:szCs w:val="25"/>
              </w:rPr>
              <w:br/>
              <w:t>Predkladateľovi odporúčame v úvodnej vete za slovo "druhým" doplniť slovo "bodom". Legislatívno-technická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návrhu zákona: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K Čl. I bod 5: V záujme zabezpečenia úplnej a správnej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transpozície čl. 10 ods. 2 smernice (EÚ) 2019/997 žiadame prepracovať navrhované znenie ustanovenia § 14 ods. 3 tak, aby reflektoval aj na plnenie notifikačnej povinnosti v prípade zmeny určeného subjektu.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1. V bode 3 písm. b) doložky zlučiteľnosti žiadame uviesť pri delegovanej smernici (EÚ) 2024/1986 aj gestora.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sprievodným dokumentom:</w:t>
            </w:r>
            <w:r>
              <w:rPr>
                <w:rFonts w:ascii="Times" w:hAnsi="Times" w:cs="Times"/>
                <w:sz w:val="25"/>
                <w:szCs w:val="25"/>
              </w:rPr>
              <w:br/>
              <w:t>1. V doložke vybraných vplyvov žiadame uviesť v prvom bode v časti Charakter predkladaného materiálu aj delegovanú smernicu Komisie (EÚ) 2024/1986 zo 6. mája 2024, ktorou sa mení smernica Rady (EÚ) 2019/997, pokiaľ ide o strojovo čitateľnú časť náhradného cestovného dokladu EÚ (Ú. v. EÚ L, 2024/1986, 16.7.2024).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 delegovanou smernicou (EÚ) 2024/1986:</w:t>
            </w:r>
            <w:r>
              <w:rPr>
                <w:rFonts w:ascii="Times" w:hAnsi="Times" w:cs="Times"/>
                <w:sz w:val="25"/>
                <w:szCs w:val="25"/>
              </w:rPr>
              <w:br/>
              <w:t>1. Žiadame upraviť v ľavom záhlaví tabuľky zhody citáciu smernice nasledovne: „delegovaná smernica Komisie (EÚ) 2024/1986 zo 6. mája 2024, ktorou sa mení smernica Rady (EÚ) 2019/997, pokiaľ ide o strojovo čitateľnú časť náhradného cestovného dokladu EÚ (Ú. v. EÚ L, 2024/1986, 16.7.2024)“.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Žiadame upraviť v ľavom záhlaví tabuľky zhody citáciu uvádzanej smernice nasledovne: „smernica Rady (EÚ) 2019/997 z 18. júna 2019, ktorou sa zavádza náhradný cestovný doklad EÚ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a zrušuje rozhodnutie 96/409/SZBP (Ú. v. EÚ L 163, 20.6.2019)“.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10. Žiadame preukázať transpozíciu čl. 15 smernice (EÚ) 2019/997 do slovenského právneho poriadku v záujme zabezpečenia úplnej a správnej transpozície. Uvádzané transpozičné opatrenia považujeme za nedostatočné.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Doplnená vysvetľujúca poznámka do tabuľky zhody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11. Žiadame preukázať transpozíciu čl. 16 ods. 1 písm. a) smernice (EÚ) 2019/997 do slovenského právneho poriadku. Uvádzané transpozičné opatrenia považujeme za nedostatočné.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Transpozíciu považujeme za dostatočnú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12. Pri preukazovaní transpozície čl. 16 ods. 1 písm. b) smernice (EÚ) 2019/997 žiadame uviesť v treťom stĺpci tabuľky zhody písmeno „N“ nakoľko predstavuje ustanovenie s bežnou transpozíciou. Zároveň žiadame transpozíciu tohto ustanovenia smernice preukázať.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SR sa rozhodla ustanovenie čl. 7 neprebrať do svojho právneho poriadku, keďže ide o dobrovoľnú transpozíciu. Nepovinne vydávané náhradné cestovné doklady EÚ teda nebudeme vydávať. Preto je monitorovanie týchto cestovných dokladov bezpredmetné.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13. Žiadame preukázať transpozíciu čl. 16 ods. 1 písm. c) smernice (EÚ) 2019/997 do slovenského právneho poriadku, nakoľko máme za to, že ustanovenie predstavuje bežnú transpozíciu a uvádzané transpozičné opatrenia sú nedostatočné.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Počet prípadov podvodov a falšovania v súvislosti s náhradnými cestovnými dokladmi EÚ sa eviduje ako trestný čin Falšovanie a pozmeňovanie verejnej listiny, úradnej pečate, úradnej uzávery, úradného znaku 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úradnej značky podľa § 352 Trestného zákona v Štatistike kriminality v SR, ktorú vedie Ministerstvo vnútra SR.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14. Pri preukazovaní transpozície čl. 18 ods. 3 smernice (EÚ) 2019/997 žiadame uviesť do poznámky v stĺpci 8 či Slovenská republika zabezpečí zničenie a zneplatnenie formulárov a na podklade čoho.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15. Pri preukazovaní transpozície čl. 19 ods. 2 smernice (EÚ) 2019/997 žiadame uviesť ako transpozičné opatrenie aj relevantné ustanovenie zákona č. 575/2001 Z. z.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16. Žiadame náležite vyplniť v tabuľke zhody aj transpozíciu Prílohy I a Prílohy II smernice (EÚ) 2019/997 tak, že sa uvedú konkrétne relevantné ustanovenia návrhu vyhlášky.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 delegovanou smernicou (EÚ) 2024/1986:</w:t>
            </w:r>
            <w:r>
              <w:rPr>
                <w:rFonts w:ascii="Times" w:hAnsi="Times" w:cs="Times"/>
                <w:sz w:val="25"/>
                <w:szCs w:val="25"/>
              </w:rPr>
              <w:br/>
              <w:t>2. Do pravého záhlavia tabuľky zhody žiadame doplniť aj návrh zákona a zákon č. 575/2001 Z. z.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návrhu zákona: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2. K Čl. I bod 6: V záujme zabezpečenia úplnej a správnej transpozície čl. 4 ods. 2 smernice (EÚ) 2019/997 žiadame prepracovať navrhované znenie ustanovenia § 14a ods. 2 tak, že dôjde k nahradeniu slov „všetky dostupné informácie“ slovami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„všetky relevantné informácie“ v kontexte poskytovania informácii o nezastúpenom občanovi, nakoľko akékoľvek poskytovanie informácii týkajúcich sa osobných údajov by malo rešpektovať zásadu minimalizácie a teda malo by byť primerané, relevantné a obmedzené na rozsah, ktorý je nevyhnutný vzhľadom na účely, na ktoré sa spracúvajú.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2. V bode 4 písm. a) doložky zlučiteľnosti žiadame uviesť, že transpozičná lehota je 9. december 2024, pričom ustanovenia sa uplatňujú od 9. decembra 2025.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sprievodným dokumentom:</w:t>
            </w:r>
            <w:r>
              <w:rPr>
                <w:rFonts w:ascii="Times" w:hAnsi="Times" w:cs="Times"/>
                <w:sz w:val="25"/>
                <w:szCs w:val="25"/>
              </w:rPr>
              <w:br/>
              <w:t>2. Vo všetkých sprievodných dokumentoch žiadame uvádzať citáciu smerníc nasledovne: - delegovaná smernica Komisie (EÚ) 2024/1986 zo 6. mája 2024, ktorou sa mení smernica Rady (EÚ) 2019/997, pokiaľ ide o strojovo čitateľnú časť náhradného cestovného dokladu EÚ (Ú. v. EÚ L, 2024/1986, 16.7.2024), ktorej skrátená citácia znie „delegovaná smernica (EÚ) 2024/1986“, - smernica Rady (EÚ) 2019/997 z 18. júna 2019, ktorou sa zavádza náhradný cestovný doklad EÚ a zrušuje rozhodnutie 96/409/SZBP (Ú. v. EÚ L 163, 20.6.2019), ktorej skrátená citácia znie „smernica (EÚ) 2019/9997“.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2. Žiadame podrobiť celú tabuľku zhody formálnej korektúre. Konkrétne je potrebné samostatne uvádzať jednotlivé odseky článkov smernice, ktorých transpozíciu je potrebné preukazovať v samostatných riadkoch. Rovnako tak, je potrebné označenie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„P“ v prvom stĺpci tabuľky zhody nahradiť písmenom „O“.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návrhu zákona:</w:t>
            </w:r>
            <w:r>
              <w:rPr>
                <w:rFonts w:ascii="Times" w:hAnsi="Times" w:cs="Times"/>
                <w:sz w:val="25"/>
                <w:szCs w:val="25"/>
              </w:rPr>
              <w:br/>
              <w:t>3. K Čl. I bod 6: Žiadame prepracovať navrhované znenie ustanovenia § 14a ods. 2 a to pokiaľ ide o kópie listín preukazujúcich totožnosť nezastúpeného občana. Smernica (EÚ) 2019/997 vo svojom článku 4 ods. 2 uvádza, čo je možné za takúto listinu považovať. Navrhované znenie ustanovenie § 14a ods. 2 je potrebné prepracovať tak, aby reflektovalo na vymedzenie stanovené smernicou, a to demonštratívnym výpočtom.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 osobitnej časti dôvodovej správy doplnené, čo možno považovať za listinu preukazujúcu totožnosť nezastúpeného občana.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 delegovanou smernicou (EÚ) 2024/1986:</w:t>
            </w:r>
            <w:r>
              <w:rPr>
                <w:rFonts w:ascii="Times" w:hAnsi="Times" w:cs="Times"/>
                <w:sz w:val="25"/>
                <w:szCs w:val="25"/>
              </w:rPr>
              <w:br/>
              <w:t>3. Pri preukazovaní transpozície čl. 1 delegovanej smernice (EÚ) 2024/1986 žiadame uviesť v piatom stĺpci tabuľky zhody „Príloha č. 1 Časť B bod 10“. V šiestom stĺpci tabuľky zhody žiadame následne uviesť ako relevantné transpozičné opatrenie znenie textu Prílohy č. 1 Časť B bod 10 návrhu vyhlášky.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3. V bode 5 doložky zlučiteľnosti je možné označiť transpozíciu za úplnú a zlučiteľnosť s právom Európskej únie úplne, nakoľko predkladateľ predložil návrh zákona, do ktorého budú transponované všetky relevantné ustanovenia smernice (EÚ) 2019/9997 ako aj delegovanej smernice (EÚ) 2024/1986.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3. Žiadame preukázať transpozíciu čl. 2 ods. 4 smernice (EÚ)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2019/997 do slovenského právneho poriadku, nakoľko máme za to, že ide o ustanovenie predstavujúce bežnú transpozíciu.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návrhu zákona:</w:t>
            </w:r>
            <w:r>
              <w:rPr>
                <w:rFonts w:ascii="Times" w:hAnsi="Times" w:cs="Times"/>
                <w:sz w:val="25"/>
                <w:szCs w:val="25"/>
              </w:rPr>
              <w:br/>
              <w:t>4. K Čl. I bod 6: Žiadame prepracovať navrhované znenie ustanovenia § 14a ods. 5 tak, aby bola zabezpečená úplná a správna transpozícia čl. 4 ods. 6 smernice (EÚ) 2019/997. Konkrétne žiadame, aby návrh zákona reflektoval aj na povinnosť využiť všetky dostupné komunikačné prostriedky s členským štátom štátnej príslušnosti.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 delegovanou smernicou (EÚ) 2024/1986:</w:t>
            </w:r>
            <w:r>
              <w:rPr>
                <w:rFonts w:ascii="Times" w:hAnsi="Times" w:cs="Times"/>
                <w:sz w:val="25"/>
                <w:szCs w:val="25"/>
              </w:rPr>
              <w:br/>
              <w:t>4. Pri preukazovaní transpozície čl. 2 ods. 1 delegovanej smernice (EÚ) 2024/1986 žiadame uviesť ako transpozičné opatrenie aj Čl. III návrhu zákona. V tejto súvislosti žiadame uviesť v piatom stĺpci tabuľky zhody § 8 návrhu vyhlášky a Čl. III návrhu zákona. V šiestom stĺpci tabuľky zhody žiadame následne uviesť text § 8 návrhu vyhlášky a text Čl. III návrhu zákona.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4. Žiadame preukázať transpozíciu čl. 2 ods. 5 smernice (EÚ) 2019/997 do slovenského právneho poriadku, nakoľko máme za to, že ide o ustanovenie predstavujúce bežnú transpozíciu.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návrhu zákona: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5. K Čl. III: Upozorňujeme, že navrhovaná účinnosť zákona 1. decembra 2024 predstavuje vo vzťahu k smernici (EÚ) 2019/997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ako aj k delegovanej smernici (EÚ) 2024/1986 goldplating, nakoľko znenie smerníc hovorí, že „členské štáty prijmú a uverejnia najneskôr 9. decembra 2024 zákony, iné právne predpisy a správne opatrenia potrebné na dosiahnutie súladu s touto smernicou.“ Navrhovaná účinnosť predkladaného návrhu zákona nastáva skôr než požaduje smernica, čo znamená, že Slovenská republika netransponuje smernicu v minimálnej miere, na najnižšej možnej hranici. Z tohto dôvodu dané ustanovenie predstavuje goldplating typu e) – skoršia transpozícia. Na základe uvedeného žiadame náležite vyplniť stĺpce (9) a (10) tabuľky zhody pri preukazovaní transpozície čl. 2 delegovanej smernice (EÚ) 2024/1986 a čl. 19 smernice (EÚ) 2019/997 a pod tabuľkami zhody v poznámke „Vyjadrenie k opodstatnenosti goldplatingu a jeho odôvodnenie“ doplniť odôvodnenie takejto úpravy.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Podľa navrhovaného znenia čl. III majú transpozičné opatrenia nadobudnúť účinnosť 9. decembra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2025, preto ku goldplatingu nedochádza. Navrhovaná účinnosť 1. decembra 2024 sa týka len ustanovení, ktorých prijatie je potrebné z dôvodu aplikačnej praxe a netýkajú sa transpozície smernice. 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 delegovanou smernicou (EÚ) 2024/1986:</w:t>
            </w:r>
            <w:r>
              <w:rPr>
                <w:rFonts w:ascii="Times" w:hAnsi="Times" w:cs="Times"/>
                <w:sz w:val="25"/>
                <w:szCs w:val="25"/>
              </w:rPr>
              <w:br/>
              <w:t>5. Žiadame preukázať transpozíciu čl. 2 ods. 2 delegovanej smernice (EÚ) 2024/1986 do slovenského právneho poriadku.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5. Žiadame preukázať transpozíciu čl. 2 ods. 6 smernice (EÚ) 2019/997 do slovenského právneho poriadku, nakoľko máme za to, že ide o ustanovenie predstavujúce bežnú transpozíciu.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6. Žiadame preukázať transpozíciu čl. 4 ods. 2 písm. b) smernice (EÚ) 2019/997 do slovenského právneho poriadku. Uvádzané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transpozičné opatrenia považujeme za nedostatočné.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Transpozíciu považujeme za úplnú.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7. Žiadame preukázať transpozíciu čl. 4 ods. 3 smernice (EÚ) 2019/997 do slovenského právneho poriadku. Uvádzané transpozičné opatrenia považujeme za nedostatočné.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Transpozíciu považujeme za úplnú.</w:t>
            </w: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8. Pri preukazovaní transpozície čl. 8 smernice (EÚ) 2019/997 žiadame náležite rozlišovať medzi bežnou a dobrovoľnou transpozíciou a transpozíciu jednotlivých odsekov článku 8 preukazovať samostatne.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transpozícii a tabuľke zhody so smernicou (EÚ) 2019/997:</w:t>
            </w:r>
            <w:r>
              <w:rPr>
                <w:rFonts w:ascii="Times" w:hAnsi="Times" w:cs="Times"/>
                <w:sz w:val="25"/>
                <w:szCs w:val="25"/>
              </w:rPr>
              <w:br/>
              <w:t>9. Žiadame preukázať transpozíciu čl. 8 ods. 1, 2, 5, 6, 7 a 8 smernice (EÚ) 2019/997 do slovenského právneho poriadku, nakoľko ide o ustanovenia predstavujúce bežnú transpozíciu, ktorých transpozícia je povinná.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362F">
        <w:trPr>
          <w:divId w:val="54965953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ÚNMSSR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prílohe č. 1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prílohe č. 1, časť A., bod 1. návrhu vykonávacieho predpisu - vyhlášky Ministerstva zahraničných vecí a európskych záležitostí Slovenskej republiky, ktorou sa ustanovujú podrobnosti o technickej špecifikácii a vzor náhradného cestovného dokladu Európskej únie žiadame, aby predkladateľ preformuloval text odkazujúci sa na medzinárodnú normu ISO/IEC 7810 tak, aby použitie technickej normy na splnenie základných požiadaviek vyhlášky nebolo jediným možným riešením, teda aby nedochádzalo k zozáväzneniu technickej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normy. Odôvodnenie: Dosiahnutie súladu s priamo účinným nariadením Európskeho parlamentu a Rady (EÚ) č. 1025/2012 o európskej normalizácii v platnom znení (ďalej ako „nariadenie“); v ktorom sa norma definuje ako technická špecifikácia prijatá uznaným normalizačným orgánom na opakované alebo nepretržité používanie, s ktorou súlad nie je povinný.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62F" w:rsidRDefault="00CF362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vyhlášky upravený v zmysle pripomienky.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footerReference w:type="default" r:id="rId7"/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B2" w:rsidRDefault="00C423B2" w:rsidP="000A67D5">
      <w:pPr>
        <w:spacing w:after="0" w:line="240" w:lineRule="auto"/>
      </w:pPr>
      <w:r>
        <w:separator/>
      </w:r>
    </w:p>
  </w:endnote>
  <w:endnote w:type="continuationSeparator" w:id="0">
    <w:p w:rsidR="00C423B2" w:rsidRDefault="00C423B2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778755"/>
      <w:docPartObj>
        <w:docPartGallery w:val="Page Numbers (Bottom of Page)"/>
        <w:docPartUnique/>
      </w:docPartObj>
    </w:sdtPr>
    <w:sdtContent>
      <w:p w:rsidR="00E64720" w:rsidRDefault="00E6472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C51">
          <w:rPr>
            <w:noProof/>
          </w:rPr>
          <w:t>4</w:t>
        </w:r>
        <w:r>
          <w:fldChar w:fldCharType="end"/>
        </w:r>
      </w:p>
    </w:sdtContent>
  </w:sdt>
  <w:p w:rsidR="00E64720" w:rsidRDefault="00E647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B2" w:rsidRDefault="00C423B2" w:rsidP="000A67D5">
      <w:pPr>
        <w:spacing w:after="0" w:line="240" w:lineRule="auto"/>
      </w:pPr>
      <w:r>
        <w:separator/>
      </w:r>
    </w:p>
  </w:footnote>
  <w:footnote w:type="continuationSeparator" w:id="0">
    <w:p w:rsidR="00C423B2" w:rsidRDefault="00C423B2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3B60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90C51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619CC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423B2"/>
    <w:rsid w:val="00CA44D2"/>
    <w:rsid w:val="00CE47A6"/>
    <w:rsid w:val="00CF362F"/>
    <w:rsid w:val="00CF3D59"/>
    <w:rsid w:val="00D261C9"/>
    <w:rsid w:val="00D85172"/>
    <w:rsid w:val="00D969AC"/>
    <w:rsid w:val="00DF7085"/>
    <w:rsid w:val="00E64720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C1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7.9.2024 6:02:40"/>
    <f:field ref="objchangedby" par="" text="Administrator, System"/>
    <f:field ref="objmodifiedat" par="" text="17.9.2024 6:02:45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2024-09-19T09:35:00Z</dcterms:created>
  <dcterms:modified xsi:type="dcterms:W3CDTF">2024-09-19T09:35:00Z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Diplomatické a konzulárne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Martin Birnstein</vt:lpwstr>
  </property>
  <property fmtid="{D5CDD505-2E9C-101B-9397-08002B2CF9AE}" pid="11" name="FSC#SKEDITIONSLOVLEX@103.510:zodppredkladatel">
    <vt:lpwstr>Matúš Šutaj Eštok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zákon č. 647/2007 Z. z. o cestovných dokladoch a o zmene a doplnení niektorých zákonov v znení neskorších predpisov a ktorým sa mení a dopĺňa zákon Národnej rady Slovenskej republiky č. 145/1995 Z. z. o správnych poplatkoch v zn</vt:lpwstr>
  </property>
  <property fmtid="{D5CDD505-2E9C-101B-9397-08002B2CF9AE}" pid="14" name="FSC#SKEDITIONSLOVLEX@103.510:nazovpredpis1">
    <vt:lpwstr>ení neskorších predpisov</vt:lpwstr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vnútra Slovenskej republiky</vt:lpwstr>
  </property>
  <property fmtid="{D5CDD505-2E9C-101B-9397-08002B2CF9AE}" pid="19" name="FSC#SKEDITIONSLOVLEX@103.510:pripomienkovatelia">
    <vt:lpwstr>Ministerstvo vnútra Slovenskej republiky, Ministerstvo vnútra Slovenskej republiky</vt:lpwstr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Slovenskej republiky na rok 2024</vt:lpwstr>
  </property>
  <property fmtid="{D5CDD505-2E9C-101B-9397-08002B2CF9AE}" pid="22" name="FSC#SKEDITIONSLOVLEX@103.510:plnynazovpredpis">
    <vt:lpwstr> Zákon, ktorým sa mení a dopĺňa zákon č. 647/2007 Z. z. o cestovných dokladoch a o zmene a doplnení niektorých zákonov v znení neskorších predpisov a ktorým sa mení a dopĺňa zákon Národnej rady Slovenskej republiky č. 145/1995 Z. z. o správnych poplatkoch</vt:lpwstr>
  </property>
  <property fmtid="{D5CDD505-2E9C-101B-9397-08002B2CF9AE}" pid="23" name="FSC#SKEDITIONSLOVLEX@103.510:plnynazovpredpis1">
    <vt:lpwstr> v znení neskorších predpisov</vt:lpwstr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SL-OBL/2024/6364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LP/2024/386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vnútra Slovenskej republiky</vt:lpwstr>
  </property>
  <property fmtid="{D5CDD505-2E9C-101B-9397-08002B2CF9AE}" pid="141" name="FSC#SKEDITIONSLOVLEX@103.510:funkciaZodpPredAkuzativ">
    <vt:lpwstr>Ministra vnútra Slovenskej republiky</vt:lpwstr>
  </property>
  <property fmtid="{D5CDD505-2E9C-101B-9397-08002B2CF9AE}" pid="142" name="FSC#SKEDITIONSLOVLEX@103.510:funkciaZodpPredDativ">
    <vt:lpwstr>Ministrovi vnútra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Matúš Šutaj Eštok_x000d_
Minister vnútra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COO.2145.1000.3.6358636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17. 9. 2024</vt:lpwstr>
  </property>
</Properties>
</file>