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364" w:rsidRPr="00785364" w:rsidRDefault="00785364" w:rsidP="00785364">
      <w:pPr>
        <w:pStyle w:val="Default"/>
        <w:rPr>
          <w:sz w:val="20"/>
          <w:szCs w:val="20"/>
        </w:rPr>
      </w:pPr>
    </w:p>
    <w:p w:rsidR="00785364" w:rsidRPr="00785364" w:rsidRDefault="00785364" w:rsidP="00785364">
      <w:pPr>
        <w:pStyle w:val="Default"/>
        <w:jc w:val="center"/>
        <w:rPr>
          <w:sz w:val="20"/>
          <w:szCs w:val="20"/>
        </w:rPr>
      </w:pPr>
      <w:r w:rsidRPr="00785364">
        <w:rPr>
          <w:b/>
          <w:bCs/>
          <w:sz w:val="20"/>
          <w:szCs w:val="20"/>
        </w:rPr>
        <w:t>TABUĽKA ZHODY</w:t>
      </w:r>
      <w:r w:rsidR="00B61918">
        <w:rPr>
          <w:b/>
          <w:bCs/>
          <w:sz w:val="20"/>
          <w:szCs w:val="20"/>
        </w:rPr>
        <w:t xml:space="preserve"> - čiastková</w:t>
      </w:r>
    </w:p>
    <w:tbl>
      <w:tblPr>
        <w:tblW w:w="14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11"/>
        <w:gridCol w:w="1134"/>
        <w:gridCol w:w="709"/>
        <w:gridCol w:w="708"/>
        <w:gridCol w:w="5812"/>
        <w:gridCol w:w="567"/>
        <w:gridCol w:w="992"/>
      </w:tblGrid>
      <w:tr w:rsidR="00785364" w:rsidRPr="00B61918" w:rsidTr="00332184">
        <w:tc>
          <w:tcPr>
            <w:tcW w:w="5954" w:type="dxa"/>
            <w:gridSpan w:val="3"/>
          </w:tcPr>
          <w:p w:rsidR="00785364" w:rsidRPr="00B61918" w:rsidRDefault="00785364" w:rsidP="00B61918">
            <w:pPr>
              <w:pStyle w:val="Default"/>
              <w:jc w:val="center"/>
              <w:rPr>
                <w:b/>
                <w:sz w:val="20"/>
                <w:szCs w:val="20"/>
              </w:rPr>
            </w:pPr>
            <w:r w:rsidRPr="00B61918">
              <w:rPr>
                <w:b/>
                <w:sz w:val="20"/>
                <w:szCs w:val="20"/>
              </w:rPr>
              <w:t>Smernica</w:t>
            </w:r>
            <w:r w:rsidRPr="00B61918">
              <w:rPr>
                <w:b/>
              </w:rPr>
              <w:t xml:space="preserve"> </w:t>
            </w:r>
            <w:r w:rsidRPr="00B61918">
              <w:rPr>
                <w:b/>
                <w:sz w:val="20"/>
                <w:szCs w:val="20"/>
              </w:rPr>
              <w:t xml:space="preserve">Rady 92/43/EHS z 21. mája 1992 o ochrane prirodzených biotopov a voľne žijúcich živočíchov a rastlín </w:t>
            </w:r>
            <w:r w:rsidR="000B28C8">
              <w:rPr>
                <w:b/>
                <w:sz w:val="20"/>
                <w:szCs w:val="20"/>
              </w:rPr>
              <w:t xml:space="preserve">   </w:t>
            </w:r>
            <w:r w:rsidRPr="00B61918">
              <w:rPr>
                <w:b/>
                <w:sz w:val="20"/>
                <w:szCs w:val="20"/>
              </w:rPr>
              <w:t>(Ú. v. ES L 206 22.</w:t>
            </w:r>
            <w:r w:rsidR="000B28C8">
              <w:rPr>
                <w:b/>
                <w:sz w:val="20"/>
                <w:szCs w:val="20"/>
              </w:rPr>
              <w:t xml:space="preserve"> </w:t>
            </w:r>
            <w:r w:rsidRPr="00B61918">
              <w:rPr>
                <w:b/>
                <w:sz w:val="20"/>
                <w:szCs w:val="20"/>
              </w:rPr>
              <w:t>7.</w:t>
            </w:r>
            <w:r w:rsidR="000B28C8">
              <w:rPr>
                <w:b/>
                <w:sz w:val="20"/>
                <w:szCs w:val="20"/>
              </w:rPr>
              <w:t xml:space="preserve"> </w:t>
            </w:r>
            <w:r w:rsidRPr="00B61918">
              <w:rPr>
                <w:b/>
                <w:sz w:val="20"/>
                <w:szCs w:val="20"/>
              </w:rPr>
              <w:t>1992, s. 7) v platnom znení</w:t>
            </w:r>
          </w:p>
        </w:tc>
        <w:tc>
          <w:tcPr>
            <w:tcW w:w="8788" w:type="dxa"/>
            <w:gridSpan w:val="5"/>
          </w:tcPr>
          <w:p w:rsidR="00785364" w:rsidRPr="00B61918" w:rsidRDefault="00B61918" w:rsidP="00B61918">
            <w:pPr>
              <w:pStyle w:val="Default"/>
              <w:jc w:val="center"/>
              <w:rPr>
                <w:b/>
                <w:sz w:val="20"/>
                <w:szCs w:val="20"/>
              </w:rPr>
            </w:pPr>
            <w:r w:rsidRPr="00B61918">
              <w:rPr>
                <w:b/>
                <w:sz w:val="20"/>
                <w:szCs w:val="20"/>
              </w:rPr>
              <w:t>Návrh</w:t>
            </w:r>
            <w:r>
              <w:rPr>
                <w:b/>
                <w:sz w:val="20"/>
                <w:szCs w:val="20"/>
              </w:rPr>
              <w:t xml:space="preserve"> zákona </w:t>
            </w:r>
            <w:r w:rsidRPr="00B61918">
              <w:rPr>
                <w:b/>
                <w:sz w:val="20"/>
                <w:szCs w:val="20"/>
              </w:rPr>
              <w:t xml:space="preserve">z </w:t>
            </w:r>
            <w:r>
              <w:rPr>
                <w:b/>
                <w:sz w:val="20"/>
                <w:szCs w:val="20"/>
              </w:rPr>
              <w:t>.</w:t>
            </w:r>
            <w:r w:rsidRPr="00B61918">
              <w:rPr>
                <w:b/>
                <w:sz w:val="20"/>
                <w:szCs w:val="20"/>
              </w:rPr>
              <w:t>.. 2024,</w:t>
            </w:r>
            <w:r>
              <w:rPr>
                <w:b/>
                <w:sz w:val="20"/>
                <w:szCs w:val="20"/>
              </w:rPr>
              <w:t xml:space="preserve"> </w:t>
            </w:r>
            <w:r w:rsidRPr="00B61918">
              <w:rPr>
                <w:b/>
                <w:sz w:val="20"/>
                <w:szCs w:val="20"/>
              </w:rPr>
              <w:t>ktorým sa vykonávajú opatrenia Európskej únie na zmiernenie globálneho odlesňovania a ktorým sa menia a dopĺňajú niektoré zákony</w:t>
            </w:r>
            <w:r w:rsidR="00945669">
              <w:rPr>
                <w:b/>
                <w:sz w:val="20"/>
                <w:szCs w:val="20"/>
              </w:rPr>
              <w:t xml:space="preserve"> (ďalej len „návrh zákona“)</w:t>
            </w:r>
          </w:p>
        </w:tc>
      </w:tr>
      <w:tr w:rsidR="00785364" w:rsidRPr="00785364" w:rsidTr="00332184">
        <w:tc>
          <w:tcPr>
            <w:tcW w:w="709" w:type="dxa"/>
          </w:tcPr>
          <w:p w:rsidR="00785364" w:rsidRPr="00785364" w:rsidRDefault="00785364" w:rsidP="00785364">
            <w:pPr>
              <w:pStyle w:val="Default"/>
              <w:jc w:val="center"/>
              <w:rPr>
                <w:sz w:val="20"/>
                <w:szCs w:val="20"/>
              </w:rPr>
            </w:pPr>
            <w:r w:rsidRPr="00785364">
              <w:rPr>
                <w:sz w:val="20"/>
                <w:szCs w:val="20"/>
              </w:rPr>
              <w:t>1</w:t>
            </w:r>
          </w:p>
        </w:tc>
        <w:tc>
          <w:tcPr>
            <w:tcW w:w="4111" w:type="dxa"/>
          </w:tcPr>
          <w:p w:rsidR="00785364" w:rsidRPr="00785364" w:rsidRDefault="00785364" w:rsidP="00785364">
            <w:pPr>
              <w:pStyle w:val="Default"/>
              <w:jc w:val="center"/>
              <w:rPr>
                <w:sz w:val="20"/>
                <w:szCs w:val="20"/>
              </w:rPr>
            </w:pPr>
            <w:r w:rsidRPr="00785364">
              <w:rPr>
                <w:sz w:val="20"/>
                <w:szCs w:val="20"/>
              </w:rPr>
              <w:t>2</w:t>
            </w:r>
          </w:p>
        </w:tc>
        <w:tc>
          <w:tcPr>
            <w:tcW w:w="1134" w:type="dxa"/>
          </w:tcPr>
          <w:p w:rsidR="00785364" w:rsidRPr="00785364" w:rsidRDefault="00785364" w:rsidP="00785364">
            <w:pPr>
              <w:pStyle w:val="Default"/>
              <w:jc w:val="center"/>
              <w:rPr>
                <w:sz w:val="20"/>
                <w:szCs w:val="20"/>
              </w:rPr>
            </w:pPr>
            <w:r w:rsidRPr="00785364">
              <w:rPr>
                <w:sz w:val="20"/>
                <w:szCs w:val="20"/>
              </w:rPr>
              <w:t>3</w:t>
            </w:r>
          </w:p>
        </w:tc>
        <w:tc>
          <w:tcPr>
            <w:tcW w:w="709" w:type="dxa"/>
          </w:tcPr>
          <w:p w:rsidR="00785364" w:rsidRPr="00785364" w:rsidRDefault="00785364" w:rsidP="00785364">
            <w:pPr>
              <w:pStyle w:val="Default"/>
              <w:jc w:val="center"/>
              <w:rPr>
                <w:sz w:val="20"/>
                <w:szCs w:val="20"/>
              </w:rPr>
            </w:pPr>
            <w:r w:rsidRPr="00785364">
              <w:rPr>
                <w:sz w:val="20"/>
                <w:szCs w:val="20"/>
              </w:rPr>
              <w:t>4</w:t>
            </w:r>
          </w:p>
        </w:tc>
        <w:tc>
          <w:tcPr>
            <w:tcW w:w="708" w:type="dxa"/>
          </w:tcPr>
          <w:p w:rsidR="00785364" w:rsidRPr="00785364" w:rsidRDefault="00785364" w:rsidP="00785364">
            <w:pPr>
              <w:pStyle w:val="Default"/>
              <w:jc w:val="center"/>
              <w:rPr>
                <w:sz w:val="20"/>
                <w:szCs w:val="20"/>
              </w:rPr>
            </w:pPr>
            <w:r w:rsidRPr="00785364">
              <w:rPr>
                <w:sz w:val="20"/>
                <w:szCs w:val="20"/>
              </w:rPr>
              <w:t>5</w:t>
            </w:r>
          </w:p>
        </w:tc>
        <w:tc>
          <w:tcPr>
            <w:tcW w:w="5812" w:type="dxa"/>
          </w:tcPr>
          <w:p w:rsidR="00785364" w:rsidRPr="00785364" w:rsidRDefault="00785364" w:rsidP="00785364">
            <w:pPr>
              <w:pStyle w:val="Default"/>
              <w:jc w:val="center"/>
              <w:rPr>
                <w:sz w:val="20"/>
                <w:szCs w:val="20"/>
              </w:rPr>
            </w:pPr>
            <w:r w:rsidRPr="00785364">
              <w:rPr>
                <w:sz w:val="20"/>
                <w:szCs w:val="20"/>
              </w:rPr>
              <w:t>6</w:t>
            </w:r>
          </w:p>
        </w:tc>
        <w:tc>
          <w:tcPr>
            <w:tcW w:w="567" w:type="dxa"/>
          </w:tcPr>
          <w:p w:rsidR="00785364" w:rsidRPr="00785364" w:rsidRDefault="00785364" w:rsidP="00785364">
            <w:pPr>
              <w:pStyle w:val="Default"/>
              <w:jc w:val="center"/>
              <w:rPr>
                <w:sz w:val="20"/>
                <w:szCs w:val="20"/>
              </w:rPr>
            </w:pPr>
            <w:r w:rsidRPr="00785364">
              <w:rPr>
                <w:sz w:val="20"/>
                <w:szCs w:val="20"/>
              </w:rPr>
              <w:t>7</w:t>
            </w:r>
          </w:p>
        </w:tc>
        <w:tc>
          <w:tcPr>
            <w:tcW w:w="992" w:type="dxa"/>
          </w:tcPr>
          <w:p w:rsidR="00785364" w:rsidRPr="00785364" w:rsidRDefault="00785364" w:rsidP="00785364">
            <w:pPr>
              <w:pStyle w:val="Default"/>
              <w:jc w:val="center"/>
              <w:rPr>
                <w:sz w:val="20"/>
                <w:szCs w:val="20"/>
              </w:rPr>
            </w:pPr>
            <w:r w:rsidRPr="00785364">
              <w:rPr>
                <w:sz w:val="20"/>
                <w:szCs w:val="20"/>
              </w:rPr>
              <w:t>8</w:t>
            </w:r>
          </w:p>
        </w:tc>
      </w:tr>
      <w:tr w:rsidR="00785364" w:rsidRPr="00785364" w:rsidTr="00332184">
        <w:tc>
          <w:tcPr>
            <w:tcW w:w="709" w:type="dxa"/>
          </w:tcPr>
          <w:p w:rsidR="00785364" w:rsidRPr="00785364" w:rsidRDefault="00785364" w:rsidP="00785364">
            <w:pPr>
              <w:pStyle w:val="Default"/>
              <w:ind w:left="-111" w:right="-104"/>
              <w:jc w:val="center"/>
              <w:rPr>
                <w:sz w:val="20"/>
                <w:szCs w:val="20"/>
              </w:rPr>
            </w:pPr>
            <w:r w:rsidRPr="00785364">
              <w:rPr>
                <w:sz w:val="20"/>
                <w:szCs w:val="20"/>
              </w:rPr>
              <w:t>Článok</w:t>
            </w:r>
          </w:p>
          <w:p w:rsidR="00785364" w:rsidRPr="00785364" w:rsidRDefault="00785364" w:rsidP="00785364">
            <w:pPr>
              <w:pStyle w:val="Default"/>
              <w:ind w:left="-111" w:right="-104"/>
              <w:jc w:val="center"/>
              <w:rPr>
                <w:sz w:val="20"/>
                <w:szCs w:val="20"/>
              </w:rPr>
            </w:pPr>
            <w:r w:rsidRPr="00785364">
              <w:rPr>
                <w:sz w:val="20"/>
                <w:szCs w:val="20"/>
              </w:rPr>
              <w:t>(Č, O, V, P)</w:t>
            </w:r>
          </w:p>
        </w:tc>
        <w:tc>
          <w:tcPr>
            <w:tcW w:w="4111" w:type="dxa"/>
          </w:tcPr>
          <w:p w:rsidR="00785364" w:rsidRPr="00785364" w:rsidRDefault="00785364" w:rsidP="00785364">
            <w:pPr>
              <w:pStyle w:val="Default"/>
              <w:ind w:left="-111" w:right="-104"/>
              <w:jc w:val="center"/>
              <w:rPr>
                <w:sz w:val="20"/>
                <w:szCs w:val="20"/>
              </w:rPr>
            </w:pPr>
            <w:r w:rsidRPr="00785364">
              <w:rPr>
                <w:sz w:val="20"/>
                <w:szCs w:val="20"/>
              </w:rPr>
              <w:t>Text</w:t>
            </w:r>
          </w:p>
        </w:tc>
        <w:tc>
          <w:tcPr>
            <w:tcW w:w="1134" w:type="dxa"/>
          </w:tcPr>
          <w:p w:rsidR="00785364" w:rsidRPr="00785364" w:rsidRDefault="00785364" w:rsidP="00785364">
            <w:pPr>
              <w:pStyle w:val="Default"/>
              <w:ind w:left="-111" w:right="-104"/>
              <w:jc w:val="center"/>
              <w:rPr>
                <w:sz w:val="20"/>
                <w:szCs w:val="20"/>
              </w:rPr>
            </w:pPr>
            <w:r w:rsidRPr="00785364">
              <w:rPr>
                <w:sz w:val="20"/>
                <w:szCs w:val="20"/>
              </w:rPr>
              <w:t>Spôsob</w:t>
            </w:r>
          </w:p>
          <w:p w:rsidR="00785364" w:rsidRPr="00785364" w:rsidRDefault="00785364" w:rsidP="00785364">
            <w:pPr>
              <w:pStyle w:val="Default"/>
              <w:ind w:left="-111" w:right="-104"/>
              <w:jc w:val="center"/>
              <w:rPr>
                <w:sz w:val="20"/>
                <w:szCs w:val="20"/>
              </w:rPr>
            </w:pPr>
            <w:r w:rsidRPr="00785364">
              <w:rPr>
                <w:sz w:val="20"/>
                <w:szCs w:val="20"/>
              </w:rPr>
              <w:t>transpozície</w:t>
            </w:r>
          </w:p>
        </w:tc>
        <w:tc>
          <w:tcPr>
            <w:tcW w:w="709" w:type="dxa"/>
          </w:tcPr>
          <w:p w:rsidR="00785364" w:rsidRPr="00785364" w:rsidRDefault="00785364" w:rsidP="00785364">
            <w:pPr>
              <w:pStyle w:val="Default"/>
              <w:ind w:left="-111" w:right="-104"/>
              <w:jc w:val="center"/>
              <w:rPr>
                <w:sz w:val="20"/>
                <w:szCs w:val="20"/>
              </w:rPr>
            </w:pPr>
            <w:r w:rsidRPr="00785364">
              <w:rPr>
                <w:sz w:val="20"/>
                <w:szCs w:val="20"/>
              </w:rPr>
              <w:t>Číslo</w:t>
            </w:r>
          </w:p>
        </w:tc>
        <w:tc>
          <w:tcPr>
            <w:tcW w:w="708" w:type="dxa"/>
          </w:tcPr>
          <w:p w:rsidR="00785364" w:rsidRPr="00785364" w:rsidRDefault="00785364" w:rsidP="00785364">
            <w:pPr>
              <w:pStyle w:val="Default"/>
              <w:ind w:left="-111" w:right="-104"/>
              <w:jc w:val="center"/>
              <w:rPr>
                <w:sz w:val="20"/>
                <w:szCs w:val="20"/>
              </w:rPr>
            </w:pPr>
            <w:r w:rsidRPr="00785364">
              <w:rPr>
                <w:sz w:val="20"/>
                <w:szCs w:val="20"/>
              </w:rPr>
              <w:t>Článok (Č, §, O, V, P</w:t>
            </w:r>
            <w:r w:rsidR="004C0490">
              <w:rPr>
                <w:sz w:val="20"/>
                <w:szCs w:val="20"/>
              </w:rPr>
              <w:t>, B</w:t>
            </w:r>
            <w:r w:rsidRPr="00785364">
              <w:rPr>
                <w:sz w:val="20"/>
                <w:szCs w:val="20"/>
              </w:rPr>
              <w:t>)</w:t>
            </w:r>
          </w:p>
        </w:tc>
        <w:tc>
          <w:tcPr>
            <w:tcW w:w="5812" w:type="dxa"/>
          </w:tcPr>
          <w:p w:rsidR="00785364" w:rsidRPr="00785364" w:rsidRDefault="00785364" w:rsidP="00785364">
            <w:pPr>
              <w:pStyle w:val="Default"/>
              <w:ind w:left="-111" w:right="-104"/>
              <w:jc w:val="center"/>
              <w:rPr>
                <w:sz w:val="20"/>
                <w:szCs w:val="20"/>
              </w:rPr>
            </w:pPr>
            <w:r w:rsidRPr="00785364">
              <w:rPr>
                <w:sz w:val="20"/>
                <w:szCs w:val="20"/>
              </w:rPr>
              <w:t>Text</w:t>
            </w:r>
          </w:p>
        </w:tc>
        <w:tc>
          <w:tcPr>
            <w:tcW w:w="567" w:type="dxa"/>
          </w:tcPr>
          <w:p w:rsidR="00785364" w:rsidRPr="00785364" w:rsidRDefault="00785364" w:rsidP="00785364">
            <w:pPr>
              <w:pStyle w:val="Default"/>
              <w:ind w:left="-111" w:right="-104"/>
              <w:jc w:val="center"/>
              <w:rPr>
                <w:sz w:val="20"/>
                <w:szCs w:val="20"/>
              </w:rPr>
            </w:pPr>
            <w:r w:rsidRPr="00785364">
              <w:rPr>
                <w:sz w:val="20"/>
                <w:szCs w:val="20"/>
              </w:rPr>
              <w:t>Zhoda</w:t>
            </w:r>
          </w:p>
        </w:tc>
        <w:tc>
          <w:tcPr>
            <w:tcW w:w="992" w:type="dxa"/>
          </w:tcPr>
          <w:p w:rsidR="00785364" w:rsidRPr="00785364" w:rsidRDefault="00785364" w:rsidP="00785364">
            <w:pPr>
              <w:pStyle w:val="Default"/>
              <w:ind w:left="-111" w:right="-104"/>
              <w:jc w:val="center"/>
              <w:rPr>
                <w:sz w:val="20"/>
                <w:szCs w:val="20"/>
              </w:rPr>
            </w:pPr>
            <w:r w:rsidRPr="00785364">
              <w:rPr>
                <w:sz w:val="20"/>
                <w:szCs w:val="20"/>
              </w:rPr>
              <w:t>Poznámky</w:t>
            </w:r>
          </w:p>
        </w:tc>
      </w:tr>
      <w:tr w:rsidR="00785364" w:rsidRPr="00785364" w:rsidTr="00332184">
        <w:tc>
          <w:tcPr>
            <w:tcW w:w="709" w:type="dxa"/>
          </w:tcPr>
          <w:p w:rsidR="00785364" w:rsidRDefault="00785364" w:rsidP="00785364">
            <w:pPr>
              <w:pStyle w:val="Default"/>
              <w:ind w:left="-111" w:right="-104"/>
              <w:rPr>
                <w:sz w:val="20"/>
                <w:szCs w:val="20"/>
              </w:rPr>
            </w:pPr>
            <w:r>
              <w:rPr>
                <w:sz w:val="20"/>
                <w:szCs w:val="20"/>
              </w:rPr>
              <w:t>Č: 6</w:t>
            </w:r>
          </w:p>
          <w:p w:rsidR="00785364" w:rsidRPr="00785364" w:rsidRDefault="00785364" w:rsidP="00785364">
            <w:pPr>
              <w:pStyle w:val="Default"/>
              <w:ind w:left="-111" w:right="-104"/>
              <w:rPr>
                <w:sz w:val="20"/>
                <w:szCs w:val="20"/>
              </w:rPr>
            </w:pPr>
            <w:r>
              <w:rPr>
                <w:sz w:val="20"/>
                <w:szCs w:val="20"/>
              </w:rPr>
              <w:t>O: 2, 3</w:t>
            </w:r>
          </w:p>
        </w:tc>
        <w:tc>
          <w:tcPr>
            <w:tcW w:w="4111" w:type="dxa"/>
          </w:tcPr>
          <w:p w:rsidR="00785364" w:rsidRPr="00785364" w:rsidRDefault="00785364" w:rsidP="000B28C8">
            <w:pPr>
              <w:pStyle w:val="Default"/>
              <w:ind w:left="-111" w:right="-104"/>
              <w:jc w:val="both"/>
              <w:rPr>
                <w:sz w:val="20"/>
                <w:szCs w:val="20"/>
              </w:rPr>
            </w:pPr>
            <w:r w:rsidRPr="00785364">
              <w:rPr>
                <w:sz w:val="20"/>
                <w:szCs w:val="20"/>
              </w:rPr>
              <w:t>2.  Členské štáty podniknú primerané kroky, aby sa na osobitne chránených územiach predišlo poškodeniu prirodzených biotopov a biotopov druhov, ako aj rušeniu druhov, pre ktoré boli územia označené za chránené, pokiaľ by takéto rušenie bolo podstatné vo vzťahu k cieľom tejto smernice.</w:t>
            </w:r>
          </w:p>
          <w:p w:rsidR="00785364" w:rsidRPr="00785364" w:rsidRDefault="00785364" w:rsidP="000B28C8">
            <w:pPr>
              <w:pStyle w:val="Default"/>
              <w:ind w:left="-111" w:right="-104"/>
              <w:jc w:val="both"/>
              <w:rPr>
                <w:sz w:val="20"/>
                <w:szCs w:val="20"/>
              </w:rPr>
            </w:pPr>
          </w:p>
          <w:p w:rsidR="00785364" w:rsidRPr="00785364" w:rsidRDefault="00785364" w:rsidP="000B28C8">
            <w:pPr>
              <w:pStyle w:val="Default"/>
              <w:ind w:left="-111" w:right="-104"/>
              <w:jc w:val="both"/>
              <w:rPr>
                <w:sz w:val="20"/>
                <w:szCs w:val="20"/>
              </w:rPr>
            </w:pPr>
            <w:r w:rsidRPr="00785364">
              <w:rPr>
                <w:sz w:val="20"/>
                <w:szCs w:val="20"/>
              </w:rPr>
              <w:t>3.  Akýkoľvek plán alebo projekt, ktorý priamo nesúvisí so správou lokality alebo nie je potrebný pre ňu, ale môže pravdepodobne významne ovplyvniť túto lokalitu, či už samotne, alebo v spojení s inými plánmi alebo projektmi, podlieha primeranému odhadu jeho dosahov na danú lokalitu z hľadiska cieľov ochrany lokality. Na základe výsledkov zhodnotenia dosahov na lokalitu a podľa ustanovení odseku 4 príslušné vnútroštátne orgány súhlasia s plánom alebo projektom iba po presvedčení sa, že nepriaznivo neovplyvní integritu príslušnej lokality, a v prípade potreby po získaní stanoviska verejnosti.</w:t>
            </w:r>
          </w:p>
        </w:tc>
        <w:tc>
          <w:tcPr>
            <w:tcW w:w="1134" w:type="dxa"/>
          </w:tcPr>
          <w:p w:rsidR="00785364" w:rsidRPr="00785364" w:rsidRDefault="00B61918" w:rsidP="00B61918">
            <w:pPr>
              <w:pStyle w:val="Default"/>
              <w:ind w:left="-111" w:right="-104"/>
              <w:jc w:val="center"/>
              <w:rPr>
                <w:sz w:val="20"/>
                <w:szCs w:val="20"/>
              </w:rPr>
            </w:pPr>
            <w:r>
              <w:rPr>
                <w:sz w:val="20"/>
                <w:szCs w:val="20"/>
              </w:rPr>
              <w:t>N</w:t>
            </w:r>
          </w:p>
        </w:tc>
        <w:tc>
          <w:tcPr>
            <w:tcW w:w="709" w:type="dxa"/>
          </w:tcPr>
          <w:p w:rsidR="00785364" w:rsidRPr="00785364" w:rsidRDefault="00945669" w:rsidP="00B61918">
            <w:pPr>
              <w:pStyle w:val="Default"/>
              <w:ind w:left="-111" w:right="-104"/>
              <w:jc w:val="center"/>
              <w:rPr>
                <w:sz w:val="20"/>
                <w:szCs w:val="20"/>
              </w:rPr>
            </w:pPr>
            <w:r>
              <w:rPr>
                <w:sz w:val="20"/>
                <w:szCs w:val="20"/>
              </w:rPr>
              <w:t>návrh zákona</w:t>
            </w:r>
          </w:p>
        </w:tc>
        <w:tc>
          <w:tcPr>
            <w:tcW w:w="708" w:type="dxa"/>
          </w:tcPr>
          <w:p w:rsidR="00785364" w:rsidRDefault="004C0490" w:rsidP="00FA7A33">
            <w:pPr>
              <w:pStyle w:val="Default"/>
              <w:spacing w:after="60"/>
              <w:ind w:left="-113" w:right="-102"/>
              <w:jc w:val="center"/>
              <w:rPr>
                <w:sz w:val="20"/>
                <w:szCs w:val="20"/>
              </w:rPr>
            </w:pPr>
            <w:r>
              <w:rPr>
                <w:sz w:val="20"/>
                <w:szCs w:val="20"/>
              </w:rPr>
              <w:t>Č:II</w:t>
            </w:r>
          </w:p>
          <w:p w:rsidR="004C0490" w:rsidRDefault="004C0490" w:rsidP="00FA7A33">
            <w:pPr>
              <w:pStyle w:val="Default"/>
              <w:spacing w:after="60"/>
              <w:ind w:left="-113" w:right="-102"/>
              <w:jc w:val="center"/>
              <w:rPr>
                <w:sz w:val="20"/>
                <w:szCs w:val="20"/>
              </w:rPr>
            </w:pPr>
            <w:r>
              <w:rPr>
                <w:sz w:val="20"/>
                <w:szCs w:val="20"/>
              </w:rPr>
              <w:t>B:1</w:t>
            </w:r>
          </w:p>
          <w:p w:rsidR="004C0490" w:rsidRDefault="004C0490" w:rsidP="00FA7A33">
            <w:pPr>
              <w:pStyle w:val="Default"/>
              <w:ind w:left="-113" w:right="-102"/>
              <w:jc w:val="center"/>
              <w:rPr>
                <w:sz w:val="20"/>
                <w:szCs w:val="20"/>
              </w:rPr>
            </w:pPr>
          </w:p>
          <w:p w:rsidR="004C0490" w:rsidRDefault="004C0490" w:rsidP="00FA7A33">
            <w:pPr>
              <w:pStyle w:val="Default"/>
              <w:ind w:left="-113" w:right="-102"/>
              <w:jc w:val="center"/>
              <w:rPr>
                <w:sz w:val="20"/>
                <w:szCs w:val="20"/>
              </w:rPr>
            </w:pPr>
          </w:p>
          <w:p w:rsidR="004C0490" w:rsidRDefault="004C0490" w:rsidP="00FA7A33">
            <w:pPr>
              <w:pStyle w:val="Default"/>
              <w:ind w:left="-113" w:right="-102"/>
              <w:jc w:val="center"/>
              <w:rPr>
                <w:sz w:val="20"/>
                <w:szCs w:val="20"/>
              </w:rPr>
            </w:pPr>
          </w:p>
          <w:p w:rsidR="004C0490" w:rsidRDefault="004C0490" w:rsidP="00FA7A33">
            <w:pPr>
              <w:pStyle w:val="Default"/>
              <w:ind w:left="-113" w:right="-102"/>
              <w:jc w:val="center"/>
              <w:rPr>
                <w:sz w:val="20"/>
                <w:szCs w:val="20"/>
              </w:rPr>
            </w:pPr>
          </w:p>
          <w:p w:rsidR="004C0490" w:rsidRDefault="004C0490" w:rsidP="00FA7A33">
            <w:pPr>
              <w:pStyle w:val="Default"/>
              <w:ind w:left="-113" w:right="-102"/>
              <w:jc w:val="center"/>
              <w:rPr>
                <w:sz w:val="20"/>
                <w:szCs w:val="20"/>
              </w:rPr>
            </w:pPr>
          </w:p>
          <w:p w:rsidR="00FA7A33" w:rsidRDefault="00FA7A33" w:rsidP="00FA7A33">
            <w:pPr>
              <w:pStyle w:val="Default"/>
              <w:ind w:left="-113" w:right="-102"/>
              <w:jc w:val="center"/>
              <w:rPr>
                <w:sz w:val="20"/>
                <w:szCs w:val="20"/>
              </w:rPr>
            </w:pPr>
          </w:p>
          <w:p w:rsidR="00FA7A33" w:rsidRDefault="00FA7A33" w:rsidP="00FA7A33">
            <w:pPr>
              <w:pStyle w:val="Default"/>
              <w:spacing w:after="60"/>
              <w:ind w:left="-113" w:right="-102"/>
              <w:jc w:val="center"/>
              <w:rPr>
                <w:sz w:val="20"/>
                <w:szCs w:val="20"/>
              </w:rPr>
            </w:pPr>
          </w:p>
          <w:p w:rsidR="004C0490" w:rsidRDefault="004C0490" w:rsidP="00FA7A33">
            <w:pPr>
              <w:pStyle w:val="Default"/>
              <w:spacing w:after="60"/>
              <w:ind w:left="-113" w:right="-102"/>
              <w:jc w:val="center"/>
              <w:rPr>
                <w:sz w:val="20"/>
                <w:szCs w:val="20"/>
              </w:rPr>
            </w:pPr>
            <w:r>
              <w:rPr>
                <w:sz w:val="20"/>
                <w:szCs w:val="20"/>
              </w:rPr>
              <w:t>Č:III</w:t>
            </w:r>
          </w:p>
          <w:p w:rsidR="004C0490" w:rsidRDefault="004C0490" w:rsidP="00FA7A33">
            <w:pPr>
              <w:pStyle w:val="Default"/>
              <w:spacing w:after="60"/>
              <w:ind w:left="-113" w:right="-102"/>
              <w:jc w:val="center"/>
              <w:rPr>
                <w:sz w:val="20"/>
                <w:szCs w:val="20"/>
              </w:rPr>
            </w:pPr>
            <w:r>
              <w:rPr>
                <w:sz w:val="20"/>
                <w:szCs w:val="20"/>
              </w:rPr>
              <w:t xml:space="preserve">B: 9-14, 19-21, </w:t>
            </w:r>
            <w:r w:rsidR="00F151FE">
              <w:rPr>
                <w:sz w:val="20"/>
                <w:szCs w:val="20"/>
              </w:rPr>
              <w:t>25-31</w:t>
            </w:r>
            <w:r>
              <w:rPr>
                <w:sz w:val="20"/>
                <w:szCs w:val="20"/>
              </w:rPr>
              <w:br/>
            </w:r>
          </w:p>
          <w:p w:rsidR="004C0490" w:rsidRPr="00785364" w:rsidRDefault="004C0490" w:rsidP="00B61918">
            <w:pPr>
              <w:pStyle w:val="Default"/>
              <w:ind w:left="-111" w:right="-104"/>
              <w:jc w:val="center"/>
              <w:rPr>
                <w:sz w:val="20"/>
                <w:szCs w:val="20"/>
              </w:rPr>
            </w:pPr>
          </w:p>
        </w:tc>
        <w:tc>
          <w:tcPr>
            <w:tcW w:w="5812" w:type="dxa"/>
          </w:tcPr>
          <w:p w:rsidR="004C0490" w:rsidRPr="004C0490" w:rsidRDefault="004C0490" w:rsidP="004C0490">
            <w:pPr>
              <w:pStyle w:val="Default"/>
              <w:spacing w:after="60"/>
              <w:ind w:left="-113" w:right="-102"/>
              <w:rPr>
                <w:sz w:val="20"/>
                <w:szCs w:val="20"/>
              </w:rPr>
            </w:pPr>
            <w:r w:rsidRPr="004C0490">
              <w:rPr>
                <w:sz w:val="20"/>
                <w:szCs w:val="20"/>
              </w:rPr>
              <w:t xml:space="preserve">1. V § 9 ods. 1 písmeno m) znie: </w:t>
            </w:r>
          </w:p>
          <w:p w:rsidR="004C0490" w:rsidRPr="004C0490" w:rsidRDefault="004C0490" w:rsidP="00031CEB">
            <w:pPr>
              <w:pStyle w:val="Default"/>
              <w:spacing w:after="60"/>
              <w:ind w:left="-113" w:right="-102"/>
              <w:jc w:val="both"/>
              <w:rPr>
                <w:sz w:val="20"/>
                <w:szCs w:val="20"/>
              </w:rPr>
            </w:pPr>
            <w:r w:rsidRPr="004C0490">
              <w:rPr>
                <w:sz w:val="20"/>
                <w:szCs w:val="20"/>
              </w:rPr>
              <w:t>„m) schválenie projektu starostlivosti o lesný pozemok</w:t>
            </w:r>
            <w:r w:rsidRPr="00B550BC">
              <w:rPr>
                <w:sz w:val="20"/>
                <w:szCs w:val="20"/>
                <w:vertAlign w:val="superscript"/>
              </w:rPr>
              <w:t>35</w:t>
            </w:r>
            <w:r w:rsidRPr="004C0490">
              <w:rPr>
                <w:sz w:val="20"/>
                <w:szCs w:val="20"/>
              </w:rPr>
              <w:t>) a schválenie alebo zmenu programu starostlivosti o lesy,</w:t>
            </w:r>
            <w:r w:rsidRPr="00B550BC">
              <w:rPr>
                <w:sz w:val="20"/>
                <w:szCs w:val="20"/>
                <w:vertAlign w:val="superscript"/>
              </w:rPr>
              <w:t>35a</w:t>
            </w:r>
            <w:r w:rsidRPr="004C0490">
              <w:rPr>
                <w:sz w:val="20"/>
                <w:szCs w:val="20"/>
              </w:rPr>
              <w:t xml:space="preserve">)“. </w:t>
            </w:r>
          </w:p>
          <w:p w:rsidR="004C0490" w:rsidRPr="004C0490" w:rsidRDefault="004C0490" w:rsidP="004C0490">
            <w:pPr>
              <w:pStyle w:val="Default"/>
              <w:spacing w:after="60"/>
              <w:ind w:left="-113" w:right="-102"/>
              <w:rPr>
                <w:sz w:val="20"/>
                <w:szCs w:val="20"/>
              </w:rPr>
            </w:pPr>
            <w:r w:rsidRPr="004C0490">
              <w:rPr>
                <w:sz w:val="20"/>
                <w:szCs w:val="20"/>
              </w:rPr>
              <w:t>Poznámky pod čiarou k odkazom 35 a 35a znejú:</w:t>
            </w:r>
          </w:p>
          <w:p w:rsidR="004C0490" w:rsidRPr="004C0490" w:rsidRDefault="004C0490" w:rsidP="004C0490">
            <w:pPr>
              <w:pStyle w:val="Default"/>
              <w:spacing w:after="60"/>
              <w:ind w:left="-113" w:right="-102"/>
              <w:rPr>
                <w:sz w:val="20"/>
                <w:szCs w:val="20"/>
              </w:rPr>
            </w:pPr>
            <w:r w:rsidRPr="004C0490">
              <w:rPr>
                <w:sz w:val="20"/>
                <w:szCs w:val="20"/>
              </w:rPr>
              <w:t>„</w:t>
            </w:r>
            <w:r w:rsidRPr="00E73B40">
              <w:rPr>
                <w:sz w:val="20"/>
                <w:szCs w:val="20"/>
                <w:vertAlign w:val="superscript"/>
              </w:rPr>
              <w:t>35</w:t>
            </w:r>
            <w:r w:rsidRPr="004C0490">
              <w:rPr>
                <w:sz w:val="20"/>
                <w:szCs w:val="20"/>
              </w:rPr>
              <w:t>) § 37 zákona č. 326/2005 Z. z. v znení neskorších predpisov.</w:t>
            </w:r>
          </w:p>
          <w:p w:rsidR="004C0490" w:rsidRDefault="004C0490" w:rsidP="00031CEB">
            <w:pPr>
              <w:pStyle w:val="Default"/>
              <w:spacing w:after="60"/>
              <w:ind w:left="-113" w:right="-102"/>
              <w:jc w:val="both"/>
              <w:rPr>
                <w:sz w:val="20"/>
                <w:szCs w:val="20"/>
              </w:rPr>
            </w:pPr>
            <w:r w:rsidRPr="00E73B40">
              <w:rPr>
                <w:sz w:val="20"/>
                <w:szCs w:val="20"/>
                <w:vertAlign w:val="superscript"/>
              </w:rPr>
              <w:t>35a</w:t>
            </w:r>
            <w:r w:rsidRPr="004C0490">
              <w:rPr>
                <w:sz w:val="20"/>
                <w:szCs w:val="20"/>
              </w:rPr>
              <w:t>) § 40 až 43 zákona č. 326/2005 Z. z. v znení neskorších predpisov.“.</w:t>
            </w:r>
          </w:p>
          <w:p w:rsidR="00FA7A33" w:rsidRDefault="00FA7A33" w:rsidP="00FC648E">
            <w:pPr>
              <w:pStyle w:val="Default"/>
              <w:spacing w:after="60"/>
              <w:ind w:left="-113" w:right="-102"/>
              <w:rPr>
                <w:sz w:val="20"/>
                <w:szCs w:val="20"/>
              </w:rPr>
            </w:pPr>
          </w:p>
          <w:p w:rsidR="00FC648E" w:rsidRPr="00FC648E" w:rsidRDefault="00FC648E" w:rsidP="00FC648E">
            <w:pPr>
              <w:pStyle w:val="Default"/>
              <w:spacing w:after="60"/>
              <w:ind w:left="-113" w:right="-102"/>
              <w:rPr>
                <w:sz w:val="20"/>
                <w:szCs w:val="20"/>
              </w:rPr>
            </w:pPr>
            <w:r w:rsidRPr="00FC648E">
              <w:rPr>
                <w:sz w:val="20"/>
                <w:szCs w:val="20"/>
              </w:rPr>
              <w:t>9. V § 23 odseky 1 a 2 znejú:</w:t>
            </w:r>
          </w:p>
          <w:p w:rsidR="00996C7F" w:rsidRPr="00996C7F" w:rsidRDefault="00FC648E" w:rsidP="00031CEB">
            <w:pPr>
              <w:pStyle w:val="Default"/>
              <w:spacing w:after="60"/>
              <w:ind w:left="-113" w:right="-102"/>
              <w:jc w:val="both"/>
              <w:rPr>
                <w:sz w:val="20"/>
                <w:szCs w:val="20"/>
              </w:rPr>
            </w:pPr>
            <w:r w:rsidRPr="00FC648E">
              <w:rPr>
                <w:sz w:val="20"/>
                <w:szCs w:val="20"/>
              </w:rPr>
              <w:t xml:space="preserve">„(1) </w:t>
            </w:r>
            <w:r w:rsidR="00996C7F" w:rsidRPr="00996C7F">
              <w:rPr>
                <w:sz w:val="20"/>
                <w:szCs w:val="20"/>
              </w:rPr>
              <w:t xml:space="preserve">Ťažba sa môže vykonať po </w:t>
            </w:r>
            <w:bookmarkStart w:id="0" w:name="_GoBack"/>
            <w:r w:rsidR="00996C7F" w:rsidRPr="00996C7F">
              <w:rPr>
                <w:sz w:val="20"/>
                <w:szCs w:val="20"/>
              </w:rPr>
              <w:t>vyznač</w:t>
            </w:r>
            <w:bookmarkEnd w:id="0"/>
            <w:r w:rsidR="00996C7F" w:rsidRPr="00996C7F">
              <w:rPr>
                <w:sz w:val="20"/>
                <w:szCs w:val="20"/>
              </w:rPr>
              <w:t>ení ťažby a na základe písomného súhlasu hospodára vydaného obhospodarovateľovi lesa, ak druhá alebo štvrtá veta neustanovuje inak. Písomný súhlas hospodára sa vyžaduje na vykonanie asanačnej ťažby alebo naliehavej ťažby v porastoch s vekom do 50 rokov, ak sa ťažba vykoná v rozsahu presahujúcom objem ťažby odporučený na ťažbu programom starostlivosti o lesy o viac ako 20 % alebo ide o naliehavú ťažbu podľa odseku 14 písm. a) prvého bodu. Obhospodarovateľ lesa uchováva písomný súhlas na vykonanie ťažby do konca kalendárneho roka nasledujúceho po skončení platnosti programu starostlivosti o lesy alebo projektu starostlivosti o lesný pozemok. Vyznačenie ťažby sa nevyžaduje pri výchove lesa v lesných porastoch s vekom do 50 rokov. Ťažba na ostatnom lesnom pozemku [§ 39 ods. 1 písm. e)] alebo pozemku vyhlásenom za lesný pozemok do schválenia programu starostlivosti o lesy alebo projektu starostlivosti o lesný pozemok, sa môže vykonať na základe rozhodnutia podľa § 28 ods. 7 alebo na základe písomného súhlasu orgánu štátnej správy lesného hospodárstva; na vydanie súhlasu sa nevzťahuje správny poriadok.</w:t>
            </w:r>
            <w:r w:rsidR="00996C7F" w:rsidRPr="00B550BC">
              <w:rPr>
                <w:sz w:val="20"/>
                <w:szCs w:val="20"/>
                <w:vertAlign w:val="superscript"/>
              </w:rPr>
              <w:t>12</w:t>
            </w:r>
            <w:r w:rsidR="00996C7F" w:rsidRPr="00996C7F">
              <w:rPr>
                <w:sz w:val="20"/>
                <w:szCs w:val="20"/>
              </w:rPr>
              <w:t>)</w:t>
            </w:r>
          </w:p>
          <w:p w:rsidR="00FC648E" w:rsidRPr="00FC648E" w:rsidRDefault="00996C7F" w:rsidP="00031CEB">
            <w:pPr>
              <w:pStyle w:val="Default"/>
              <w:spacing w:after="60"/>
              <w:ind w:left="-113" w:right="-102"/>
              <w:jc w:val="both"/>
              <w:rPr>
                <w:sz w:val="20"/>
                <w:szCs w:val="20"/>
              </w:rPr>
            </w:pPr>
            <w:r w:rsidRPr="00996C7F">
              <w:rPr>
                <w:sz w:val="20"/>
                <w:szCs w:val="20"/>
              </w:rPr>
              <w:t xml:space="preserve">(2) Vykonávateľ ťažby je povinný na vyzvanie orgánu štátnej správy lesného hospodárstva, orgánu ochrany prírody, územne príslušnej organizácie ochrany prírody, člena lesnej stráže, príslušníka </w:t>
            </w:r>
            <w:r w:rsidRPr="00996C7F">
              <w:rPr>
                <w:sz w:val="20"/>
                <w:szCs w:val="20"/>
              </w:rPr>
              <w:lastRenderedPageBreak/>
              <w:t>Policajného zboru</w:t>
            </w:r>
            <w:r w:rsidRPr="00A150B4">
              <w:rPr>
                <w:sz w:val="20"/>
                <w:szCs w:val="20"/>
                <w:vertAlign w:val="superscript"/>
              </w:rPr>
              <w:t>31</w:t>
            </w:r>
            <w:r w:rsidRPr="00996C7F">
              <w:rPr>
                <w:sz w:val="20"/>
                <w:szCs w:val="20"/>
              </w:rPr>
              <w:t>) alebo príslušníka Vojenskej polície</w:t>
            </w:r>
            <w:r w:rsidRPr="00A150B4">
              <w:rPr>
                <w:sz w:val="20"/>
                <w:szCs w:val="20"/>
                <w:vertAlign w:val="superscript"/>
              </w:rPr>
              <w:t>31a</w:t>
            </w:r>
            <w:r w:rsidRPr="00996C7F">
              <w:rPr>
                <w:sz w:val="20"/>
                <w:szCs w:val="20"/>
              </w:rPr>
              <w:t>) predložiť doklad vydaný obhospodarovateľom lesa alebo inú listinu preukazujúcu oprávnenie na vykonanie ťažby; doklad alebo iná listina obsahuje najmä identifik</w:t>
            </w:r>
            <w:r w:rsidR="00031CEB">
              <w:rPr>
                <w:sz w:val="20"/>
                <w:szCs w:val="20"/>
              </w:rPr>
              <w:t>ačné údaje</w:t>
            </w:r>
            <w:r w:rsidRPr="00996C7F">
              <w:rPr>
                <w:sz w:val="20"/>
                <w:szCs w:val="20"/>
              </w:rPr>
              <w:t xml:space="preserve"> obhospodarovateľa lesa </w:t>
            </w:r>
            <w:r w:rsidR="00031CEB" w:rsidRPr="00031CEB">
              <w:rPr>
                <w:sz w:val="20"/>
                <w:szCs w:val="20"/>
              </w:rPr>
              <w:t>podľa § 4a ods. 4 písm. a), identifikačné údaje vykonávateľa ťažby v rozsahu podľa § 4a ods. 4 písm. a), miesto vykonania ťažby uvedením označenia lesného celku, porastu alebo ostatného lesného pozemku a písomný súhlas hospodára</w:t>
            </w:r>
            <w:r w:rsidRPr="00996C7F">
              <w:rPr>
                <w:sz w:val="20"/>
                <w:szCs w:val="20"/>
              </w:rPr>
              <w:t xml:space="preserve">, ak sa podľa odseku 1 vyžaduje. Vykonávateľ ťažby nie je povinný predložiť doklad alebo inú listinu podľa prvej vety, ak obhospodarovateľ lesa oprávnenie vykonania ťažby v poraste alebo na ostatnom lesnom pozemku s údajmi podľa prvej vety </w:t>
            </w:r>
            <w:r w:rsidR="00031CEB">
              <w:rPr>
                <w:sz w:val="20"/>
                <w:szCs w:val="20"/>
              </w:rPr>
              <w:t>zapísal</w:t>
            </w:r>
            <w:r w:rsidRPr="00996C7F">
              <w:rPr>
                <w:sz w:val="20"/>
                <w:szCs w:val="20"/>
              </w:rPr>
              <w:t xml:space="preserve"> v informačnom systéme lesného hospodárstva; </w:t>
            </w:r>
            <w:r w:rsidR="00031CEB" w:rsidRPr="00031CEB">
              <w:rPr>
                <w:sz w:val="20"/>
                <w:szCs w:val="20"/>
              </w:rPr>
              <w:t>ak vykonávateľ ťažby zabezpečuje vykonanie ťažby prostredníctvom  fyzickej osoby, obhospodarovateľ lesa zapíše v informačnom systéme lesného hospodárstva aj identifikačné údaje fyzickej osoby a kontaktné údaje vykonávateľa ťažby na účel overenia zapísaných údajov</w:t>
            </w:r>
            <w:r w:rsidRPr="00996C7F">
              <w:rPr>
                <w:sz w:val="20"/>
                <w:szCs w:val="20"/>
              </w:rPr>
              <w:t xml:space="preserve">. Správca informačného systému lesného hospodárstva zverejňuje </w:t>
            </w:r>
            <w:r w:rsidR="00031CEB" w:rsidRPr="00031CEB">
              <w:rPr>
                <w:sz w:val="20"/>
                <w:szCs w:val="20"/>
              </w:rPr>
              <w:t>údaje podľa druhej vety</w:t>
            </w:r>
            <w:r w:rsidR="00031CEB" w:rsidRPr="00A163BE">
              <w:t xml:space="preserve"> </w:t>
            </w:r>
            <w:r w:rsidRPr="00996C7F">
              <w:rPr>
                <w:sz w:val="20"/>
                <w:szCs w:val="20"/>
              </w:rPr>
              <w:t>v informačnom systéme lesného hospodárstva tak, že k údajom o obhospodarovateľovi lesa a hospodárovi v poraste alebo na ostatnom lesnom pozemku podľa § 4f ods. 3 pripojí aj identifikačné údaje  vykonávateľ</w:t>
            </w:r>
            <w:r w:rsidR="00031CEB">
              <w:rPr>
                <w:sz w:val="20"/>
                <w:szCs w:val="20"/>
              </w:rPr>
              <w:t>a</w:t>
            </w:r>
            <w:r w:rsidRPr="00996C7F">
              <w:rPr>
                <w:sz w:val="20"/>
                <w:szCs w:val="20"/>
              </w:rPr>
              <w:t xml:space="preserve"> ťažby podľa druhej vety; ak ide o fyzickú osobu, zverejňuje len jej meno a priezvisko.</w:t>
            </w:r>
            <w:r w:rsidR="00FC648E" w:rsidRPr="00FC648E">
              <w:rPr>
                <w:sz w:val="20"/>
                <w:szCs w:val="20"/>
              </w:rPr>
              <w:t>“.</w:t>
            </w:r>
          </w:p>
          <w:p w:rsidR="00FC648E" w:rsidRPr="00FC648E" w:rsidRDefault="00FC648E" w:rsidP="00FC648E">
            <w:pPr>
              <w:pStyle w:val="Default"/>
              <w:spacing w:after="60"/>
              <w:ind w:left="-113" w:right="-102"/>
              <w:rPr>
                <w:sz w:val="20"/>
                <w:szCs w:val="20"/>
              </w:rPr>
            </w:pPr>
            <w:r w:rsidRPr="00FC648E">
              <w:rPr>
                <w:sz w:val="20"/>
                <w:szCs w:val="20"/>
              </w:rPr>
              <w:t xml:space="preserve">Poznámka pod čiarou k odkazu 31a znie: </w:t>
            </w:r>
          </w:p>
          <w:p w:rsidR="00FC648E" w:rsidRPr="00FC648E" w:rsidRDefault="00FC648E" w:rsidP="00031CEB">
            <w:pPr>
              <w:pStyle w:val="Default"/>
              <w:spacing w:after="60"/>
              <w:ind w:left="-113" w:right="-102"/>
              <w:jc w:val="both"/>
              <w:rPr>
                <w:sz w:val="20"/>
                <w:szCs w:val="20"/>
              </w:rPr>
            </w:pPr>
            <w:r w:rsidRPr="00FC648E">
              <w:rPr>
                <w:sz w:val="20"/>
                <w:szCs w:val="20"/>
              </w:rPr>
              <w:t>„</w:t>
            </w:r>
            <w:r w:rsidRPr="00E73B40">
              <w:rPr>
                <w:sz w:val="20"/>
                <w:szCs w:val="20"/>
                <w:vertAlign w:val="superscript"/>
              </w:rPr>
              <w:t>31a</w:t>
            </w:r>
            <w:r w:rsidRPr="00FC648E">
              <w:rPr>
                <w:sz w:val="20"/>
                <w:szCs w:val="20"/>
              </w:rPr>
              <w:t>) § 1 až 3 zákona č. 124/1992 Zb. o Vojenskej polícii v znení neskorších predpisov.“.</w:t>
            </w:r>
          </w:p>
          <w:p w:rsidR="00FC648E" w:rsidRPr="00FC648E" w:rsidRDefault="00FC648E" w:rsidP="00031CEB">
            <w:pPr>
              <w:pStyle w:val="Default"/>
              <w:spacing w:after="60"/>
              <w:ind w:left="-113" w:right="-102"/>
              <w:jc w:val="both"/>
              <w:rPr>
                <w:sz w:val="20"/>
                <w:szCs w:val="20"/>
              </w:rPr>
            </w:pPr>
            <w:r w:rsidRPr="00FC648E">
              <w:rPr>
                <w:sz w:val="20"/>
                <w:szCs w:val="20"/>
              </w:rPr>
              <w:t>10. V § 23 ods. 4 druhej vete sa za slová „údaje držiteľa ciachy“ vkladajú slová „alebo iného povoleného označenia“.</w:t>
            </w:r>
          </w:p>
          <w:p w:rsidR="00FC648E" w:rsidRPr="00FC648E" w:rsidRDefault="00FC648E" w:rsidP="00031CEB">
            <w:pPr>
              <w:pStyle w:val="Default"/>
              <w:spacing w:after="60"/>
              <w:ind w:left="-113" w:right="-102"/>
              <w:jc w:val="both"/>
              <w:rPr>
                <w:sz w:val="20"/>
                <w:szCs w:val="20"/>
              </w:rPr>
            </w:pPr>
            <w:r w:rsidRPr="00FC648E">
              <w:rPr>
                <w:sz w:val="20"/>
                <w:szCs w:val="20"/>
              </w:rPr>
              <w:t>11. V § 23 ods. 5 druhá veta znie: „Zverejnená evidencia obsahuje znaky zaregistrovanej ciachy alebo popis a zobrazenie zaregistrovaného iného povoleného označenia a identifikačné údaje držiteľa ciachy alebo iného povoleného označenia; ak ide o fyzickú osobu, zverejňuje sa len jej meno a priezvisko.“.</w:t>
            </w:r>
          </w:p>
          <w:p w:rsidR="00FC648E" w:rsidRPr="00FC648E" w:rsidRDefault="00FC648E" w:rsidP="00FC648E">
            <w:pPr>
              <w:pStyle w:val="Default"/>
              <w:spacing w:after="60"/>
              <w:ind w:left="-113" w:right="-102"/>
              <w:rPr>
                <w:sz w:val="20"/>
                <w:szCs w:val="20"/>
              </w:rPr>
            </w:pPr>
            <w:r w:rsidRPr="00FC648E">
              <w:rPr>
                <w:sz w:val="20"/>
                <w:szCs w:val="20"/>
              </w:rPr>
              <w:t>12. V § 23 odseky 7 až 10 znejú:</w:t>
            </w:r>
          </w:p>
          <w:p w:rsidR="00FC648E" w:rsidRPr="00FC648E" w:rsidRDefault="00FC648E" w:rsidP="00031CEB">
            <w:pPr>
              <w:pStyle w:val="Default"/>
              <w:spacing w:after="60"/>
              <w:ind w:left="-113" w:right="-102"/>
              <w:jc w:val="both"/>
              <w:rPr>
                <w:sz w:val="20"/>
                <w:szCs w:val="20"/>
              </w:rPr>
            </w:pPr>
            <w:r w:rsidRPr="00FC648E">
              <w:rPr>
                <w:sz w:val="20"/>
                <w:szCs w:val="20"/>
              </w:rPr>
              <w:t>„(7) Obhospodarovateľ lesa je povinný zabezpečiť zaevidovanie dôvodu vzniku asanačnej ťažby v lesnej hospodárskej evidencii (§ 44) do siedmich dní odo dňa, keď zistil, že vznikli dôvody na asanačnú ťažbu, najneskôr však do 30 dní od ich vzniku, a v tejto lehote ohlásiť dôvod vzniku asanačnej ťažby orgánu štátnej správy lesného hospodárstva, ak</w:t>
            </w:r>
          </w:p>
          <w:p w:rsidR="00FC648E" w:rsidRPr="00FC648E" w:rsidRDefault="00FC648E" w:rsidP="000B28C8">
            <w:pPr>
              <w:pStyle w:val="Default"/>
              <w:spacing w:after="60"/>
              <w:ind w:left="-113" w:right="-102"/>
              <w:jc w:val="both"/>
              <w:rPr>
                <w:sz w:val="20"/>
                <w:szCs w:val="20"/>
              </w:rPr>
            </w:pPr>
            <w:r w:rsidRPr="00FC648E">
              <w:rPr>
                <w:sz w:val="20"/>
                <w:szCs w:val="20"/>
              </w:rPr>
              <w:lastRenderedPageBreak/>
              <w:t>a) odhadnutý objem dreva, ktorý je dôvodom vzniku asanačnej ťažby, a celkový objem asanačnej ťažby presiahnu 15 % zásoby porastu uvedenej v opise porastu [§ 40 ods. 2 písm. b)],</w:t>
            </w:r>
          </w:p>
          <w:p w:rsidR="00FC648E" w:rsidRPr="00FC648E" w:rsidRDefault="00FC648E" w:rsidP="000B28C8">
            <w:pPr>
              <w:pStyle w:val="Default"/>
              <w:spacing w:after="60"/>
              <w:ind w:left="-113" w:right="-102"/>
              <w:jc w:val="both"/>
              <w:rPr>
                <w:sz w:val="20"/>
                <w:szCs w:val="20"/>
              </w:rPr>
            </w:pPr>
            <w:r w:rsidRPr="00FC648E">
              <w:rPr>
                <w:sz w:val="20"/>
                <w:szCs w:val="20"/>
              </w:rPr>
              <w:t>b) odhadnutý objem dreva, ktorý je dôvodom vzniku asanačnej ťažby, celkový objem vykonanej úmyselnej ťažby a celkový objem asanačnej ťažby presiahnu 30 % zásoby porastu uvedenej v opise porastu,</w:t>
            </w:r>
          </w:p>
          <w:p w:rsidR="00FC648E" w:rsidRPr="00FC648E" w:rsidRDefault="00FC648E" w:rsidP="000B28C8">
            <w:pPr>
              <w:pStyle w:val="Default"/>
              <w:spacing w:after="60"/>
              <w:ind w:left="-113" w:right="-102"/>
              <w:jc w:val="both"/>
              <w:rPr>
                <w:sz w:val="20"/>
                <w:szCs w:val="20"/>
              </w:rPr>
            </w:pPr>
            <w:r w:rsidRPr="00FC648E">
              <w:rPr>
                <w:sz w:val="20"/>
                <w:szCs w:val="20"/>
              </w:rPr>
              <w:t>c) bol pre porast ohlásený dôvod vzniku asanačnej ťažby podľa písmena a) alebo písmena b) a odhadnutý objem dreva, ktorý je dôvodom vzniku ďalšej asanačnej ťažby, jednorazovo presiahne 5 % zásoby porastu uvedenej v opise porastu alebo</w:t>
            </w:r>
          </w:p>
          <w:p w:rsidR="00FC648E" w:rsidRPr="00FC648E" w:rsidRDefault="00FC648E" w:rsidP="000B28C8">
            <w:pPr>
              <w:pStyle w:val="Default"/>
              <w:spacing w:after="60"/>
              <w:ind w:left="-113" w:right="-102"/>
              <w:jc w:val="both"/>
              <w:rPr>
                <w:sz w:val="20"/>
                <w:szCs w:val="20"/>
              </w:rPr>
            </w:pPr>
            <w:r w:rsidRPr="00FC648E">
              <w:rPr>
                <w:sz w:val="20"/>
                <w:szCs w:val="20"/>
              </w:rPr>
              <w:t>d) asanačná  ťažba sa má vykonať na súvislej ploche s výmerou viac ako 0,3 hektára.</w:t>
            </w:r>
          </w:p>
          <w:p w:rsidR="00FC648E" w:rsidRPr="00FC648E" w:rsidRDefault="00FC648E" w:rsidP="000B28C8">
            <w:pPr>
              <w:pStyle w:val="Default"/>
              <w:spacing w:after="60"/>
              <w:ind w:left="-113" w:right="-102"/>
              <w:jc w:val="both"/>
              <w:rPr>
                <w:sz w:val="20"/>
                <w:szCs w:val="20"/>
              </w:rPr>
            </w:pPr>
            <w:r w:rsidRPr="00FC648E">
              <w:rPr>
                <w:sz w:val="20"/>
                <w:szCs w:val="20"/>
              </w:rPr>
              <w:t xml:space="preserve">(8) Obhospodarovateľ lesa je povinný zabezpečiť zaevidovanie dôvodu vzniku každej asanačnej ťažby v lesnej hospodárskej evidencii (§ 44) do siedmich dní odo dňa, keď zistil, že vznikli dôvody na asanačnú ťažbu, najneskôr však do 30 dní od ich vzniku, a v tejto lehote ohlásiť dôvod jej vzniku orgánu štátnej správy lesného hospodárstva v období od </w:t>
            </w:r>
          </w:p>
          <w:p w:rsidR="00FC648E" w:rsidRPr="00FC648E" w:rsidRDefault="00FC648E" w:rsidP="000B28C8">
            <w:pPr>
              <w:pStyle w:val="Default"/>
              <w:spacing w:after="60"/>
              <w:ind w:left="-113" w:right="-102"/>
              <w:jc w:val="both"/>
              <w:rPr>
                <w:sz w:val="20"/>
                <w:szCs w:val="20"/>
              </w:rPr>
            </w:pPr>
            <w:r w:rsidRPr="00FC648E">
              <w:rPr>
                <w:sz w:val="20"/>
                <w:szCs w:val="20"/>
              </w:rPr>
              <w:t>a) skončenia platnosti programu starostlivosti o lesy alebo projektu starostlivosti o lesný pozemok do vykonateľnosti rozhodnutia o schválení programu starostlivosti o lesy, alebo</w:t>
            </w:r>
          </w:p>
          <w:p w:rsidR="00FC648E" w:rsidRPr="00FC648E" w:rsidRDefault="00FC648E" w:rsidP="000B28C8">
            <w:pPr>
              <w:pStyle w:val="Default"/>
              <w:spacing w:after="60"/>
              <w:ind w:left="-113" w:right="-102"/>
              <w:jc w:val="both"/>
              <w:rPr>
                <w:sz w:val="20"/>
                <w:szCs w:val="20"/>
              </w:rPr>
            </w:pPr>
            <w:r w:rsidRPr="00FC648E">
              <w:rPr>
                <w:sz w:val="20"/>
                <w:szCs w:val="20"/>
              </w:rPr>
              <w:t>b) vyhlásenia pozemku za lesný pozemok do schválenia programu starostlivosti o lesy alebo projektu starostlivosti o lesný pozemok.</w:t>
            </w:r>
          </w:p>
          <w:p w:rsidR="00FC648E" w:rsidRPr="00FC648E" w:rsidRDefault="00FC648E" w:rsidP="000B28C8">
            <w:pPr>
              <w:pStyle w:val="Default"/>
              <w:spacing w:after="60"/>
              <w:ind w:left="-113" w:right="-102"/>
              <w:jc w:val="both"/>
              <w:rPr>
                <w:sz w:val="20"/>
                <w:szCs w:val="20"/>
              </w:rPr>
            </w:pPr>
            <w:r w:rsidRPr="00FC648E">
              <w:rPr>
                <w:sz w:val="20"/>
                <w:szCs w:val="20"/>
              </w:rPr>
              <w:t>(9) Asanačnú ťažbu podľa odsekov 7 a 8 obhospodarovateľ lesa ohlasuje prostredníctvom informačného systému lesného hospodárstva. Orgán ochrany prírody a organizácia ochrany prírody sú o asanačnej ťažbe v chránených územiach informovaní prostredníctvom tohto informačného systému. Ohlásenie sa považuje za doručené najbližší pracovný deň, ktorý nasleduje po dni, v ktorom obhospodarovateľ lesa ohlásenie podľa prvej vety urobil.</w:t>
            </w:r>
          </w:p>
          <w:p w:rsidR="00FC648E" w:rsidRPr="00FC648E" w:rsidRDefault="00FC648E" w:rsidP="000B28C8">
            <w:pPr>
              <w:pStyle w:val="Default"/>
              <w:spacing w:after="60"/>
              <w:ind w:left="-113" w:right="-102"/>
              <w:jc w:val="both"/>
              <w:rPr>
                <w:sz w:val="20"/>
                <w:szCs w:val="20"/>
              </w:rPr>
            </w:pPr>
            <w:r w:rsidRPr="00FC648E">
              <w:rPr>
                <w:sz w:val="20"/>
                <w:szCs w:val="20"/>
              </w:rPr>
              <w:t xml:space="preserve">(10) Ak odsek 6 druhá veta alebo § 25 ods. 2 neustanovujú inak, obhospodarovateľ lesa môže vykonávať asanačnú ťažbu najskôr desať dní po doručení ohlásenia podľa odseku 9. Obhospodarovateľ lesa môže asanačnú ťažbu vykonať aj pred uplynutím lehoty podľa prvej vety, ak </w:t>
            </w:r>
          </w:p>
          <w:p w:rsidR="00FC648E" w:rsidRPr="00FC648E" w:rsidRDefault="00FC648E" w:rsidP="000B28C8">
            <w:pPr>
              <w:pStyle w:val="Default"/>
              <w:spacing w:after="60"/>
              <w:ind w:left="-113" w:right="-102"/>
              <w:jc w:val="both"/>
              <w:rPr>
                <w:sz w:val="20"/>
                <w:szCs w:val="20"/>
              </w:rPr>
            </w:pPr>
            <w:r w:rsidRPr="00FC648E">
              <w:rPr>
                <w:sz w:val="20"/>
                <w:szCs w:val="20"/>
              </w:rPr>
              <w:t xml:space="preserve"> a) pred uplynutím tejto lehoty orgán štátnej správy lesného hospodárstva </w:t>
            </w:r>
            <w:r w:rsidR="00D60358">
              <w:rPr>
                <w:sz w:val="20"/>
                <w:szCs w:val="20"/>
              </w:rPr>
              <w:t>zapíše</w:t>
            </w:r>
            <w:r w:rsidRPr="00FC648E">
              <w:rPr>
                <w:sz w:val="20"/>
                <w:szCs w:val="20"/>
              </w:rPr>
              <w:t xml:space="preserve"> súhlas s vykonaním asanačnej ťažby v informačnom systéme lesného hospodárstva; na vydanie súhlasu sa nevzťahuje správny poriadok,</w:t>
            </w:r>
            <w:r w:rsidRPr="00E417DC">
              <w:rPr>
                <w:sz w:val="20"/>
                <w:szCs w:val="20"/>
                <w:vertAlign w:val="superscript"/>
              </w:rPr>
              <w:t>12</w:t>
            </w:r>
            <w:r w:rsidRPr="00FC648E">
              <w:rPr>
                <w:sz w:val="20"/>
                <w:szCs w:val="20"/>
              </w:rPr>
              <w:t xml:space="preserve">)  </w:t>
            </w:r>
          </w:p>
          <w:p w:rsidR="00FC648E" w:rsidRPr="00FC648E" w:rsidRDefault="00FC648E" w:rsidP="000B28C8">
            <w:pPr>
              <w:pStyle w:val="Default"/>
              <w:spacing w:after="60"/>
              <w:ind w:left="-113" w:right="-102"/>
              <w:jc w:val="both"/>
              <w:rPr>
                <w:sz w:val="20"/>
                <w:szCs w:val="20"/>
              </w:rPr>
            </w:pPr>
            <w:r w:rsidRPr="00FC648E">
              <w:rPr>
                <w:sz w:val="20"/>
                <w:szCs w:val="20"/>
              </w:rPr>
              <w:lastRenderedPageBreak/>
              <w:t xml:space="preserve"> b) ide o územie s druhým až štvrtým stupňom ochrany alebo chránené vtáčie územie a bolo vydané rozhodnutie podľa osobitného predpisu</w:t>
            </w:r>
            <w:r w:rsidRPr="00E417DC">
              <w:rPr>
                <w:sz w:val="20"/>
                <w:szCs w:val="20"/>
                <w:vertAlign w:val="superscript"/>
              </w:rPr>
              <w:t>32aa</w:t>
            </w:r>
            <w:r w:rsidRPr="00FC648E">
              <w:rPr>
                <w:sz w:val="20"/>
                <w:szCs w:val="20"/>
              </w:rPr>
              <w:t xml:space="preserve">) umožňujúce jej vykonanie alebo súhlasné stanovisko organizácie ochrany prírody, ktorá nie je obhospodarovateľom lesa v dotknutom území, s jej vykonaním, </w:t>
            </w:r>
          </w:p>
          <w:p w:rsidR="00FC648E" w:rsidRPr="00FC648E" w:rsidRDefault="00FC648E" w:rsidP="00FC648E">
            <w:pPr>
              <w:pStyle w:val="Default"/>
              <w:spacing w:after="60"/>
              <w:ind w:left="-113" w:right="-102"/>
              <w:rPr>
                <w:sz w:val="20"/>
                <w:szCs w:val="20"/>
              </w:rPr>
            </w:pPr>
            <w:r w:rsidRPr="00FC648E">
              <w:rPr>
                <w:sz w:val="20"/>
                <w:szCs w:val="20"/>
              </w:rPr>
              <w:t>c) možnosť jej vykonania vyplýva z regulatívov ochrany prírody [§ 40 ods. 2 písm. c)].“.</w:t>
            </w:r>
          </w:p>
          <w:p w:rsidR="00FC648E" w:rsidRPr="00FC648E" w:rsidRDefault="00FC648E" w:rsidP="00FC648E">
            <w:pPr>
              <w:pStyle w:val="Default"/>
              <w:spacing w:after="60"/>
              <w:ind w:left="-113" w:right="-102"/>
              <w:rPr>
                <w:sz w:val="20"/>
                <w:szCs w:val="20"/>
              </w:rPr>
            </w:pPr>
            <w:r w:rsidRPr="00FC648E">
              <w:rPr>
                <w:sz w:val="20"/>
                <w:szCs w:val="20"/>
              </w:rPr>
              <w:t>Poznámka pod čiarou k odkazu 32ab sa vypúšťa.</w:t>
            </w:r>
          </w:p>
          <w:p w:rsidR="00FC648E" w:rsidRPr="00FC648E" w:rsidRDefault="00FC648E" w:rsidP="00FC648E">
            <w:pPr>
              <w:pStyle w:val="Default"/>
              <w:spacing w:after="60"/>
              <w:ind w:left="-113" w:right="-102"/>
              <w:rPr>
                <w:sz w:val="20"/>
                <w:szCs w:val="20"/>
              </w:rPr>
            </w:pPr>
            <w:r w:rsidRPr="00FC648E">
              <w:rPr>
                <w:sz w:val="20"/>
                <w:szCs w:val="20"/>
              </w:rPr>
              <w:t>13. V § 23 odsek 13 znie:</w:t>
            </w:r>
          </w:p>
          <w:p w:rsidR="00FC648E" w:rsidRPr="00FC648E" w:rsidRDefault="00FC648E" w:rsidP="000B28C8">
            <w:pPr>
              <w:pStyle w:val="Default"/>
              <w:spacing w:after="60"/>
              <w:ind w:left="-113" w:right="-102"/>
              <w:jc w:val="both"/>
              <w:rPr>
                <w:sz w:val="20"/>
                <w:szCs w:val="20"/>
              </w:rPr>
            </w:pPr>
            <w:r w:rsidRPr="00FC648E">
              <w:rPr>
                <w:sz w:val="20"/>
                <w:szCs w:val="20"/>
              </w:rPr>
              <w:t>„(13) Celkový objem dreva predpísaný na ťažbu programom starostlivosti o lesy alebo projektom starostlivosti o lesný pozemok pre vlastnícky celok (§ 39 ods. 4) a kategóriu lesa nemožno ťažbou prekročiť, ak odsek 14 nestanovuje inak. Celkový objem dreva predpísaný na ťažbu  programom starostlivosti o lesy alebo projektom starostlivosti o lesný pozemok pre vlastnícky celok (§ 39 ods. 4) a kategóriu lesa sa znižuje o objem dreva odumretých a poškodených stromov, ktoré sú dôvodom na asanačnú ťažbu.“.</w:t>
            </w:r>
          </w:p>
          <w:p w:rsidR="00FC648E" w:rsidRPr="00FC648E" w:rsidRDefault="00FC648E" w:rsidP="00FC648E">
            <w:pPr>
              <w:pStyle w:val="Default"/>
              <w:spacing w:after="60"/>
              <w:ind w:left="-113" w:right="-102"/>
              <w:rPr>
                <w:sz w:val="20"/>
                <w:szCs w:val="20"/>
              </w:rPr>
            </w:pPr>
            <w:r w:rsidRPr="00FC648E">
              <w:rPr>
                <w:sz w:val="20"/>
                <w:szCs w:val="20"/>
              </w:rPr>
              <w:t>14. V § 23 ods. 14 písmeno a) znie:</w:t>
            </w:r>
          </w:p>
          <w:p w:rsidR="00FC648E" w:rsidRPr="00FC648E" w:rsidRDefault="00FC648E" w:rsidP="00FC648E">
            <w:pPr>
              <w:pStyle w:val="Default"/>
              <w:spacing w:after="60"/>
              <w:ind w:left="-113" w:right="-102"/>
              <w:rPr>
                <w:sz w:val="20"/>
                <w:szCs w:val="20"/>
              </w:rPr>
            </w:pPr>
            <w:r w:rsidRPr="00FC648E">
              <w:rPr>
                <w:sz w:val="20"/>
                <w:szCs w:val="20"/>
              </w:rPr>
              <w:t xml:space="preserve">„a) naliehavú ťažbu [§ 22 ods. 3 písm. a)] </w:t>
            </w:r>
          </w:p>
          <w:p w:rsidR="00FC648E" w:rsidRPr="00FC648E" w:rsidRDefault="00FC648E" w:rsidP="00FC648E">
            <w:pPr>
              <w:pStyle w:val="Default"/>
              <w:spacing w:after="60"/>
              <w:ind w:left="-113" w:right="-102"/>
              <w:rPr>
                <w:sz w:val="20"/>
                <w:szCs w:val="20"/>
              </w:rPr>
            </w:pPr>
            <w:r w:rsidRPr="00FC648E">
              <w:rPr>
                <w:sz w:val="20"/>
                <w:szCs w:val="20"/>
              </w:rPr>
              <w:t>1. výchovnú v porastoch s vekom do 50 rokov,</w:t>
            </w:r>
          </w:p>
          <w:p w:rsidR="00785364" w:rsidRDefault="00FC648E" w:rsidP="000B28C8">
            <w:pPr>
              <w:pStyle w:val="Default"/>
              <w:spacing w:after="60"/>
              <w:ind w:left="-113" w:right="-102"/>
              <w:jc w:val="both"/>
              <w:rPr>
                <w:sz w:val="20"/>
                <w:szCs w:val="20"/>
              </w:rPr>
            </w:pPr>
            <w:r w:rsidRPr="00FC648E">
              <w:rPr>
                <w:sz w:val="20"/>
                <w:szCs w:val="20"/>
              </w:rPr>
              <w:t>2. na základe zmeny programu starostlivosti o lesy (§ 43 ods. 2 a 3) obnovnú pri uvoľňovaní prirodzeného zmladenia alebo rekonštrukcii lesa,“.</w:t>
            </w:r>
          </w:p>
          <w:p w:rsidR="00FC648E" w:rsidRPr="00FC648E" w:rsidRDefault="00FC648E" w:rsidP="000B28C8">
            <w:pPr>
              <w:pStyle w:val="Default"/>
              <w:spacing w:after="60"/>
              <w:ind w:left="-113" w:right="-102"/>
              <w:jc w:val="both"/>
              <w:rPr>
                <w:sz w:val="20"/>
                <w:szCs w:val="20"/>
              </w:rPr>
            </w:pPr>
            <w:r w:rsidRPr="00FC648E">
              <w:rPr>
                <w:sz w:val="20"/>
                <w:szCs w:val="20"/>
              </w:rPr>
              <w:t xml:space="preserve">19. V § 28 ods. 3 prvej vete sa na konci vkladá bodkočiarka a pripájajú sa tieto slová: „to neplatí, ak je obhospodarovateľom lesa organizácia ochrany prírody“. </w:t>
            </w:r>
          </w:p>
          <w:p w:rsidR="00FC648E" w:rsidRPr="00FC648E" w:rsidRDefault="00FC648E" w:rsidP="000B28C8">
            <w:pPr>
              <w:pStyle w:val="Default"/>
              <w:spacing w:after="60"/>
              <w:ind w:left="-113" w:right="-102"/>
              <w:jc w:val="both"/>
              <w:rPr>
                <w:sz w:val="20"/>
                <w:szCs w:val="20"/>
              </w:rPr>
            </w:pPr>
            <w:r w:rsidRPr="00FC648E">
              <w:rPr>
                <w:sz w:val="20"/>
                <w:szCs w:val="20"/>
              </w:rPr>
              <w:t>20. V § 28 ods. 4 prvej vete sa na konci pripájajú tieto slová: „podľa osobitného predpisu</w:t>
            </w:r>
            <w:r w:rsidRPr="00E417DC">
              <w:rPr>
                <w:sz w:val="20"/>
                <w:szCs w:val="20"/>
                <w:vertAlign w:val="superscript"/>
              </w:rPr>
              <w:t>42a</w:t>
            </w:r>
            <w:r w:rsidRPr="00FC648E">
              <w:rPr>
                <w:sz w:val="20"/>
                <w:szCs w:val="20"/>
              </w:rPr>
              <w:t>)“ a druhej vete sa slová „nesúhlasí s rozsahom navrhovaných opatrení, spôsobom ich vykonania alebo s vymedzením“ nahrádzajú slovami „nevydá do 15 pracovných dní súhlasné vyjadrenie k rozsahu navrhovaných opatrení, spôsobu ich vykonania alebo vymedzeniu“ a vypúšťajú sa slová „po dohode s organizáciou ochrany prírody“.</w:t>
            </w:r>
          </w:p>
          <w:p w:rsidR="00FC648E" w:rsidRPr="00FC648E" w:rsidRDefault="00FC648E" w:rsidP="00FC648E">
            <w:pPr>
              <w:pStyle w:val="Default"/>
              <w:spacing w:after="60"/>
              <w:ind w:left="-113" w:right="-102"/>
              <w:rPr>
                <w:sz w:val="20"/>
                <w:szCs w:val="20"/>
              </w:rPr>
            </w:pPr>
            <w:r w:rsidRPr="00FC648E">
              <w:rPr>
                <w:sz w:val="20"/>
                <w:szCs w:val="20"/>
              </w:rPr>
              <w:t>Poznámka pod čiarou k odkazu 42a znie:</w:t>
            </w:r>
          </w:p>
          <w:p w:rsidR="00FC648E" w:rsidRPr="00FC648E" w:rsidRDefault="00FC648E" w:rsidP="000B28C8">
            <w:pPr>
              <w:pStyle w:val="Default"/>
              <w:spacing w:after="60"/>
              <w:ind w:left="-113" w:right="-102"/>
              <w:jc w:val="both"/>
              <w:rPr>
                <w:sz w:val="20"/>
                <w:szCs w:val="20"/>
              </w:rPr>
            </w:pPr>
            <w:r w:rsidRPr="00FC648E">
              <w:rPr>
                <w:sz w:val="20"/>
                <w:szCs w:val="20"/>
              </w:rPr>
              <w:t>„42a) § 65a zákona č. 543/2002 Z. z. v znení neskorších predpisov.“.</w:t>
            </w:r>
          </w:p>
          <w:p w:rsidR="00FC648E" w:rsidRPr="00FC648E" w:rsidRDefault="00FC648E" w:rsidP="00FC648E">
            <w:pPr>
              <w:pStyle w:val="Default"/>
              <w:spacing w:after="60"/>
              <w:ind w:left="-113" w:right="-102"/>
              <w:rPr>
                <w:sz w:val="20"/>
                <w:szCs w:val="20"/>
              </w:rPr>
            </w:pPr>
            <w:r w:rsidRPr="00FC648E">
              <w:rPr>
                <w:sz w:val="20"/>
                <w:szCs w:val="20"/>
              </w:rPr>
              <w:t>21. V § 28 odsek 5 znie:</w:t>
            </w:r>
          </w:p>
          <w:p w:rsidR="00FC648E" w:rsidRDefault="00FC648E" w:rsidP="000B28C8">
            <w:pPr>
              <w:pStyle w:val="Default"/>
              <w:spacing w:after="60"/>
              <w:ind w:left="-113" w:right="-102"/>
              <w:jc w:val="both"/>
              <w:rPr>
                <w:sz w:val="20"/>
                <w:szCs w:val="20"/>
              </w:rPr>
            </w:pPr>
            <w:r w:rsidRPr="00FC648E">
              <w:rPr>
                <w:sz w:val="20"/>
                <w:szCs w:val="20"/>
              </w:rPr>
              <w:t>„(5) Nárok na úhradu zvýšených nákladov podľa odseku 3 prvej vety sa považuje za uplatnený predložením projektu na vykonanie opatrení na zabránenie šírenia a premnoženia škodcov organizácii ochrany prírody podľa osobitného predpisu.</w:t>
            </w:r>
            <w:r w:rsidRPr="00E417DC">
              <w:rPr>
                <w:sz w:val="20"/>
                <w:szCs w:val="20"/>
                <w:vertAlign w:val="superscript"/>
              </w:rPr>
              <w:t>42a</w:t>
            </w:r>
            <w:r w:rsidRPr="00FC648E">
              <w:rPr>
                <w:sz w:val="20"/>
                <w:szCs w:val="20"/>
              </w:rPr>
              <w:t xml:space="preserve">) Opatrenia </w:t>
            </w:r>
            <w:r w:rsidRPr="00FC648E">
              <w:rPr>
                <w:sz w:val="20"/>
                <w:szCs w:val="20"/>
              </w:rPr>
              <w:lastRenderedPageBreak/>
              <w:t>odsúhlasené alebo určené postupom podľa odseku 4 zabezpečuje obhospodarovateľ lesa na náklady organizácie ochrany prírody podľa osobitného predpisu.</w:t>
            </w:r>
            <w:r w:rsidRPr="00E417DC">
              <w:rPr>
                <w:sz w:val="20"/>
                <w:szCs w:val="20"/>
                <w:vertAlign w:val="superscript"/>
              </w:rPr>
              <w:t>42a</w:t>
            </w:r>
            <w:r w:rsidRPr="00FC648E">
              <w:rPr>
                <w:sz w:val="20"/>
                <w:szCs w:val="20"/>
              </w:rPr>
              <w:t>) Na úhradu zvýšených nákladov možno organizácii ochrany prírody podľa osobitného predpisu</w:t>
            </w:r>
            <w:r w:rsidRPr="00E417DC">
              <w:rPr>
                <w:sz w:val="20"/>
                <w:szCs w:val="20"/>
                <w:vertAlign w:val="superscript"/>
              </w:rPr>
              <w:t>42a</w:t>
            </w:r>
            <w:r w:rsidRPr="00FC648E">
              <w:rPr>
                <w:sz w:val="20"/>
                <w:szCs w:val="20"/>
              </w:rPr>
              <w:t>) poskytnúť finančné prostriedky za podmienok ustanovených osobitnými predpismi.</w:t>
            </w:r>
            <w:r w:rsidRPr="00E417DC">
              <w:rPr>
                <w:sz w:val="20"/>
                <w:szCs w:val="20"/>
                <w:vertAlign w:val="superscript"/>
              </w:rPr>
              <w:t>43</w:t>
            </w:r>
            <w:r w:rsidRPr="00FC648E">
              <w:rPr>
                <w:sz w:val="20"/>
                <w:szCs w:val="20"/>
              </w:rPr>
              <w:t>)“.</w:t>
            </w:r>
          </w:p>
          <w:p w:rsidR="00FC648E" w:rsidRPr="00FC648E" w:rsidRDefault="00FC648E" w:rsidP="00FC648E">
            <w:pPr>
              <w:pStyle w:val="Default"/>
              <w:spacing w:after="60"/>
              <w:ind w:left="-113" w:right="-102"/>
              <w:rPr>
                <w:sz w:val="20"/>
                <w:szCs w:val="20"/>
              </w:rPr>
            </w:pPr>
            <w:r w:rsidRPr="00FC648E">
              <w:rPr>
                <w:sz w:val="20"/>
                <w:szCs w:val="20"/>
              </w:rPr>
              <w:t xml:space="preserve">25. Za § 37 sa vkladá § 37a, ktorý vrátane nadpisu znie: </w:t>
            </w:r>
          </w:p>
          <w:p w:rsidR="00FC648E" w:rsidRPr="00FC648E" w:rsidRDefault="00FC648E" w:rsidP="00E417DC">
            <w:pPr>
              <w:pStyle w:val="Default"/>
              <w:spacing w:after="60"/>
              <w:ind w:left="-113" w:right="-102"/>
              <w:jc w:val="center"/>
              <w:rPr>
                <w:sz w:val="20"/>
                <w:szCs w:val="20"/>
              </w:rPr>
            </w:pPr>
            <w:r w:rsidRPr="00FC648E">
              <w:rPr>
                <w:sz w:val="20"/>
                <w:szCs w:val="20"/>
              </w:rPr>
              <w:t>„§ 37a</w:t>
            </w:r>
          </w:p>
          <w:p w:rsidR="00FC648E" w:rsidRPr="00FC648E" w:rsidRDefault="00FC648E" w:rsidP="00E417DC">
            <w:pPr>
              <w:pStyle w:val="Default"/>
              <w:spacing w:after="60"/>
              <w:ind w:left="-113" w:right="-102"/>
              <w:jc w:val="center"/>
              <w:rPr>
                <w:sz w:val="20"/>
                <w:szCs w:val="20"/>
              </w:rPr>
            </w:pPr>
            <w:r w:rsidRPr="00FC648E">
              <w:rPr>
                <w:sz w:val="20"/>
                <w:szCs w:val="20"/>
              </w:rPr>
              <w:t>Osobitosti hospodárenia v lesoch na územiach európskej sústavy chránených území</w:t>
            </w:r>
          </w:p>
          <w:p w:rsidR="00FC648E" w:rsidRPr="00FC648E" w:rsidRDefault="00FC648E" w:rsidP="000B28C8">
            <w:pPr>
              <w:pStyle w:val="Default"/>
              <w:spacing w:after="60"/>
              <w:ind w:left="-113" w:right="-102"/>
              <w:jc w:val="both"/>
              <w:rPr>
                <w:sz w:val="20"/>
                <w:szCs w:val="20"/>
              </w:rPr>
            </w:pPr>
            <w:r w:rsidRPr="00FC648E">
              <w:rPr>
                <w:sz w:val="20"/>
                <w:szCs w:val="20"/>
              </w:rPr>
              <w:t>(1)</w:t>
            </w:r>
            <w:r w:rsidRPr="00FC648E">
              <w:rPr>
                <w:sz w:val="20"/>
                <w:szCs w:val="20"/>
              </w:rPr>
              <w:tab/>
              <w:t>Na lesných pozemkoch v územiach európskej sústavy chránených území sa hospodárenie v lesoch zabezpečuje v rozsahu podľa programu starostlivosti o lesy alebo projektu starostlivosti o lesný pozemok schváleného na základe stanoviska podľa osobitného predpisu</w:t>
            </w:r>
            <w:r w:rsidRPr="00E417DC">
              <w:rPr>
                <w:sz w:val="20"/>
                <w:szCs w:val="20"/>
                <w:vertAlign w:val="superscript"/>
              </w:rPr>
              <w:t>54a</w:t>
            </w:r>
            <w:r w:rsidRPr="00FC648E">
              <w:rPr>
                <w:sz w:val="20"/>
                <w:szCs w:val="20"/>
              </w:rPr>
              <w:t xml:space="preserve">) a v súlade so stanovenými regulatívmi ochrany prírody [§ 40 ods. 2 písm. c)]. Regulatívy ochrany prírody môžu určiť podmienky ochrany prírody pre rekonštrukciu lesa, obnovu lesa, výchovu lesa, zásady vykonania ťažby a ochranu lesa odlišne od ustanovení § 19 až 21, § 23 a 28. </w:t>
            </w:r>
          </w:p>
          <w:p w:rsidR="00FC648E" w:rsidRPr="00FC648E" w:rsidRDefault="00FC648E" w:rsidP="000B28C8">
            <w:pPr>
              <w:pStyle w:val="Default"/>
              <w:spacing w:after="60"/>
              <w:ind w:left="-113" w:right="-102"/>
              <w:jc w:val="both"/>
              <w:rPr>
                <w:sz w:val="20"/>
                <w:szCs w:val="20"/>
              </w:rPr>
            </w:pPr>
            <w:r w:rsidRPr="00FC648E">
              <w:rPr>
                <w:sz w:val="20"/>
                <w:szCs w:val="20"/>
              </w:rPr>
              <w:t>(2)</w:t>
            </w:r>
            <w:r w:rsidRPr="00FC648E">
              <w:rPr>
                <w:sz w:val="20"/>
                <w:szCs w:val="20"/>
              </w:rPr>
              <w:tab/>
              <w:t>Ťažba alebo opatrenia na ochranu lesa, ktoré nie sú uvedené v programe starostlivosti o lesy alebo projekte starostlivosti o lesný pozemok podľa odseku 1, alebo sú nad rámec rozsahu podľa programu starostlivosti o lesy alebo projektu starostlivosti o lesný pozemok alebo nie sú v súlade so stanovenými regulatívmi ochrany prírody, možno v územiach európskej sústavy chránených území vykonať len v súlade s postupom podľa osobitného predpisu.</w:t>
            </w:r>
            <w:r w:rsidRPr="00E417DC">
              <w:rPr>
                <w:sz w:val="20"/>
                <w:szCs w:val="20"/>
                <w:vertAlign w:val="superscript"/>
              </w:rPr>
              <w:t>54b</w:t>
            </w:r>
            <w:r w:rsidRPr="00FC648E">
              <w:rPr>
                <w:sz w:val="20"/>
                <w:szCs w:val="20"/>
              </w:rPr>
              <w:t xml:space="preserve">)“. </w:t>
            </w:r>
          </w:p>
          <w:p w:rsidR="00FC648E" w:rsidRPr="00FC648E" w:rsidRDefault="00FC648E" w:rsidP="000B28C8">
            <w:pPr>
              <w:pStyle w:val="Default"/>
              <w:spacing w:after="60"/>
              <w:ind w:left="-113" w:right="-102"/>
              <w:jc w:val="both"/>
              <w:rPr>
                <w:sz w:val="20"/>
                <w:szCs w:val="20"/>
              </w:rPr>
            </w:pPr>
            <w:r w:rsidRPr="00FC648E">
              <w:rPr>
                <w:sz w:val="20"/>
                <w:szCs w:val="20"/>
              </w:rPr>
              <w:t>Poznámky pod čiarou k odkazom 54a a 54b znejú:</w:t>
            </w:r>
          </w:p>
          <w:p w:rsidR="00FC648E" w:rsidRPr="00FC648E" w:rsidRDefault="00FC648E" w:rsidP="000B28C8">
            <w:pPr>
              <w:pStyle w:val="Default"/>
              <w:spacing w:after="60"/>
              <w:ind w:left="-113" w:right="-102"/>
              <w:jc w:val="both"/>
              <w:rPr>
                <w:sz w:val="20"/>
                <w:szCs w:val="20"/>
              </w:rPr>
            </w:pPr>
            <w:r w:rsidRPr="00FC648E">
              <w:rPr>
                <w:sz w:val="20"/>
                <w:szCs w:val="20"/>
              </w:rPr>
              <w:t>„</w:t>
            </w:r>
            <w:r w:rsidRPr="00E417DC">
              <w:rPr>
                <w:sz w:val="20"/>
                <w:szCs w:val="20"/>
                <w:vertAlign w:val="superscript"/>
              </w:rPr>
              <w:t>54a</w:t>
            </w:r>
            <w:r w:rsidRPr="00FC648E">
              <w:rPr>
                <w:sz w:val="20"/>
                <w:szCs w:val="20"/>
              </w:rPr>
              <w:t>) § 9 ods. 1 písm. m) a § 28 ods. 7 tretia veta zákona č. 543/2002 Z. z. v znení neskorších predpisov.</w:t>
            </w:r>
          </w:p>
          <w:p w:rsidR="00FC648E" w:rsidRPr="00FC648E" w:rsidRDefault="00FC648E" w:rsidP="000B28C8">
            <w:pPr>
              <w:pStyle w:val="Default"/>
              <w:spacing w:after="60"/>
              <w:ind w:left="-113" w:right="-102"/>
              <w:jc w:val="both"/>
              <w:rPr>
                <w:sz w:val="20"/>
                <w:szCs w:val="20"/>
              </w:rPr>
            </w:pPr>
            <w:r w:rsidRPr="00E417DC">
              <w:rPr>
                <w:sz w:val="20"/>
                <w:szCs w:val="20"/>
                <w:vertAlign w:val="superscript"/>
              </w:rPr>
              <w:t>54b</w:t>
            </w:r>
            <w:r w:rsidRPr="00FC648E">
              <w:rPr>
                <w:sz w:val="20"/>
                <w:szCs w:val="20"/>
              </w:rPr>
              <w:t xml:space="preserve">) § 9 ods. 1 písm. m) a s) a ods. 3, § 28 ods. 5, § 29, § 61d ods. 7 zákona č. 543/2002 Z. z. v znení neskorších predpisov.“. </w:t>
            </w:r>
          </w:p>
          <w:p w:rsidR="00FC648E" w:rsidRPr="00FC648E" w:rsidRDefault="00FC648E" w:rsidP="000B28C8">
            <w:pPr>
              <w:pStyle w:val="Default"/>
              <w:spacing w:after="60"/>
              <w:ind w:left="-113" w:right="-102"/>
              <w:jc w:val="both"/>
              <w:rPr>
                <w:sz w:val="20"/>
                <w:szCs w:val="20"/>
              </w:rPr>
            </w:pPr>
            <w:r w:rsidRPr="00FC648E">
              <w:rPr>
                <w:sz w:val="20"/>
                <w:szCs w:val="20"/>
              </w:rPr>
              <w:t xml:space="preserve">26. V § 40 ods. 2 písm. c) sa na konci vkladá bodkočiarka a pripájajú sa tieto slová: „súčasťou plánu hospodárskych opatrení sú regulatívy ochrany prírody“. </w:t>
            </w:r>
          </w:p>
          <w:p w:rsidR="00FC648E" w:rsidRPr="00FC648E" w:rsidRDefault="00FC648E" w:rsidP="000B28C8">
            <w:pPr>
              <w:pStyle w:val="Default"/>
              <w:spacing w:after="60"/>
              <w:ind w:left="-113" w:right="-102"/>
              <w:jc w:val="both"/>
              <w:rPr>
                <w:sz w:val="20"/>
                <w:szCs w:val="20"/>
              </w:rPr>
            </w:pPr>
            <w:r w:rsidRPr="00FC648E">
              <w:rPr>
                <w:sz w:val="20"/>
                <w:szCs w:val="20"/>
              </w:rPr>
              <w:t xml:space="preserve">27. V § 41 ods. 3 sa na konci pripája táto veta: „Vyhotoviť program starostlivosti na kratšie obdobie ako sedem rokov možno len so súhlasom ministerstva na základe podnetu obhospodarovateľa lesa alebo príslušného orgánu štátnej správy podľa odseku 2 najmä v prípade, ak ide o lesný celok s mimoriadnou udalosťou v lesoch podľa § 28a.“. </w:t>
            </w:r>
          </w:p>
          <w:p w:rsidR="00FC648E" w:rsidRPr="00FC648E" w:rsidRDefault="00FC648E" w:rsidP="000B28C8">
            <w:pPr>
              <w:pStyle w:val="Default"/>
              <w:spacing w:after="60"/>
              <w:ind w:left="-113" w:right="-102"/>
              <w:jc w:val="both"/>
              <w:rPr>
                <w:sz w:val="20"/>
                <w:szCs w:val="20"/>
              </w:rPr>
            </w:pPr>
            <w:r w:rsidRPr="00FC648E">
              <w:rPr>
                <w:sz w:val="20"/>
                <w:szCs w:val="20"/>
              </w:rPr>
              <w:lastRenderedPageBreak/>
              <w:t>28. V § 41 ods. 4 sa na konci pripája táto veta: „Oznámenie podľa prvej vety sa zároveň zasiela dotknutým orgánom štátnej správy</w:t>
            </w:r>
            <w:r w:rsidRPr="00914E38">
              <w:rPr>
                <w:sz w:val="20"/>
                <w:szCs w:val="20"/>
                <w:vertAlign w:val="superscript"/>
              </w:rPr>
              <w:t>57</w:t>
            </w:r>
            <w:r w:rsidRPr="00FC648E">
              <w:rPr>
                <w:sz w:val="20"/>
                <w:szCs w:val="20"/>
              </w:rPr>
              <w:t xml:space="preserve">)  a organizácii ochrany prírody.“. </w:t>
            </w:r>
          </w:p>
          <w:p w:rsidR="00FC648E" w:rsidRPr="00FC648E" w:rsidRDefault="00FC648E" w:rsidP="000B28C8">
            <w:pPr>
              <w:pStyle w:val="Default"/>
              <w:spacing w:after="60"/>
              <w:ind w:left="-113" w:right="-102"/>
              <w:jc w:val="both"/>
              <w:rPr>
                <w:sz w:val="20"/>
                <w:szCs w:val="20"/>
              </w:rPr>
            </w:pPr>
            <w:r w:rsidRPr="00FC648E">
              <w:rPr>
                <w:sz w:val="20"/>
                <w:szCs w:val="20"/>
              </w:rPr>
              <w:t xml:space="preserve">29. V § 41 ods. 7 prvej vete sa na konci vkladá bodkočiarka, pripájajú sa tieto slová: „to neplatí, ak ide o vyhlasovanie lesov osobitného určenia podľa § 16 ods. 8“ a vypúšťa sa druhá veta. </w:t>
            </w:r>
          </w:p>
          <w:p w:rsidR="00FC648E" w:rsidRPr="00FC648E" w:rsidRDefault="00FC648E" w:rsidP="000B28C8">
            <w:pPr>
              <w:pStyle w:val="Default"/>
              <w:spacing w:after="60"/>
              <w:ind w:left="-113" w:right="-102"/>
              <w:jc w:val="both"/>
              <w:rPr>
                <w:sz w:val="20"/>
                <w:szCs w:val="20"/>
              </w:rPr>
            </w:pPr>
            <w:r w:rsidRPr="00FC648E">
              <w:rPr>
                <w:sz w:val="20"/>
                <w:szCs w:val="20"/>
              </w:rPr>
              <w:t xml:space="preserve">30. V § 41 ods. 8 tretej vete sa slovo „Vyjadrením“ nahrádza slovom „Stanoviskom“ a na konci sa pripája táto veta: „Ak je to potrebné z hľadiska vylúčenia nepriaznivých vplyvov na územie európskej sústavy chránených území, súčasťou stanoviska orgánu ochrany prírody je aj návrh na vyhlásenie lesov osobitného určenia podľa § 14 ods. 2 písm. e) a návrh regulatívov ochrany prírody, ktorými sa zabezpečí, že vykonanie programu starostlivosti nebude mať negatívny vplyv na tieto územia.“. </w:t>
            </w:r>
          </w:p>
          <w:p w:rsidR="00FC648E" w:rsidRPr="00FC648E" w:rsidRDefault="00FC648E" w:rsidP="000B28C8">
            <w:pPr>
              <w:pStyle w:val="Default"/>
              <w:spacing w:after="60"/>
              <w:ind w:left="-113" w:right="-102"/>
              <w:jc w:val="both"/>
              <w:rPr>
                <w:sz w:val="20"/>
                <w:szCs w:val="20"/>
              </w:rPr>
            </w:pPr>
            <w:r w:rsidRPr="00FC648E">
              <w:rPr>
                <w:sz w:val="20"/>
                <w:szCs w:val="20"/>
              </w:rPr>
              <w:t>31. V § 41 ods. 13 prvej vete sa  slová „posúdenia podľa osobitného predpisu,</w:t>
            </w:r>
            <w:r w:rsidRPr="00914E38">
              <w:rPr>
                <w:sz w:val="20"/>
                <w:szCs w:val="20"/>
                <w:vertAlign w:val="superscript"/>
              </w:rPr>
              <w:t>57aa</w:t>
            </w:r>
            <w:r w:rsidRPr="00FC648E">
              <w:rPr>
                <w:sz w:val="20"/>
                <w:szCs w:val="20"/>
              </w:rPr>
              <w:t>)“ nahrádzajú slovami „záväzného stanoviska orgánu ochrany prírody vydaného na základe posúdenia podľa osobitného predpisu,</w:t>
            </w:r>
            <w:r w:rsidRPr="00914E38">
              <w:rPr>
                <w:sz w:val="20"/>
                <w:szCs w:val="20"/>
                <w:vertAlign w:val="superscript"/>
              </w:rPr>
              <w:t>54a</w:t>
            </w:r>
            <w:r w:rsidRPr="00FC648E">
              <w:rPr>
                <w:sz w:val="20"/>
                <w:szCs w:val="20"/>
              </w:rPr>
              <w:t>)“.</w:t>
            </w:r>
          </w:p>
          <w:p w:rsidR="00FC648E" w:rsidRPr="00785364" w:rsidRDefault="00FC648E" w:rsidP="000B28C8">
            <w:pPr>
              <w:pStyle w:val="Default"/>
              <w:spacing w:after="60"/>
              <w:ind w:left="-113" w:right="-102"/>
              <w:jc w:val="both"/>
              <w:rPr>
                <w:sz w:val="20"/>
                <w:szCs w:val="20"/>
              </w:rPr>
            </w:pPr>
            <w:r w:rsidRPr="00FC648E">
              <w:rPr>
                <w:sz w:val="20"/>
                <w:szCs w:val="20"/>
              </w:rPr>
              <w:t>Poznámka pod čiarou k odkazu 57aa sa vypúšťa.</w:t>
            </w:r>
          </w:p>
        </w:tc>
        <w:tc>
          <w:tcPr>
            <w:tcW w:w="567" w:type="dxa"/>
          </w:tcPr>
          <w:p w:rsidR="00785364" w:rsidRPr="00785364" w:rsidRDefault="00B61918" w:rsidP="00B61918">
            <w:pPr>
              <w:pStyle w:val="Default"/>
              <w:ind w:left="-111" w:right="-104"/>
              <w:jc w:val="center"/>
              <w:rPr>
                <w:sz w:val="20"/>
                <w:szCs w:val="20"/>
              </w:rPr>
            </w:pPr>
            <w:r>
              <w:rPr>
                <w:sz w:val="20"/>
                <w:szCs w:val="20"/>
              </w:rPr>
              <w:lastRenderedPageBreak/>
              <w:t>Ú</w:t>
            </w:r>
          </w:p>
        </w:tc>
        <w:tc>
          <w:tcPr>
            <w:tcW w:w="992" w:type="dxa"/>
          </w:tcPr>
          <w:p w:rsidR="00785364" w:rsidRPr="00785364" w:rsidRDefault="00785364" w:rsidP="00785364">
            <w:pPr>
              <w:pStyle w:val="Default"/>
              <w:ind w:left="-111" w:right="-104"/>
              <w:rPr>
                <w:sz w:val="20"/>
                <w:szCs w:val="20"/>
              </w:rPr>
            </w:pPr>
          </w:p>
        </w:tc>
      </w:tr>
    </w:tbl>
    <w:p w:rsidR="00B61918" w:rsidRDefault="00B61918" w:rsidP="00785364">
      <w:pPr>
        <w:autoSpaceDE/>
        <w:autoSpaceDN/>
        <w:rPr>
          <w:sz w:val="20"/>
          <w:szCs w:val="20"/>
        </w:rPr>
      </w:pPr>
    </w:p>
    <w:p w:rsidR="00785364" w:rsidRPr="00596647" w:rsidRDefault="00785364" w:rsidP="00785364">
      <w:pPr>
        <w:autoSpaceDE/>
        <w:autoSpaceDN/>
        <w:rPr>
          <w:sz w:val="20"/>
          <w:szCs w:val="20"/>
        </w:rPr>
      </w:pPr>
      <w:r w:rsidRPr="00596647">
        <w:rPr>
          <w:sz w:val="20"/>
          <w:szCs w:val="20"/>
        </w:rPr>
        <w:t>LEGENDA:</w:t>
      </w:r>
    </w:p>
    <w:tbl>
      <w:tblPr>
        <w:tblW w:w="11194" w:type="dxa"/>
        <w:tblCellMar>
          <w:left w:w="70" w:type="dxa"/>
          <w:right w:w="70" w:type="dxa"/>
        </w:tblCellMar>
        <w:tblLook w:val="0000" w:firstRow="0" w:lastRow="0" w:firstColumn="0" w:lastColumn="0" w:noHBand="0" w:noVBand="0"/>
      </w:tblPr>
      <w:tblGrid>
        <w:gridCol w:w="2410"/>
        <w:gridCol w:w="4140"/>
        <w:gridCol w:w="2410"/>
        <w:gridCol w:w="2234"/>
      </w:tblGrid>
      <w:tr w:rsidR="00785364" w:rsidRPr="00596647" w:rsidTr="00785364">
        <w:tc>
          <w:tcPr>
            <w:tcW w:w="2410" w:type="dxa"/>
          </w:tcPr>
          <w:p w:rsidR="00785364" w:rsidRPr="00596647" w:rsidRDefault="00785364" w:rsidP="004B7D23">
            <w:pPr>
              <w:pStyle w:val="Normlny0"/>
              <w:autoSpaceDE/>
              <w:autoSpaceDN/>
              <w:spacing w:after="60"/>
              <w:rPr>
                <w:lang w:eastAsia="sk-SK"/>
              </w:rPr>
            </w:pPr>
            <w:r w:rsidRPr="00596647">
              <w:rPr>
                <w:lang w:eastAsia="sk-SK"/>
              </w:rPr>
              <w:t>V stĺpci (1):</w:t>
            </w:r>
          </w:p>
          <w:p w:rsidR="00785364" w:rsidRPr="00596647" w:rsidRDefault="00785364" w:rsidP="004B7D23">
            <w:pPr>
              <w:autoSpaceDE/>
              <w:autoSpaceDN/>
              <w:rPr>
                <w:sz w:val="20"/>
                <w:szCs w:val="20"/>
              </w:rPr>
            </w:pPr>
            <w:r w:rsidRPr="00596647">
              <w:rPr>
                <w:sz w:val="20"/>
                <w:szCs w:val="20"/>
              </w:rPr>
              <w:t>Č – článok</w:t>
            </w:r>
          </w:p>
          <w:p w:rsidR="00785364" w:rsidRPr="00596647" w:rsidRDefault="00785364" w:rsidP="004B7D23">
            <w:pPr>
              <w:autoSpaceDE/>
              <w:autoSpaceDN/>
              <w:rPr>
                <w:sz w:val="20"/>
                <w:szCs w:val="20"/>
              </w:rPr>
            </w:pPr>
            <w:r w:rsidRPr="00596647">
              <w:rPr>
                <w:sz w:val="20"/>
                <w:szCs w:val="20"/>
              </w:rPr>
              <w:t>O – odsek</w:t>
            </w:r>
          </w:p>
          <w:p w:rsidR="00785364" w:rsidRPr="00596647" w:rsidRDefault="00785364" w:rsidP="004B7D23">
            <w:pPr>
              <w:autoSpaceDE/>
              <w:autoSpaceDN/>
              <w:rPr>
                <w:sz w:val="20"/>
                <w:szCs w:val="20"/>
              </w:rPr>
            </w:pPr>
            <w:r w:rsidRPr="00596647">
              <w:rPr>
                <w:sz w:val="20"/>
                <w:szCs w:val="20"/>
              </w:rPr>
              <w:t>V – veta</w:t>
            </w:r>
          </w:p>
          <w:p w:rsidR="00785364" w:rsidRPr="00596647" w:rsidRDefault="00785364" w:rsidP="004B7D23">
            <w:pPr>
              <w:autoSpaceDE/>
              <w:autoSpaceDN/>
              <w:rPr>
                <w:sz w:val="20"/>
                <w:szCs w:val="20"/>
              </w:rPr>
            </w:pPr>
            <w:r w:rsidRPr="00596647">
              <w:rPr>
                <w:sz w:val="20"/>
                <w:szCs w:val="20"/>
              </w:rPr>
              <w:t>P – písmeno (číslo)</w:t>
            </w:r>
          </w:p>
          <w:p w:rsidR="00785364" w:rsidRPr="00596647" w:rsidRDefault="00785364" w:rsidP="004B7D23">
            <w:pPr>
              <w:autoSpaceDE/>
              <w:autoSpaceDN/>
              <w:rPr>
                <w:sz w:val="20"/>
                <w:szCs w:val="20"/>
              </w:rPr>
            </w:pPr>
          </w:p>
        </w:tc>
        <w:tc>
          <w:tcPr>
            <w:tcW w:w="4140" w:type="dxa"/>
          </w:tcPr>
          <w:p w:rsidR="00785364" w:rsidRPr="00596647" w:rsidRDefault="00785364" w:rsidP="004B7D23">
            <w:pPr>
              <w:pStyle w:val="Normlny0"/>
              <w:autoSpaceDE/>
              <w:autoSpaceDN/>
              <w:spacing w:after="60"/>
              <w:rPr>
                <w:lang w:eastAsia="sk-SK"/>
              </w:rPr>
            </w:pPr>
            <w:r w:rsidRPr="00596647">
              <w:rPr>
                <w:lang w:eastAsia="sk-SK"/>
              </w:rPr>
              <w:t>V stĺpci (3):</w:t>
            </w:r>
          </w:p>
          <w:p w:rsidR="00785364" w:rsidRPr="00596647" w:rsidRDefault="00785364" w:rsidP="004B7D23">
            <w:pPr>
              <w:autoSpaceDE/>
              <w:autoSpaceDN/>
              <w:rPr>
                <w:sz w:val="20"/>
                <w:szCs w:val="20"/>
              </w:rPr>
            </w:pPr>
            <w:r w:rsidRPr="00596647">
              <w:rPr>
                <w:sz w:val="20"/>
                <w:szCs w:val="20"/>
              </w:rPr>
              <w:t>N – bežná transpozícia</w:t>
            </w:r>
          </w:p>
          <w:p w:rsidR="00785364" w:rsidRPr="00596647" w:rsidRDefault="00785364" w:rsidP="004B7D23">
            <w:pPr>
              <w:autoSpaceDE/>
              <w:autoSpaceDN/>
              <w:rPr>
                <w:sz w:val="20"/>
                <w:szCs w:val="20"/>
              </w:rPr>
            </w:pPr>
            <w:r w:rsidRPr="00596647">
              <w:rPr>
                <w:sz w:val="20"/>
                <w:szCs w:val="20"/>
              </w:rPr>
              <w:t>O – transpozícia s možnosťou voľby</w:t>
            </w:r>
          </w:p>
          <w:p w:rsidR="00785364" w:rsidRPr="00596647" w:rsidRDefault="00785364" w:rsidP="004B7D23">
            <w:pPr>
              <w:autoSpaceDE/>
              <w:autoSpaceDN/>
              <w:rPr>
                <w:sz w:val="20"/>
                <w:szCs w:val="20"/>
              </w:rPr>
            </w:pPr>
            <w:r w:rsidRPr="00596647">
              <w:rPr>
                <w:sz w:val="20"/>
                <w:szCs w:val="20"/>
              </w:rPr>
              <w:t>D – transpozícia podľa úvahy (dobrovoľná)</w:t>
            </w:r>
          </w:p>
          <w:p w:rsidR="00785364" w:rsidRPr="00596647" w:rsidRDefault="00785364" w:rsidP="004B7D23">
            <w:pPr>
              <w:autoSpaceDE/>
              <w:autoSpaceDN/>
              <w:rPr>
                <w:sz w:val="20"/>
                <w:szCs w:val="20"/>
              </w:rPr>
            </w:pPr>
            <w:proofErr w:type="spellStart"/>
            <w:r w:rsidRPr="00596647">
              <w:rPr>
                <w:sz w:val="20"/>
                <w:szCs w:val="20"/>
              </w:rPr>
              <w:t>n.a</w:t>
            </w:r>
            <w:proofErr w:type="spellEnd"/>
            <w:r w:rsidRPr="00596647">
              <w:rPr>
                <w:sz w:val="20"/>
                <w:szCs w:val="20"/>
              </w:rPr>
              <w:t>. – transpozícia sa neuskutočňuje</w:t>
            </w:r>
          </w:p>
        </w:tc>
        <w:tc>
          <w:tcPr>
            <w:tcW w:w="2410" w:type="dxa"/>
          </w:tcPr>
          <w:p w:rsidR="00785364" w:rsidRPr="00596647" w:rsidRDefault="00785364" w:rsidP="004B7D23">
            <w:pPr>
              <w:pStyle w:val="Normlny0"/>
              <w:autoSpaceDE/>
              <w:autoSpaceDN/>
              <w:spacing w:after="60"/>
              <w:rPr>
                <w:lang w:eastAsia="sk-SK"/>
              </w:rPr>
            </w:pPr>
            <w:r w:rsidRPr="00596647">
              <w:rPr>
                <w:lang w:eastAsia="sk-SK"/>
              </w:rPr>
              <w:t>V stĺpci (5):</w:t>
            </w:r>
          </w:p>
          <w:p w:rsidR="00785364" w:rsidRPr="00596647" w:rsidRDefault="00785364" w:rsidP="004B7D23">
            <w:pPr>
              <w:autoSpaceDE/>
              <w:autoSpaceDN/>
              <w:rPr>
                <w:sz w:val="20"/>
                <w:szCs w:val="20"/>
              </w:rPr>
            </w:pPr>
            <w:r w:rsidRPr="00596647">
              <w:rPr>
                <w:sz w:val="20"/>
                <w:szCs w:val="20"/>
              </w:rPr>
              <w:t>Č – článok</w:t>
            </w:r>
          </w:p>
          <w:p w:rsidR="00785364" w:rsidRPr="00596647" w:rsidRDefault="00785364" w:rsidP="004B7D23">
            <w:pPr>
              <w:autoSpaceDE/>
              <w:autoSpaceDN/>
              <w:rPr>
                <w:sz w:val="20"/>
                <w:szCs w:val="20"/>
              </w:rPr>
            </w:pPr>
            <w:r w:rsidRPr="00596647">
              <w:rPr>
                <w:sz w:val="20"/>
                <w:szCs w:val="20"/>
              </w:rPr>
              <w:t>§ – paragraf</w:t>
            </w:r>
          </w:p>
          <w:p w:rsidR="00785364" w:rsidRPr="00596647" w:rsidRDefault="00785364" w:rsidP="004B7D23">
            <w:pPr>
              <w:autoSpaceDE/>
              <w:autoSpaceDN/>
              <w:rPr>
                <w:sz w:val="20"/>
                <w:szCs w:val="20"/>
              </w:rPr>
            </w:pPr>
            <w:r w:rsidRPr="00596647">
              <w:rPr>
                <w:sz w:val="20"/>
                <w:szCs w:val="20"/>
              </w:rPr>
              <w:t>O – odsek</w:t>
            </w:r>
          </w:p>
          <w:p w:rsidR="00785364" w:rsidRPr="00596647" w:rsidRDefault="00785364" w:rsidP="004B7D23">
            <w:pPr>
              <w:autoSpaceDE/>
              <w:autoSpaceDN/>
              <w:rPr>
                <w:sz w:val="20"/>
                <w:szCs w:val="20"/>
              </w:rPr>
            </w:pPr>
            <w:r w:rsidRPr="00596647">
              <w:rPr>
                <w:sz w:val="20"/>
                <w:szCs w:val="20"/>
              </w:rPr>
              <w:t>V – veta</w:t>
            </w:r>
          </w:p>
          <w:p w:rsidR="00785364" w:rsidRPr="00596647" w:rsidRDefault="00785364" w:rsidP="004B7D23">
            <w:pPr>
              <w:autoSpaceDE/>
              <w:autoSpaceDN/>
              <w:rPr>
                <w:sz w:val="20"/>
                <w:szCs w:val="20"/>
              </w:rPr>
            </w:pPr>
            <w:r w:rsidRPr="00596647">
              <w:rPr>
                <w:sz w:val="20"/>
                <w:szCs w:val="20"/>
              </w:rPr>
              <w:t>P – písmeno (číslo)</w:t>
            </w:r>
          </w:p>
          <w:p w:rsidR="00785364" w:rsidRPr="00596647" w:rsidRDefault="00785364" w:rsidP="004B7D23">
            <w:pPr>
              <w:autoSpaceDE/>
              <w:autoSpaceDN/>
              <w:rPr>
                <w:sz w:val="20"/>
                <w:szCs w:val="20"/>
              </w:rPr>
            </w:pPr>
            <w:r w:rsidRPr="00596647">
              <w:rPr>
                <w:sz w:val="20"/>
                <w:szCs w:val="20"/>
              </w:rPr>
              <w:t>B - bod</w:t>
            </w:r>
          </w:p>
        </w:tc>
        <w:tc>
          <w:tcPr>
            <w:tcW w:w="2234" w:type="dxa"/>
          </w:tcPr>
          <w:p w:rsidR="00785364" w:rsidRPr="00596647" w:rsidRDefault="00785364" w:rsidP="004B7D23">
            <w:pPr>
              <w:pStyle w:val="Normlny0"/>
              <w:autoSpaceDE/>
              <w:autoSpaceDN/>
              <w:spacing w:after="60"/>
              <w:rPr>
                <w:lang w:eastAsia="sk-SK"/>
              </w:rPr>
            </w:pPr>
            <w:r w:rsidRPr="00596647">
              <w:rPr>
                <w:lang w:eastAsia="sk-SK"/>
              </w:rPr>
              <w:t>V stĺpci (7):</w:t>
            </w:r>
          </w:p>
          <w:p w:rsidR="00785364" w:rsidRPr="00596647" w:rsidRDefault="00785364" w:rsidP="004B7D23">
            <w:pPr>
              <w:autoSpaceDE/>
              <w:autoSpaceDN/>
              <w:rPr>
                <w:sz w:val="20"/>
                <w:szCs w:val="20"/>
              </w:rPr>
            </w:pPr>
            <w:r w:rsidRPr="00596647">
              <w:rPr>
                <w:sz w:val="20"/>
                <w:szCs w:val="20"/>
              </w:rPr>
              <w:t>Ú – úplná zhoda</w:t>
            </w:r>
          </w:p>
          <w:p w:rsidR="00785364" w:rsidRPr="00596647" w:rsidRDefault="00785364" w:rsidP="004B7D23">
            <w:pPr>
              <w:autoSpaceDE/>
              <w:autoSpaceDN/>
              <w:rPr>
                <w:sz w:val="20"/>
                <w:szCs w:val="20"/>
              </w:rPr>
            </w:pPr>
            <w:r w:rsidRPr="00596647">
              <w:rPr>
                <w:sz w:val="20"/>
                <w:szCs w:val="20"/>
              </w:rPr>
              <w:t>Č – čiastočná zhoda</w:t>
            </w:r>
          </w:p>
          <w:p w:rsidR="00785364" w:rsidRPr="00596647" w:rsidRDefault="00785364" w:rsidP="004B7D23">
            <w:pPr>
              <w:autoSpaceDE/>
              <w:autoSpaceDN/>
              <w:rPr>
                <w:sz w:val="20"/>
                <w:szCs w:val="20"/>
              </w:rPr>
            </w:pPr>
            <w:r w:rsidRPr="00596647">
              <w:rPr>
                <w:sz w:val="20"/>
                <w:szCs w:val="20"/>
              </w:rPr>
              <w:t>Ž – žiadna zhoda</w:t>
            </w:r>
          </w:p>
          <w:p w:rsidR="00785364" w:rsidRPr="00596647" w:rsidRDefault="00785364" w:rsidP="004B7D23">
            <w:pPr>
              <w:autoSpaceDE/>
              <w:autoSpaceDN/>
              <w:rPr>
                <w:sz w:val="20"/>
                <w:szCs w:val="20"/>
              </w:rPr>
            </w:pPr>
            <w:r w:rsidRPr="00596647">
              <w:rPr>
                <w:sz w:val="20"/>
                <w:szCs w:val="20"/>
              </w:rPr>
              <w:t>n. a. - neaplikovateľnosť</w:t>
            </w:r>
          </w:p>
        </w:tc>
      </w:tr>
    </w:tbl>
    <w:p w:rsidR="007D0E4F" w:rsidRPr="00785364" w:rsidRDefault="007D0E4F">
      <w:pPr>
        <w:rPr>
          <w:sz w:val="20"/>
          <w:szCs w:val="20"/>
        </w:rPr>
      </w:pPr>
    </w:p>
    <w:sectPr w:rsidR="007D0E4F" w:rsidRPr="00785364" w:rsidSect="00945669">
      <w:footerReference w:type="default" r:id="rId6"/>
      <w:pgSz w:w="16838" w:h="11906" w:orient="landscape"/>
      <w:pgMar w:top="709" w:right="1417" w:bottom="1135"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D1F" w:rsidRDefault="000D7D1F" w:rsidP="00945669">
      <w:r>
        <w:separator/>
      </w:r>
    </w:p>
  </w:endnote>
  <w:endnote w:type="continuationSeparator" w:id="0">
    <w:p w:rsidR="000D7D1F" w:rsidRDefault="000D7D1F" w:rsidP="0094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699241"/>
      <w:docPartObj>
        <w:docPartGallery w:val="Page Numbers (Bottom of Page)"/>
        <w:docPartUnique/>
      </w:docPartObj>
    </w:sdtPr>
    <w:sdtEndPr/>
    <w:sdtContent>
      <w:p w:rsidR="00945669" w:rsidRDefault="00945669" w:rsidP="00945669">
        <w:pPr>
          <w:pStyle w:val="Pta"/>
          <w:jc w:val="center"/>
        </w:pPr>
        <w:r>
          <w:fldChar w:fldCharType="begin"/>
        </w:r>
        <w:r>
          <w:instrText>PAGE   \* MERGEFORMAT</w:instrText>
        </w:r>
        <w:r>
          <w:fldChar w:fldCharType="separate"/>
        </w:r>
        <w:r w:rsidR="00D60358">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D1F" w:rsidRDefault="000D7D1F" w:rsidP="00945669">
      <w:r>
        <w:separator/>
      </w:r>
    </w:p>
  </w:footnote>
  <w:footnote w:type="continuationSeparator" w:id="0">
    <w:p w:rsidR="000D7D1F" w:rsidRDefault="000D7D1F" w:rsidP="00945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64"/>
    <w:rsid w:val="00031CEB"/>
    <w:rsid w:val="000B28C8"/>
    <w:rsid w:val="000D7D1F"/>
    <w:rsid w:val="0014685A"/>
    <w:rsid w:val="002F085C"/>
    <w:rsid w:val="00332184"/>
    <w:rsid w:val="004C0490"/>
    <w:rsid w:val="00785364"/>
    <w:rsid w:val="007D0E4F"/>
    <w:rsid w:val="008F1AD4"/>
    <w:rsid w:val="00914E38"/>
    <w:rsid w:val="00945669"/>
    <w:rsid w:val="00996C7F"/>
    <w:rsid w:val="009D41A3"/>
    <w:rsid w:val="00A150B4"/>
    <w:rsid w:val="00B550BC"/>
    <w:rsid w:val="00B61918"/>
    <w:rsid w:val="00C358ED"/>
    <w:rsid w:val="00D60358"/>
    <w:rsid w:val="00E417DC"/>
    <w:rsid w:val="00E73B40"/>
    <w:rsid w:val="00F151FE"/>
    <w:rsid w:val="00FA7A33"/>
    <w:rsid w:val="00FC64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5110"/>
  <w15:chartTrackingRefBased/>
  <w15:docId w15:val="{4D320B15-F56D-4264-BE11-C3C4F391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1A1A1A"/>
        <w:spacing w:val="-1"/>
        <w:w w:val="107"/>
        <w:sz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5364"/>
    <w:pPr>
      <w:autoSpaceDE w:val="0"/>
      <w:autoSpaceDN w:val="0"/>
      <w:spacing w:after="0" w:line="240" w:lineRule="auto"/>
    </w:pPr>
    <w:rPr>
      <w:rFonts w:eastAsia="Times New Roman"/>
      <w:color w:val="auto"/>
      <w:spacing w:val="0"/>
      <w:w w:val="1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85364"/>
    <w:pPr>
      <w:autoSpaceDE w:val="0"/>
      <w:autoSpaceDN w:val="0"/>
      <w:adjustRightInd w:val="0"/>
      <w:spacing w:after="0" w:line="240" w:lineRule="auto"/>
    </w:pPr>
    <w:rPr>
      <w:color w:val="000000"/>
      <w:szCs w:val="24"/>
    </w:rPr>
  </w:style>
  <w:style w:type="paragraph" w:customStyle="1" w:styleId="Normlny0">
    <w:name w:val="_Normálny"/>
    <w:basedOn w:val="Normlny"/>
    <w:uiPriority w:val="99"/>
    <w:rsid w:val="00785364"/>
    <w:rPr>
      <w:sz w:val="20"/>
      <w:szCs w:val="20"/>
      <w:lang w:eastAsia="en-US"/>
    </w:rPr>
  </w:style>
  <w:style w:type="paragraph" w:styleId="Hlavika">
    <w:name w:val="header"/>
    <w:basedOn w:val="Normlny"/>
    <w:link w:val="HlavikaChar"/>
    <w:uiPriority w:val="99"/>
    <w:unhideWhenUsed/>
    <w:rsid w:val="00945669"/>
    <w:pPr>
      <w:tabs>
        <w:tab w:val="center" w:pos="4536"/>
        <w:tab w:val="right" w:pos="9072"/>
      </w:tabs>
    </w:pPr>
  </w:style>
  <w:style w:type="character" w:customStyle="1" w:styleId="HlavikaChar">
    <w:name w:val="Hlavička Char"/>
    <w:basedOn w:val="Predvolenpsmoodseku"/>
    <w:link w:val="Hlavika"/>
    <w:uiPriority w:val="99"/>
    <w:rsid w:val="00945669"/>
    <w:rPr>
      <w:rFonts w:eastAsia="Times New Roman"/>
      <w:color w:val="auto"/>
      <w:spacing w:val="0"/>
      <w:w w:val="100"/>
      <w:szCs w:val="24"/>
      <w:lang w:eastAsia="sk-SK"/>
    </w:rPr>
  </w:style>
  <w:style w:type="paragraph" w:styleId="Pta">
    <w:name w:val="footer"/>
    <w:basedOn w:val="Normlny"/>
    <w:link w:val="PtaChar"/>
    <w:uiPriority w:val="99"/>
    <w:unhideWhenUsed/>
    <w:rsid w:val="00945669"/>
    <w:pPr>
      <w:tabs>
        <w:tab w:val="center" w:pos="4536"/>
        <w:tab w:val="right" w:pos="9072"/>
      </w:tabs>
    </w:pPr>
  </w:style>
  <w:style w:type="character" w:customStyle="1" w:styleId="PtaChar">
    <w:name w:val="Päta Char"/>
    <w:basedOn w:val="Predvolenpsmoodseku"/>
    <w:link w:val="Pta"/>
    <w:uiPriority w:val="99"/>
    <w:rsid w:val="00945669"/>
    <w:rPr>
      <w:rFonts w:eastAsia="Times New Roman"/>
      <w:color w:val="auto"/>
      <w:spacing w:val="0"/>
      <w:w w:val="10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2047</Words>
  <Characters>11673</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Illáš Martin</dc:creator>
  <cp:keywords/>
  <dc:description/>
  <cp:lastModifiedBy>Zachardová Barbora</cp:lastModifiedBy>
  <cp:revision>10</cp:revision>
  <dcterms:created xsi:type="dcterms:W3CDTF">2024-09-04T08:33:00Z</dcterms:created>
  <dcterms:modified xsi:type="dcterms:W3CDTF">2024-09-17T12:23:00Z</dcterms:modified>
</cp:coreProperties>
</file>