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12E08" w:rsidRDefault="009B653E" w:rsidP="00DA37BE">
      <w:pPr>
        <w:tabs>
          <w:tab w:val="left" w:pos="234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ab/>
      </w:r>
      <w:r w:rsidR="00A340BB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4212"/>
        <w:gridCol w:w="705"/>
        <w:gridCol w:w="1032"/>
        <w:gridCol w:w="254"/>
        <w:gridCol w:w="1417"/>
        <w:gridCol w:w="1560"/>
      </w:tblGrid>
      <w:tr w:rsidR="00612E08" w:rsidRPr="00612E08" w:rsidTr="000800FC">
        <w:tc>
          <w:tcPr>
            <w:tcW w:w="9180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0800FC">
        <w:tc>
          <w:tcPr>
            <w:tcW w:w="9180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:rsidTr="000800FC">
        <w:tc>
          <w:tcPr>
            <w:tcW w:w="9180" w:type="dxa"/>
            <w:gridSpan w:val="6"/>
            <w:tcBorders>
              <w:top w:val="single" w:sz="4" w:space="0" w:color="FFFFFF"/>
              <w:bottom w:val="single" w:sz="4" w:space="0" w:color="auto"/>
            </w:tcBorders>
          </w:tcPr>
          <w:p w:rsidR="001B23B7" w:rsidRPr="00612E08" w:rsidRDefault="00712D5C" w:rsidP="00644E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12D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Nariadenie vlády Slovenskej republiky, </w:t>
            </w:r>
            <w:r w:rsidR="00587ED1" w:rsidRPr="00587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ktorým sa mení a dopĺňa nariadenie vlády Slovenskej republiky č. 165/2023 Z. z., ktorým sa ustanovujú pravidlá poskytovania podpory na vykonávanie opatrení Strategického plánu spoločnej poľnohospodárskej politiky vo vybraných poľnohospodárskych sektoroch</w:t>
            </w:r>
          </w:p>
        </w:tc>
      </w:tr>
      <w:tr w:rsidR="00612E08" w:rsidRPr="00612E08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:rsidTr="000800FC"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612E08" w:rsidRDefault="00644E84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44E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pôdohospodárstva a rozvoja vidieka Slovenskej republiky</w:t>
            </w:r>
          </w:p>
        </w:tc>
      </w:tr>
      <w:tr w:rsidR="00612E08" w:rsidRPr="00612E08" w:rsidTr="000800FC"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:rsidTr="000800FC"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644E84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:rsidTr="000800FC"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202C9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  <w:p w:rsidR="00280A84" w:rsidRPr="00612E08" w:rsidRDefault="00280A84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B52BE8" w:rsidRPr="00FC5307" w:rsidRDefault="00B52BE8" w:rsidP="00280A84">
            <w:pPr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  <w:r w:rsidRPr="00FC5307">
              <w:rPr>
                <w:rFonts w:ascii="Times" w:hAnsi="Times" w:cs="Times"/>
                <w:sz w:val="20"/>
                <w:szCs w:val="20"/>
              </w:rPr>
              <w:t>V prípade implementácie uveďte zoznam implementovaných predpisov:</w:t>
            </w:r>
          </w:p>
          <w:p w:rsidR="00B52BE8" w:rsidRPr="00FC5307" w:rsidRDefault="00B52BE8" w:rsidP="00280A84">
            <w:pPr>
              <w:jc w:val="both"/>
              <w:rPr>
                <w:rFonts w:ascii="Times" w:hAnsi="Times" w:cs="Times"/>
                <w:b/>
                <w:sz w:val="20"/>
                <w:szCs w:val="20"/>
              </w:rPr>
            </w:pPr>
          </w:p>
          <w:p w:rsidR="00280A84" w:rsidRPr="00FC5307" w:rsidRDefault="00280A84" w:rsidP="00280A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FC5307">
              <w:rPr>
                <w:rFonts w:ascii="Times" w:hAnsi="Times" w:cs="Times"/>
                <w:b/>
                <w:sz w:val="20"/>
                <w:szCs w:val="20"/>
              </w:rPr>
              <w:t>Zoznam implementovaných predpisov:</w:t>
            </w:r>
          </w:p>
          <w:p w:rsidR="008432FD" w:rsidRPr="00FC5307" w:rsidRDefault="008432FD" w:rsidP="00FC530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  <w:p w:rsidR="008432FD" w:rsidRPr="00FC5307" w:rsidRDefault="008432FD" w:rsidP="00280A84">
            <w:pPr>
              <w:pStyle w:val="Odsekzoznamu"/>
              <w:ind w:left="306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 w:rsidRPr="00FC5307">
              <w:rPr>
                <w:rFonts w:ascii="Times" w:hAnsi="Times" w:cs="Times"/>
                <w:sz w:val="20"/>
                <w:szCs w:val="20"/>
              </w:rPr>
              <w:t>1. Nariadenie Európskeho parlamentu a Rady (EÚ) č. 1308/2013 zo 17. decembra 2013, ktorým sa vytvára spoločná organizácia trhov s poľnohospodárskymi výrobkami, a ktorým sa zrušujú nariadenia Rady (EHS) č. 922/72, (EHS) č. 234/79, (ES) č. 1037/2001 a (ES) č. 1234/2007 (Ú. v. EÚ L 347, 20.12.2013) v platnom znení</w:t>
            </w:r>
            <w:r w:rsidR="00AE25C3" w:rsidRPr="00FC5307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E25C3" w:rsidRPr="00FC53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(</w:t>
            </w:r>
            <w:r w:rsidR="00AE25C3" w:rsidRPr="00FC5307">
              <w:rPr>
                <w:rFonts w:ascii="Times" w:hAnsi="Times" w:cs="Times"/>
                <w:sz w:val="20"/>
                <w:szCs w:val="20"/>
              </w:rPr>
              <w:t>ďalej len „nariadenie (EÚ) č.1308/2013 v platnom znení“)</w:t>
            </w:r>
            <w:r w:rsidRPr="00FC5307">
              <w:rPr>
                <w:rFonts w:ascii="Times" w:hAnsi="Times" w:cs="Times"/>
                <w:sz w:val="20"/>
                <w:szCs w:val="20"/>
              </w:rPr>
              <w:t>.</w:t>
            </w:r>
          </w:p>
          <w:p w:rsidR="002B6F89" w:rsidRPr="00FC5307" w:rsidRDefault="008432FD" w:rsidP="00280A84">
            <w:pPr>
              <w:pStyle w:val="Odsekzoznamu"/>
              <w:ind w:left="3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53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2</w:t>
            </w:r>
            <w:r w:rsidR="00280A84" w:rsidRPr="00FC53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. </w:t>
            </w:r>
            <w:r w:rsidRPr="00FC53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N</w:t>
            </w:r>
            <w:r w:rsidR="002B6F89" w:rsidRPr="00FC53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ariadenie Európskeho parlamentu a Rady (EÚ) 2021/2115 z 2. decembra 2021, ktorým sa stanovujú pravidlá podpory strategických plánov, ktoré majú zostaviť členské štáty v rámci spoločnej poľnohospodárskej politiky (strategické plány SPP) a ktoré sú financované z Európskeho poľnohospodárskeho záručného fondu (EPZF) a Európskeho poľnohospodárskeho fondu pre rozvoj vidieka (EPFRV), a ktorým sa zrušujú nariadenia (EÚ) č. 1305/2013 a (EÚ) č. 1307/2013 (Ú. v. EÚ L 435, 6.12.2021) v platnom znení</w:t>
            </w:r>
            <w:r w:rsidR="000748A7" w:rsidRPr="00FC53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(</w:t>
            </w:r>
            <w:r w:rsidR="000748A7" w:rsidRPr="00FC5307">
              <w:rPr>
                <w:rFonts w:ascii="Times" w:hAnsi="Times" w:cs="Times"/>
                <w:sz w:val="20"/>
                <w:szCs w:val="20"/>
              </w:rPr>
              <w:t>ďalej len „nariadenie (EÚ) 2021/2115 v platnom znení“)</w:t>
            </w:r>
            <w:r w:rsidRPr="00FC53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.</w:t>
            </w:r>
            <w:r w:rsidR="002B6F89" w:rsidRPr="00FC53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</w:t>
            </w:r>
          </w:p>
          <w:p w:rsidR="008432FD" w:rsidRPr="00FC5307" w:rsidRDefault="008432FD" w:rsidP="00280A84">
            <w:pPr>
              <w:pStyle w:val="Odsekzoznamu"/>
              <w:ind w:left="306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 w:rsidRPr="00FC53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3</w:t>
            </w:r>
            <w:r w:rsidR="00280A84" w:rsidRPr="00FC53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. </w:t>
            </w:r>
            <w:r w:rsidRPr="00FC53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D</w:t>
            </w:r>
            <w:r w:rsidR="00D40E79" w:rsidRPr="00FC53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elegované nariadenie Komisie (EÚ) 2022/126 zo 7. decembra 2021, ktorým sa dopĺňa nariadenie Európskeho parlamentu a Rady (EÚ) 2021/2115 o dodatočné požiadavky na určité typy intervencie stanovené členskými štátmi v ich strategických plánoch SPP na obdobie 2023 až 2027 podľa uvedeného nariadenia, ako aj o pravidlá týkajúce sa pomeru pre normu dobrého poľnohospodárskeho a environmentálneho stavu 1 (norma GAEC 1) (Ú. v. EÚ L 20, 31.1.2022) </w:t>
            </w:r>
            <w:r w:rsidR="002B6F89" w:rsidRPr="00FC53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v platnom znení</w:t>
            </w:r>
            <w:r w:rsidR="00DD35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.</w:t>
            </w:r>
          </w:p>
          <w:p w:rsidR="003E1B45" w:rsidRPr="00A9245F" w:rsidRDefault="008432FD" w:rsidP="00280A84">
            <w:pPr>
              <w:pStyle w:val="Odsekzoznamu"/>
              <w:ind w:left="3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5307">
              <w:rPr>
                <w:rFonts w:ascii="Times" w:hAnsi="Times" w:cs="Times"/>
                <w:sz w:val="20"/>
                <w:szCs w:val="20"/>
              </w:rPr>
              <w:t>4. Nariadenie Európskeho parlamentu a Rady (EÚ) 2021/2116 z 2. decembra 2021 o financovaní, riadení a monitorovaní spoločnej poľnohospodárskej politiky a o zrušení nariadenia (EÚ) č. 1306/2013 (Ú. v. EÚ L 435, 6.12.2021) v platnom znení.</w:t>
            </w:r>
          </w:p>
        </w:tc>
      </w:tr>
      <w:tr w:rsidR="00612E08" w:rsidRPr="00612E08" w:rsidTr="000800FC"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383168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Termín začiatku a </w:t>
            </w:r>
            <w:r w:rsidR="001B23B7" w:rsidRPr="00612E08">
              <w:rPr>
                <w:rFonts w:ascii="Times New Roman" w:eastAsia="Calibri" w:hAnsi="Times New Roman" w:cs="Times New Roman"/>
                <w:b/>
              </w:rPr>
              <w:t>ukončenia PPK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F85DA9" w:rsidRDefault="00EC69CA" w:rsidP="00C664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  <w:r w:rsidR="00C6645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="00F85DA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.0</w:t>
            </w:r>
            <w:r w:rsidR="00C6645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</w:t>
            </w:r>
            <w:r w:rsidR="00F85DA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.202</w:t>
            </w:r>
            <w:r w:rsidR="008D3D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– 1</w:t>
            </w:r>
            <w:r w:rsidR="00C6645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="00F85DA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.0</w:t>
            </w:r>
            <w:r w:rsidR="00C6645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</w:t>
            </w:r>
            <w:r w:rsidR="00F85DA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.202</w:t>
            </w:r>
            <w:r w:rsidR="008D3D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</w:tc>
      </w:tr>
      <w:tr w:rsidR="00612E08" w:rsidRPr="00612E08" w:rsidTr="000800FC"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F85DA9" w:rsidRDefault="007677ED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september</w:t>
            </w:r>
            <w:r w:rsidR="008D3D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2024</w:t>
            </w:r>
          </w:p>
        </w:tc>
      </w:tr>
      <w:tr w:rsidR="00612E08" w:rsidRPr="00612E08" w:rsidTr="00D2313B">
        <w:trPr>
          <w:trHeight w:val="320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8D3DB6" w:rsidRDefault="00C66459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september</w:t>
            </w:r>
            <w:r w:rsidR="008D3D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2024</w:t>
            </w:r>
          </w:p>
        </w:tc>
      </w:tr>
      <w:tr w:rsidR="00612E08" w:rsidRPr="00612E08" w:rsidTr="000800FC"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:rsidTr="000800FC">
        <w:trPr>
          <w:trHeight w:val="718"/>
        </w:trPr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34" w:rsidRPr="00B43AB3" w:rsidRDefault="00E13134" w:rsidP="00CF61F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E131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V Slovenskej republike poskytovanie </w:t>
            </w:r>
            <w:r w:rsidRPr="00E1313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podpory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</w:t>
            </w:r>
            <w:r w:rsidR="00D46AA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na intervencie </w:t>
            </w:r>
            <w:r w:rsidR="00D46AAE" w:rsidRPr="00D46AA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buď v sektore ovocia a zeleniny alebo v určitom </w:t>
            </w:r>
            <w:r w:rsidR="00FC70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ďalšom </w:t>
            </w:r>
            <w:r w:rsidR="00D46AAE" w:rsidRPr="00D46AA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sektore </w:t>
            </w:r>
            <w:r w:rsidR="003A685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upravuje aproximačné nariadenie vlády.</w:t>
            </w:r>
            <w:r w:rsidR="005D65B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</w:t>
            </w:r>
            <w:r w:rsidR="005D65BF" w:rsidRPr="005D65B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Pri zmenách strategického plánu spoločnej poľnohospodárskej politiky Slovenskej republiky týkajúcich sa poskytovania podpory na intervencie</w:t>
            </w:r>
            <w:r w:rsidR="005D65B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 SPP SR </w:t>
            </w:r>
            <w:r w:rsidR="005D65BF" w:rsidRPr="005D65B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buď v sektore ovocia a zeleniny alebo</w:t>
            </w:r>
            <w:r w:rsidR="005D65BF" w:rsidRPr="005D65BF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sk-SK"/>
              </w:rPr>
              <w:t xml:space="preserve"> </w:t>
            </w:r>
            <w:r w:rsidR="005D65BF" w:rsidRPr="005D65B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v určitom sektore ďalších vybraných výrobkov</w:t>
            </w:r>
            <w:r w:rsidR="000B797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</w:t>
            </w:r>
            <w:r w:rsidR="000B7976" w:rsidRPr="000B797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je tieto zmeny potrebné adekvátne zohľadniť aj v aproximačnom nariadení vlády, ktoré poskytovanie tejto podpory v Slovenskej republike upravuje.</w:t>
            </w:r>
            <w:r w:rsidR="00AE1B1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V tomto aproximačnom nariadení vlády je totiž ustanovený zoznam </w:t>
            </w:r>
            <w:r w:rsidR="00CA13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operácií</w:t>
            </w:r>
            <w:r w:rsidR="00AE1B1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týchto intervencií SPP SR, na vykonávanie výlučne ktorých</w:t>
            </w:r>
            <w:r w:rsidR="005C4FC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je možné </w:t>
            </w:r>
            <w:bookmarkStart w:id="0" w:name="_GoBack"/>
            <w:bookmarkEnd w:id="0"/>
            <w:r w:rsidR="005C4FC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poskytovať podporu SR, ako aj zoznam sektorových cieľov, ktoré sa </w:t>
            </w:r>
            <w:r w:rsidR="00CF61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majú vykonávaním týchto </w:t>
            </w:r>
            <w:r w:rsidR="00CF61FA" w:rsidRPr="00CF61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intervencií SPP SR</w:t>
            </w:r>
            <w:r w:rsidR="005C4FC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dosahovať</w:t>
            </w:r>
            <w:r w:rsidR="00CF61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.</w:t>
            </w:r>
          </w:p>
        </w:tc>
      </w:tr>
      <w:tr w:rsidR="00612E08" w:rsidRPr="00612E08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:rsidTr="000800FC">
        <w:trPr>
          <w:trHeight w:val="741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922" w:rsidRPr="003A39BF" w:rsidRDefault="00827E39" w:rsidP="00436D0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Cieľom je dosiahnuť právne záväzný zoznam </w:t>
            </w:r>
            <w:r w:rsidR="00436D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operácií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</w:t>
            </w:r>
            <w:r w:rsidRPr="00827E3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intervenci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í</w:t>
            </w:r>
            <w:r w:rsidRPr="00827E3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 SPP SR buď v sektore ovocia a zeleniny alebo v určitom sektore ďalších vybraných výrobkov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, na vykonávanie výlučne ktorých možno poskytovať podporu SR, </w:t>
            </w:r>
            <w:r w:rsidR="007876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zahŕňajúci ustanovenie aktuálnych sektorových cieľov, </w:t>
            </w:r>
            <w:r w:rsidR="007876E4" w:rsidRPr="007876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ktoré sa majú vykonávaním týchto intervencií SPP SR dosahovať</w:t>
            </w:r>
            <w:r w:rsidR="007876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,</w:t>
            </w:r>
            <w:r w:rsidR="007876E4" w:rsidRPr="007876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v súlade s aktuálnym znením </w:t>
            </w:r>
            <w:r w:rsidR="00436D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strategického </w:t>
            </w:r>
            <w:r w:rsidRPr="00827E3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plánu spoločnej poľnohospodárskej politiky Slovenskej republiky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po jeho zmene schválenej Európskou komisiou.</w:t>
            </w:r>
          </w:p>
        </w:tc>
      </w:tr>
      <w:tr w:rsidR="00612E08" w:rsidRPr="00612E08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:rsidTr="000800FC"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08" w:rsidRPr="006A4478" w:rsidRDefault="006E562C" w:rsidP="00EC0E0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 w:rsidRPr="006E56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Navrhované nariadenie vlády sa dotýka </w:t>
            </w:r>
            <w:r w:rsidR="001C79A9" w:rsidRPr="001C79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organizácií výrobcov podľa č. 152 ods. 1 nariadenia (EÚ) č. 1308/2013 v platnom znení alebo podľa čl. 6 ods. 1 nariadenia Európskeho parlamentu a Rady (EÚ) č. 1379/2013 </w:t>
            </w:r>
            <w:r w:rsidR="001C79A9" w:rsidRPr="001C79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lastRenderedPageBreak/>
              <w:t>z 11. decembra 2013 o spoločnej organizácii trhov s produktmi rybolovu a akvakultúry, ktorým sa menia nariadenia Rady (ES) č. 1184/2006 a (ES) č. 1224/2009 a zrušuje nariadenie Rady (ES) č. 104/2000 (</w:t>
            </w:r>
            <w:r w:rsidR="001C79A9" w:rsidRPr="001C79A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>Ú. v. EÚ L 354 28.12.2013</w:t>
            </w:r>
            <w:r w:rsidR="001C79A9" w:rsidRPr="001C79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)</w:t>
            </w:r>
            <w:r w:rsidR="00B2587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v platnom znení</w:t>
            </w:r>
            <w:r w:rsidR="001C79A9" w:rsidRPr="001C79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(ďalej len „organizácia výrobcov“), združení organizácií výrobcov podľa čl. 156 ods. 1 nariadenia (EÚ) č. 1308/2013</w:t>
            </w:r>
            <w:r w:rsidR="00F3247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v platnom znení</w:t>
            </w:r>
            <w:r w:rsidR="00A67D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</w:t>
            </w:r>
            <w:r w:rsidR="001C79A9" w:rsidRPr="001C79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alebo podľa čl. 9 ods. 1 nariadenia </w:t>
            </w:r>
            <w:r w:rsidR="00B25877" w:rsidRPr="001C79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Európskeho parlamentu a Rady (EÚ) č. 1379/2013 z 11. decembra 2013 o spoločnej organizácii trhov s produktmi rybolovu a akvakultúry, ktorým sa menia nariadenia Rady (ES) č. 1184/2006 a (ES) č. 1224/2009 a zrušuje nariadenie Rady (ES) č. 104/2000 (</w:t>
            </w:r>
            <w:r w:rsidR="00B25877" w:rsidRPr="001C79A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>Ú. v. EÚ L 354 28.12.2013</w:t>
            </w:r>
            <w:r w:rsidR="00B25877" w:rsidRPr="001C79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)</w:t>
            </w:r>
            <w:r w:rsidR="00B2587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v platnom znení</w:t>
            </w:r>
            <w:r w:rsidR="00B25877" w:rsidRPr="001C79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</w:t>
            </w:r>
            <w:r w:rsidR="001C79A9" w:rsidRPr="001C79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(ďalej len „združenie organizácií výrobcov“) alebo skupín výrobcov podľa čl. 67 ods. 1 písm. b) nariadenia (EÚ) 2021/2115</w:t>
            </w:r>
            <w:r w:rsidR="000260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v platnom znení</w:t>
            </w:r>
            <w:r w:rsidR="001C79A9" w:rsidRPr="001C79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(ďalej len „skupina výrobcov“)</w:t>
            </w:r>
            <w:r w:rsidR="001C79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, </w:t>
            </w:r>
            <w:r w:rsidR="001126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uznaných ako tieto organizácie výrobcov, združenia organizácií výrobcov alebo skupiny výrobcov poľnohospodárskych výrobkov </w:t>
            </w:r>
            <w:r w:rsidR="001126A0" w:rsidRPr="001126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buď v sektore ovocia a zeleniny alebo v určitom sektore ďalších vybraných výrobkov</w:t>
            </w:r>
            <w:r w:rsidR="001126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,</w:t>
            </w:r>
            <w:r w:rsidR="001126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</w:t>
            </w:r>
            <w:r w:rsidR="001C79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ktoré v Slovenskej republike vykonávajú svoj operačný program </w:t>
            </w:r>
            <w:r w:rsidR="00656AEA" w:rsidRPr="00656AE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podľa čl. 50 ods. 1 alebo čl. 67 ods. 1 nariadenia (EÚ) 2021/2115</w:t>
            </w:r>
            <w:r w:rsidR="000260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v platnom znení</w:t>
            </w:r>
            <w:r w:rsidR="001126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vykonávania intervencií </w:t>
            </w:r>
            <w:r w:rsidR="001126A0" w:rsidRPr="001126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SPP SR </w:t>
            </w:r>
            <w:r w:rsidR="00DD7BE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v tomto sektore, týkajúcich sa týchto poľnohospodárskych výrobkov.</w:t>
            </w:r>
            <w:r w:rsidR="00C527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Tieto organizácie výrobcov, združenia organizácií výrobcov alebo skupiny výrobcov sú totiž jedinými oprávnenými prijímateľmi podpory SR na tieto intervencie SPP SR.</w:t>
            </w:r>
          </w:p>
          <w:p w:rsidR="008B3B0F" w:rsidRPr="006A4478" w:rsidRDefault="00C52770" w:rsidP="0069167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Tým pádom sa navrhované nariadenie vlády dotýka aj výrobcov týchto poľnohospodárskych výrobkov, ktorých tieto organizácie výrobcov alebo skupiny výrobcov združujú, alebo ktorých združujú organizácie výrobcov, ktoré </w:t>
            </w:r>
            <w:r w:rsidR="0069167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združujú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tieto združenia organizácií výrobcov.</w:t>
            </w:r>
          </w:p>
        </w:tc>
      </w:tr>
      <w:tr w:rsidR="00612E08" w:rsidRPr="00612E08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Alternatívne riešenia</w:t>
            </w:r>
          </w:p>
        </w:tc>
      </w:tr>
      <w:tr w:rsidR="00612E08" w:rsidRPr="00612E08" w:rsidTr="000800FC">
        <w:trPr>
          <w:trHeight w:val="1524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54C" w:rsidRPr="009C3378" w:rsidRDefault="00247468" w:rsidP="00C0254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 w:rsidRPr="002474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Ak by sa právna úprava navrhovaná navrhovaným nariadením vlády z vecnej stránky neprijala, </w:t>
            </w:r>
            <w:r w:rsidR="00FC3E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nemohli</w:t>
            </w:r>
            <w:r w:rsidR="00E546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by sa zmeniť </w:t>
            </w:r>
            <w:r w:rsidR="00FC3E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už udelené </w:t>
            </w:r>
            <w:r w:rsidR="00E546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schválenia poskytnutia podpory</w:t>
            </w:r>
            <w:r w:rsidR="0069167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SR</w:t>
            </w:r>
            <w:r w:rsidR="00E546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 intervencie SPP SR </w:t>
            </w:r>
            <w:r w:rsidR="00FC3ECB" w:rsidRPr="00FC3EC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buď v sektore ovocia a zeleniny alebo v určitom sektore ďalších vybraných výrobkov</w:t>
            </w:r>
            <w:r w:rsidR="00FC3EC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, vykonávané počas kalendárneho roka 2024 alebo nasledujúcich, </w:t>
            </w:r>
            <w:r w:rsidR="00145BA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vrátane ich rozšírenia o nové operácie intervencií SPP SR v tomto sektore </w:t>
            </w:r>
            <w:r w:rsidR="00FC3EC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tak, aby t</w:t>
            </w:r>
            <w:r w:rsidR="00145BA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ieto schválenia boli v súlade s aktuálnym </w:t>
            </w:r>
            <w:r w:rsidR="00FC3EC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strategickým plánom spoločnej poľnohospodárskej politiky Slovenskej republiky. Rovnako by sa nemohli udeľovať nové takéto schválenia pre nové operačné programy</w:t>
            </w:r>
            <w:r w:rsidR="00145BA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vykonávania </w:t>
            </w:r>
            <w:r w:rsidR="00145BAB" w:rsidRPr="00145BA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intervencií SPP SR v</w:t>
            </w:r>
            <w:r w:rsidR="00145BA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 týchto sektoroch</w:t>
            </w:r>
            <w:r w:rsidR="00FC3EC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.</w:t>
            </w:r>
          </w:p>
          <w:p w:rsidR="00731677" w:rsidRPr="009C3378" w:rsidRDefault="00731677" w:rsidP="0073167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:rsidTr="000800FC">
        <w:tc>
          <w:tcPr>
            <w:tcW w:w="6203" w:type="dxa"/>
            <w:gridSpan w:val="4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612E08" w:rsidRDefault="00793E80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612E08" w:rsidRDefault="00793E80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37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:rsidTr="000800FC"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:rsidTr="000800FC">
        <w:trPr>
          <w:trHeight w:val="157"/>
        </w:trPr>
        <w:tc>
          <w:tcPr>
            <w:tcW w:w="918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>
              <w:trPr>
                <w:trHeight w:val="90"/>
              </w:trPr>
              <w:tc>
                <w:tcPr>
                  <w:tcW w:w="8643" w:type="dxa"/>
                </w:tcPr>
                <w:p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Uveďte, či v predkladanom návrhu právneho predpisu dochádza ku goldplatingu</w:t>
                  </w:r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, resp. či ku goldplatingu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3370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rPr>
          <w:trHeight w:val="248"/>
        </w:trPr>
        <w:tc>
          <w:tcPr>
            <w:tcW w:w="91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:rsidTr="002421AA">
        <w:trPr>
          <w:trHeight w:val="1873"/>
        </w:trPr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ECB" w:rsidRDefault="007937D8" w:rsidP="00FC3EC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Dosahovanie cieľov </w:t>
            </w:r>
            <w:r w:rsidR="000A687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strategického plánu spoločnej poľnohospodárskej politiky Slovenskej republiky </w:t>
            </w:r>
            <w:r w:rsidR="005A203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sa monitoruje a hodnotí podľa </w:t>
            </w:r>
            <w:r w:rsidR="007D532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hlavy VII nariadenia</w:t>
            </w:r>
            <w:r w:rsidR="007D5327" w:rsidRPr="007D53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(EÚ)</w:t>
            </w:r>
            <w:r w:rsidR="007D53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2021/2115</w:t>
            </w:r>
            <w:r w:rsidR="00F3247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v platnom znení</w:t>
            </w:r>
            <w:r w:rsidR="007D532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</w:t>
            </w:r>
            <w:r w:rsidR="003373E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a právnych aktov Európskej únie </w:t>
            </w:r>
            <w:r w:rsidR="003166A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prijatých na základe právomoci ustanovenej týmto nariadením </w:t>
            </w:r>
            <w:r w:rsidR="003166A2" w:rsidRPr="003166A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(EÚ)</w:t>
            </w:r>
            <w:r w:rsidR="003166A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v platnom </w:t>
            </w:r>
            <w:r w:rsidR="007C5D6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znení, v súlade s plánom hodnotenia to</w:t>
            </w:r>
            <w:r w:rsidR="00ED236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h</w:t>
            </w:r>
            <w:r w:rsidR="007C5D6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to strategického plánu, </w:t>
            </w:r>
            <w:r w:rsidR="00D8667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ktorý bol predložený monitorovaciemu výboru </w:t>
            </w:r>
            <w:r w:rsidR="000C19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podľa čl. 124 ods. 1 </w:t>
            </w:r>
            <w:r w:rsidR="000C1956" w:rsidRPr="000C19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nariadenia (EÚ) 2021/2115</w:t>
            </w:r>
            <w:r w:rsidR="00FC53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</w:t>
            </w:r>
            <w:r w:rsidR="000260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v platnom znení</w:t>
            </w:r>
            <w:r w:rsidR="000C19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Slovenskej republiky.</w:t>
            </w:r>
          </w:p>
          <w:p w:rsidR="00EA48D3" w:rsidRDefault="00EA48D3" w:rsidP="00FC3EC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Na základe tohto monitorovania, podnetov od aktívnych alebo potenciálnych prijímateľov podpory SR na </w:t>
            </w:r>
            <w:r w:rsidRPr="00EA48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intervenci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e</w:t>
            </w:r>
            <w:r w:rsidRPr="00EA48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 SPP SR buď v sektore ovocia a zeleniny alebo v určitom sektore ďalších vybraných výrobkov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, ich spoločníkov alebo členov alebo spoločníkov alebo členov týchto spoločníkov alebo členov, ako aj na základe praktických skúseností s vykonávaním intervencií SPP SR v týchto sektoroch</w:t>
            </w:r>
            <w:r w:rsidR="0021796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ministerstvo pôdohospodárstva navrhuje zmeny </w:t>
            </w:r>
            <w:r w:rsidRPr="00EA48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strategického plánu spoločnej poľnohospodárskej politiky Slovenskej republiky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, ktoré sa následne zapracúvajú do aproximačného nariadenia vlády, podľa ktorého sa administruje poskytovanie podpory SR na intervencie SPP SR </w:t>
            </w:r>
            <w:r w:rsidRPr="00EA48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v týchto sektoroch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.</w:t>
            </w:r>
          </w:p>
          <w:p w:rsidR="00351FC4" w:rsidRPr="00CB0A61" w:rsidRDefault="00351FC4" w:rsidP="00FC3E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Čas preskúmania účelnosti navrhovaného nariadenia vlády je teda striktne naviazaný na vyššie uvedené postupy monitorovania, hodnotenia a zmien </w:t>
            </w:r>
            <w:r w:rsidR="00ED236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strategického plánu </w:t>
            </w:r>
            <w:r w:rsidRPr="00351F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spoločnej poľnohospodárskej politiky Slovenskej republiky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.</w:t>
            </w:r>
          </w:p>
          <w:p w:rsidR="001B23B7" w:rsidRPr="00CB0A61" w:rsidRDefault="001B23B7" w:rsidP="007316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D01135" w:rsidRDefault="00D01135"/>
    <w:tbl>
      <w:tblPr>
        <w:tblStyle w:val="Mriekatabuky1"/>
        <w:tblW w:w="918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547"/>
        <w:gridCol w:w="1297"/>
      </w:tblGrid>
      <w:tr w:rsidR="00612E08" w:rsidRPr="00612E08" w:rsidTr="00D01135">
        <w:tc>
          <w:tcPr>
            <w:tcW w:w="91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*** posudzovanie sa týka len zmien v I. a II. pilieri univerzálneho systému dôchodkového zabezpečenia s identifikovaným dopadom od 0,1 % HDP (vrátane) na dlhodobom horizonte.</w:t>
            </w: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D01135">
        <w:trPr>
          <w:trHeight w:val="283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612E08" w:rsidRPr="00612E08" w:rsidTr="00D0113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7F5F6D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D0113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D0113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7F5F6D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D01135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D0113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D0113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F6D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D0113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F6D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D01135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F6D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D01135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  <w:r w:rsidR="007F5F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F6D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D01135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FC3EC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FC3EC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D0113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F6D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D01135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F587A" w:rsidRPr="00612E08" w:rsidRDefault="007F587A" w:rsidP="007F5F6D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</w:t>
            </w:r>
            <w:r w:rsidR="007F5F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24/2006 Z. z. o posudzovaní vplyvov na</w:t>
            </w:r>
            <w:r w:rsidR="007F5F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F6D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D01135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8239B6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8239B6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7F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</w:t>
            </w:r>
            <w:r w:rsidR="007F5F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občana, z</w:t>
            </w:r>
            <w:r w:rsidR="007F5F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  <w:r w:rsidR="007F5F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7F5F6D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7F5F6D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12E08" w:rsidRDefault="00A340BB" w:rsidP="007F5F6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7F5F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7F5F6D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:rsidR="0098472E" w:rsidRPr="00612E08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98472E" w:rsidRPr="00612E08" w:rsidRDefault="007C5312" w:rsidP="0098472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:rsidR="0098472E" w:rsidRPr="00612E08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822" w:rsidRDefault="007F5F6D" w:rsidP="003B182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5F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e-mail: </w:t>
            </w:r>
            <w:r w:rsidR="003B182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Mgr. Andrej Batel, hlavný štátny radca sekcie poľnohospodárstva, </w:t>
            </w:r>
          </w:p>
          <w:p w:rsidR="001B23B7" w:rsidRDefault="00793E80" w:rsidP="003B182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9" w:history="1">
              <w:r w:rsidR="003B1822" w:rsidRPr="00741A32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andrej.batel@land.gov.sk</w:t>
              </w:r>
            </w:hyperlink>
            <w:r w:rsidR="007F5F6D" w:rsidRPr="007F5F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tel.: 02/59 266</w:t>
            </w:r>
            <w:r w:rsidR="007F5F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7F5F6D" w:rsidRPr="007F5F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349</w:t>
            </w:r>
          </w:p>
          <w:p w:rsidR="003B1822" w:rsidRDefault="007F5F6D" w:rsidP="003B182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5F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e-mail: </w:t>
            </w:r>
            <w:r w:rsidR="003B182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Ing. Renáta Boďová, hlavná štátna radkyňa odboru rastlinnej výroby, </w:t>
            </w:r>
          </w:p>
          <w:p w:rsidR="007F5F6D" w:rsidRDefault="00793E80" w:rsidP="003B182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10" w:history="1">
              <w:r w:rsidR="003B1822" w:rsidRPr="00741A32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renata.bodova@land.gov.sk</w:t>
              </w:r>
            </w:hyperlink>
            <w:r w:rsidR="007F5F6D" w:rsidRPr="007F5F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tel.: 02/59 266</w:t>
            </w:r>
            <w:r w:rsidR="00A96E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7F5F6D" w:rsidRPr="007F5F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  <w:r w:rsidR="00A96E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70</w:t>
            </w:r>
          </w:p>
          <w:p w:rsidR="003B1822" w:rsidRDefault="00A96E90" w:rsidP="003B182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e-mail: </w:t>
            </w:r>
            <w:r w:rsidR="003B182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Ing. Katarína Rácová, </w:t>
            </w:r>
            <w:r w:rsidR="003B1822" w:rsidRPr="003B182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hlavná štátna radkyňa odboru </w:t>
            </w:r>
            <w:r w:rsidR="003B182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živočíšnej</w:t>
            </w:r>
            <w:r w:rsidR="003B1822" w:rsidRPr="003B182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výroby, </w:t>
            </w:r>
          </w:p>
          <w:p w:rsidR="00A96E90" w:rsidRPr="007F5F6D" w:rsidRDefault="00793E80" w:rsidP="003B182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11" w:history="1">
              <w:r w:rsidR="00A96E90" w:rsidRPr="00131160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katarina.racova@land.gov.sk</w:t>
              </w:r>
            </w:hyperlink>
            <w:r w:rsidR="00A96E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tel.: </w:t>
            </w:r>
            <w:r w:rsidR="00A96E90" w:rsidRPr="00A96E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02/59 266 </w:t>
            </w:r>
            <w:r w:rsidR="00A96E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561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E90" w:rsidRPr="00A96E90" w:rsidRDefault="00A96E90" w:rsidP="00A96E9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96E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Konzultácie na účely prípravy navrhovaného nariadenia vlády boli vykonané so zastupiteľskými organizáciami podnikateľských subjektov, ktoré vykonávajú </w:t>
            </w:r>
            <w:r w:rsidR="006F0EE7" w:rsidRPr="006F0EE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intervencie SPP SR </w:t>
            </w:r>
            <w:r w:rsidR="006F0EE7" w:rsidRPr="006F0EE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buď v sektore ovocia a zeleniny alebo v určitom sektore ďalších vybraných výrobkov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96E90" w:rsidRPr="00A96E90" w:rsidRDefault="00A96E90" w:rsidP="00A96E9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96E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Tieto konzultácie prebiehali formou rokovaní, písomnou formou a formou komunikácie na diaľku (telefonicky, elektronickou poštou).</w:t>
            </w:r>
          </w:p>
          <w:p w:rsidR="001B23B7" w:rsidRDefault="006F0EE7" w:rsidP="00A96E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Hlavným zdrojom informácií k vyhotoveniu znenia navrhovaného nariadenia vlády je však posledná zmena strategického plánu spoločnej poľnohospodárskej politiky Slovenskej republiky ohľadom intervencií </w:t>
            </w:r>
            <w:r w:rsidRPr="006F0EE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v sektore ovocia a zeleniny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a intervencií</w:t>
            </w:r>
            <w:r w:rsidRPr="006F0EE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 xml:space="preserve"> sektore ďalších vybraných výrobkov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, ktorá je schválená Európskou komisiou.</w:t>
            </w:r>
          </w:p>
          <w:p w:rsidR="00187FB9" w:rsidRPr="00187FB9" w:rsidRDefault="00187FB9" w:rsidP="00187F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72666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č. </w:t>
            </w:r>
            <w:r w:rsidR="00726667" w:rsidRPr="00726667">
              <w:rPr>
                <w:rFonts w:ascii="Times New Roman" w:eastAsia="Calibri" w:hAnsi="Times New Roman" w:cs="Times New Roman"/>
                <w:b/>
              </w:rPr>
              <w:t>1</w:t>
            </w:r>
            <w:r w:rsidR="00EE098B">
              <w:rPr>
                <w:rFonts w:ascii="Times New Roman" w:eastAsia="Calibri" w:hAnsi="Times New Roman" w:cs="Times New Roman"/>
                <w:b/>
              </w:rPr>
              <w:t>34</w:t>
            </w:r>
            <w:r w:rsidR="00726667" w:rsidRPr="00726667">
              <w:rPr>
                <w:rFonts w:ascii="Times New Roman" w:eastAsia="Calibri" w:hAnsi="Times New Roman" w:cs="Times New Roman"/>
                <w:b/>
              </w:rPr>
              <w:t>/2024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793E8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793E8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793E80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3A16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  <w:r w:rsidR="00793A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</w:p>
          <w:p w:rsidR="00793A16" w:rsidRDefault="00793A16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806D60" w:rsidRDefault="00806D60" w:rsidP="00806D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97F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Stála pracovná komisia Legislatívnej rady vlády Slovenskej republiky na posudzovanie vybraných vplyvov pri Ministerstve hospodárstva Slovenskej republiky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(ďalej len „stála pracovná komisia“) </w:t>
            </w:r>
            <w:r w:rsidRPr="00197F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 navrhovanému nariadeniu vlády vyjadrila nasledovné stanovisko a uplatnila nasledovné pripomienky: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806D60" w:rsidRDefault="00806D60" w:rsidP="00806D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5B09AB" w:rsidRPr="007C624C" w:rsidRDefault="00806D60" w:rsidP="007C624C">
            <w:pPr>
              <w:pStyle w:val="Odsekzoznamu"/>
              <w:numPr>
                <w:ilvl w:val="0"/>
                <w:numId w:val="4"/>
              </w:numPr>
              <w:ind w:left="447" w:hanging="42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C62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„</w:t>
            </w:r>
            <w:r w:rsidR="005B09AB" w:rsidRPr="007C6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 doložke vybraných vplyvov</w:t>
            </w:r>
          </w:p>
          <w:p w:rsidR="005B09AB" w:rsidRPr="005B09AB" w:rsidRDefault="005B09AB" w:rsidP="005B09A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B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Komisia odporúča predkladateľovi doplniť do časti 8. Preskúmanie účelnosti – doplniť konkrétnu časovú lehotu (rok) a kritériá, podľa ktorých je možné zhodnotiť, ako boli dosiahnuté stanovené ciele návrhu. Uvedené konštatovanie v časti 8. je potrebné vypustiť. </w:t>
            </w:r>
          </w:p>
          <w:p w:rsidR="005B09AB" w:rsidRDefault="005B09AB" w:rsidP="005B09A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B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Odôvodnenie: Uvedené údaje sú povinnou súčasťou Doložky vybraných vplyvov v zmysle Jednotnej metodiky vybraných vplyvov.</w:t>
            </w:r>
            <w:r w:rsidR="007C624C" w:rsidRPr="007C62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C624C" w:rsidRPr="007C6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“.</w:t>
            </w:r>
          </w:p>
          <w:p w:rsidR="007C624C" w:rsidRDefault="007C624C" w:rsidP="005B09A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:rsidR="007C624C" w:rsidRPr="00C95E57" w:rsidRDefault="007C624C" w:rsidP="005B0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95E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Vyhodnotenie:</w:t>
            </w:r>
            <w:r w:rsidR="008C57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  <w:p w:rsidR="007C624C" w:rsidRPr="005B09AB" w:rsidRDefault="007C624C" w:rsidP="005B09A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Text časti 8. bol upravený, aby reflektoval potreby pravidelných úprav aproximačného nariadenia vlády, ktorým sa implementuje časť strategického plánu spoločnej poľnohospodárskej politiky Slovenskej republiky týkajúca sa intervencií SPP SR v sektore ovocia a zeleniny a </w:t>
            </w:r>
            <w:r w:rsidRPr="007C62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intervencií SPP SR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v </w:t>
            </w:r>
            <w:r w:rsidRPr="007C624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sektore ďalších vybraných výrobkov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 w:bidi="sk-SK"/>
              </w:rPr>
              <w:t>.</w:t>
            </w:r>
          </w:p>
          <w:p w:rsidR="005B09AB" w:rsidRPr="005B09AB" w:rsidRDefault="005B09AB" w:rsidP="005B09A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:rsidR="005B09AB" w:rsidRPr="005B09AB" w:rsidRDefault="007C624C" w:rsidP="005B0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„</w:t>
            </w:r>
            <w:r w:rsidR="005B09AB" w:rsidRPr="005B0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 vplyvom na podnikateľské prostredie</w:t>
            </w:r>
          </w:p>
          <w:p w:rsidR="005B09AB" w:rsidRPr="005B09AB" w:rsidRDefault="005B09AB" w:rsidP="005B09A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B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Komisia žiada predkladateľa, aby v Analýze vplyvov na podnikateľské prostredie v časti 3.3 a 3.4 doplnil konkrétnejší popis pozitívnych vplyvov na podnikateľské prostredie:</w:t>
            </w:r>
          </w:p>
          <w:p w:rsidR="005B09AB" w:rsidRPr="005B09AB" w:rsidRDefault="005B09AB" w:rsidP="005B09A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B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Odôvodnenie: Analýza vplyvov slúži na jasné zhodnotenie, ako budú ovplyvnené dotknuté subjekty. Zo súčasnej analýzy vplyvov na podnikateľské prostredie nie je možné presne identifikovať, aký konkrétny pozitívny vplyv materiál obsahuje.</w:t>
            </w:r>
          </w:p>
          <w:p w:rsidR="005B09AB" w:rsidRPr="005B09AB" w:rsidRDefault="005B09AB" w:rsidP="005B09A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:rsidR="005B09AB" w:rsidRPr="005B09AB" w:rsidRDefault="005B09AB" w:rsidP="005B09A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B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Komisia odporúča predkladateľovi, aby v Analýze vplyvov na podnikateľské prostredie v časti 3.2 doplnil informácie o zástupcoch, ako aj o výstupoch a podnetoch subjektov.</w:t>
            </w:r>
          </w:p>
          <w:p w:rsidR="00793A16" w:rsidRPr="00806D60" w:rsidRDefault="005B09AB" w:rsidP="005B09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B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Odôvodnenie: V popise absentuje identifikácia subjektov, s ktorými bola problematika konzultovaná, výstupy z konzultácií a konkrétne podnety subjektov, o ktorých sa konzultovalo.</w:t>
            </w:r>
            <w:r w:rsidR="00806D60" w:rsidRPr="00806D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“.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A64E12" w:rsidRPr="00A64E12" w:rsidRDefault="00A64E12" w:rsidP="00A64E1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64E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Vyhodnotenie: </w:t>
            </w:r>
          </w:p>
          <w:p w:rsidR="00A64E12" w:rsidRDefault="002C480D" w:rsidP="00A64E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Časti</w:t>
            </w:r>
            <w:r w:rsidR="00FC5E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3.2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a 3.3 </w:t>
            </w:r>
            <w:r w:rsidR="00FC5E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analýzy vplyvov na podnikateľské prostredie 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a doplnili</w:t>
            </w:r>
            <w:r w:rsidR="00FC5E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pod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ľa pripomienok</w:t>
            </w:r>
            <w:r w:rsidR="00FC5E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.</w:t>
            </w:r>
          </w:p>
          <w:p w:rsidR="003B7DF2" w:rsidRPr="003B7DF2" w:rsidRDefault="003B7DF2" w:rsidP="00884E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793E8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793E8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793E80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612E08" w:rsidRDefault="00793E80"/>
    <w:sectPr w:rsidR="00274130" w:rsidRPr="00612E08" w:rsidSect="00793E80">
      <w:footerReference w:type="default" r:id="rId12"/>
      <w:pgSz w:w="11906" w:h="16838"/>
      <w:pgMar w:top="426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832" w:rsidRDefault="00F07832" w:rsidP="001B23B7">
      <w:pPr>
        <w:spacing w:after="0" w:line="240" w:lineRule="auto"/>
      </w:pPr>
      <w:r>
        <w:separator/>
      </w:r>
    </w:p>
  </w:endnote>
  <w:endnote w:type="continuationSeparator" w:id="0">
    <w:p w:rsidR="00F07832" w:rsidRDefault="00F07832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222118"/>
      <w:docPartObj>
        <w:docPartGallery w:val="Page Numbers (Bottom of Page)"/>
        <w:docPartUnique/>
      </w:docPartObj>
    </w:sdtPr>
    <w:sdtContent>
      <w:p w:rsidR="008800C6" w:rsidRPr="00793E80" w:rsidRDefault="00793E80" w:rsidP="00793E8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832" w:rsidRDefault="00F07832" w:rsidP="001B23B7">
      <w:pPr>
        <w:spacing w:after="0" w:line="240" w:lineRule="auto"/>
      </w:pPr>
      <w:r>
        <w:separator/>
      </w:r>
    </w:p>
  </w:footnote>
  <w:footnote w:type="continuationSeparator" w:id="0">
    <w:p w:rsidR="00F07832" w:rsidRDefault="00F07832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15EA"/>
    <w:multiLevelType w:val="hybridMultilevel"/>
    <w:tmpl w:val="3F10DB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4F45"/>
    <w:multiLevelType w:val="hybridMultilevel"/>
    <w:tmpl w:val="477E0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B1792"/>
    <w:multiLevelType w:val="hybridMultilevel"/>
    <w:tmpl w:val="4CB05F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03C3B"/>
    <w:rsid w:val="000202C9"/>
    <w:rsid w:val="000260C3"/>
    <w:rsid w:val="00027A5E"/>
    <w:rsid w:val="0003234C"/>
    <w:rsid w:val="00033B80"/>
    <w:rsid w:val="00043706"/>
    <w:rsid w:val="000748A7"/>
    <w:rsid w:val="00097069"/>
    <w:rsid w:val="000A6874"/>
    <w:rsid w:val="000B0255"/>
    <w:rsid w:val="000B0900"/>
    <w:rsid w:val="000B7976"/>
    <w:rsid w:val="000C1956"/>
    <w:rsid w:val="000C609A"/>
    <w:rsid w:val="000D0997"/>
    <w:rsid w:val="000D2BBE"/>
    <w:rsid w:val="000D348F"/>
    <w:rsid w:val="000F2BE9"/>
    <w:rsid w:val="001126A0"/>
    <w:rsid w:val="00113AE4"/>
    <w:rsid w:val="00124488"/>
    <w:rsid w:val="00130931"/>
    <w:rsid w:val="001412D9"/>
    <w:rsid w:val="00145BAB"/>
    <w:rsid w:val="001462FD"/>
    <w:rsid w:val="00156064"/>
    <w:rsid w:val="00183978"/>
    <w:rsid w:val="00187182"/>
    <w:rsid w:val="00187FB9"/>
    <w:rsid w:val="00193301"/>
    <w:rsid w:val="00197FBC"/>
    <w:rsid w:val="001B23B7"/>
    <w:rsid w:val="001C79A9"/>
    <w:rsid w:val="001E033B"/>
    <w:rsid w:val="001E1A89"/>
    <w:rsid w:val="001E3562"/>
    <w:rsid w:val="001F2C8B"/>
    <w:rsid w:val="00203EE3"/>
    <w:rsid w:val="0021796D"/>
    <w:rsid w:val="00222D5C"/>
    <w:rsid w:val="002243BB"/>
    <w:rsid w:val="00225E1F"/>
    <w:rsid w:val="0023360B"/>
    <w:rsid w:val="002421AA"/>
    <w:rsid w:val="00243652"/>
    <w:rsid w:val="0024574F"/>
    <w:rsid w:val="00247468"/>
    <w:rsid w:val="0025662B"/>
    <w:rsid w:val="00263A6E"/>
    <w:rsid w:val="0026513B"/>
    <w:rsid w:val="002723D6"/>
    <w:rsid w:val="00280A84"/>
    <w:rsid w:val="00283896"/>
    <w:rsid w:val="002B134C"/>
    <w:rsid w:val="002B16DC"/>
    <w:rsid w:val="002B6F89"/>
    <w:rsid w:val="002C480D"/>
    <w:rsid w:val="002D399A"/>
    <w:rsid w:val="002D4699"/>
    <w:rsid w:val="002E2D01"/>
    <w:rsid w:val="002E5734"/>
    <w:rsid w:val="002E71ED"/>
    <w:rsid w:val="002F6ADB"/>
    <w:rsid w:val="003145AE"/>
    <w:rsid w:val="003166A2"/>
    <w:rsid w:val="003373E8"/>
    <w:rsid w:val="00351FC4"/>
    <w:rsid w:val="003553ED"/>
    <w:rsid w:val="00362DDB"/>
    <w:rsid w:val="00374B8A"/>
    <w:rsid w:val="00383168"/>
    <w:rsid w:val="00387E7B"/>
    <w:rsid w:val="003A057B"/>
    <w:rsid w:val="003A381E"/>
    <w:rsid w:val="003A39BF"/>
    <w:rsid w:val="003A6855"/>
    <w:rsid w:val="003B1822"/>
    <w:rsid w:val="003B7DF2"/>
    <w:rsid w:val="003E1B45"/>
    <w:rsid w:val="00404972"/>
    <w:rsid w:val="00411898"/>
    <w:rsid w:val="0042284D"/>
    <w:rsid w:val="00436D09"/>
    <w:rsid w:val="00436DD6"/>
    <w:rsid w:val="004447DE"/>
    <w:rsid w:val="00447D95"/>
    <w:rsid w:val="00454B1D"/>
    <w:rsid w:val="00454F1B"/>
    <w:rsid w:val="0047614A"/>
    <w:rsid w:val="00481053"/>
    <w:rsid w:val="0049476D"/>
    <w:rsid w:val="004A4383"/>
    <w:rsid w:val="004A685D"/>
    <w:rsid w:val="004B4AF0"/>
    <w:rsid w:val="004C32C9"/>
    <w:rsid w:val="004C6831"/>
    <w:rsid w:val="004F3191"/>
    <w:rsid w:val="0050701B"/>
    <w:rsid w:val="00511435"/>
    <w:rsid w:val="00533F64"/>
    <w:rsid w:val="00544675"/>
    <w:rsid w:val="005455AD"/>
    <w:rsid w:val="005717C4"/>
    <w:rsid w:val="00571D13"/>
    <w:rsid w:val="005809CE"/>
    <w:rsid w:val="00587ED1"/>
    <w:rsid w:val="00591B5F"/>
    <w:rsid w:val="00591EC6"/>
    <w:rsid w:val="00591ED3"/>
    <w:rsid w:val="00594228"/>
    <w:rsid w:val="005A203A"/>
    <w:rsid w:val="005A2C6D"/>
    <w:rsid w:val="005B09AB"/>
    <w:rsid w:val="005C4FCD"/>
    <w:rsid w:val="005D65BF"/>
    <w:rsid w:val="005D7B71"/>
    <w:rsid w:val="005F3370"/>
    <w:rsid w:val="005F50CF"/>
    <w:rsid w:val="00605C69"/>
    <w:rsid w:val="00612E08"/>
    <w:rsid w:val="00614CAA"/>
    <w:rsid w:val="00634B16"/>
    <w:rsid w:val="00635E0A"/>
    <w:rsid w:val="00643092"/>
    <w:rsid w:val="00644E84"/>
    <w:rsid w:val="00656AEA"/>
    <w:rsid w:val="00682139"/>
    <w:rsid w:val="00682DD3"/>
    <w:rsid w:val="00684890"/>
    <w:rsid w:val="00691678"/>
    <w:rsid w:val="006A4478"/>
    <w:rsid w:val="006B4899"/>
    <w:rsid w:val="006C7F59"/>
    <w:rsid w:val="006E2C2F"/>
    <w:rsid w:val="006E4C02"/>
    <w:rsid w:val="006E562C"/>
    <w:rsid w:val="006F0EE7"/>
    <w:rsid w:val="006F678E"/>
    <w:rsid w:val="006F6B62"/>
    <w:rsid w:val="00712D5C"/>
    <w:rsid w:val="00720322"/>
    <w:rsid w:val="00726667"/>
    <w:rsid w:val="00731677"/>
    <w:rsid w:val="007327D7"/>
    <w:rsid w:val="00742ABF"/>
    <w:rsid w:val="0075197E"/>
    <w:rsid w:val="00761022"/>
    <w:rsid w:val="00761208"/>
    <w:rsid w:val="00762F9A"/>
    <w:rsid w:val="007677ED"/>
    <w:rsid w:val="007756BE"/>
    <w:rsid w:val="0077639F"/>
    <w:rsid w:val="007876E4"/>
    <w:rsid w:val="007937D8"/>
    <w:rsid w:val="00793A16"/>
    <w:rsid w:val="00793E80"/>
    <w:rsid w:val="007941C0"/>
    <w:rsid w:val="00795B46"/>
    <w:rsid w:val="007B40C1"/>
    <w:rsid w:val="007B5898"/>
    <w:rsid w:val="007C29F2"/>
    <w:rsid w:val="007C5312"/>
    <w:rsid w:val="007C5D68"/>
    <w:rsid w:val="007C624C"/>
    <w:rsid w:val="007D5327"/>
    <w:rsid w:val="007D6F2C"/>
    <w:rsid w:val="007E2A28"/>
    <w:rsid w:val="007F587A"/>
    <w:rsid w:val="007F5F6D"/>
    <w:rsid w:val="0080042A"/>
    <w:rsid w:val="008025EF"/>
    <w:rsid w:val="00806D60"/>
    <w:rsid w:val="00817B27"/>
    <w:rsid w:val="008239B6"/>
    <w:rsid w:val="00827E39"/>
    <w:rsid w:val="00832013"/>
    <w:rsid w:val="008432FD"/>
    <w:rsid w:val="008438CB"/>
    <w:rsid w:val="00865E81"/>
    <w:rsid w:val="008800C6"/>
    <w:rsid w:val="008801B5"/>
    <w:rsid w:val="00881229"/>
    <w:rsid w:val="00881E07"/>
    <w:rsid w:val="00884E5B"/>
    <w:rsid w:val="0089663F"/>
    <w:rsid w:val="008A0F8E"/>
    <w:rsid w:val="008B222D"/>
    <w:rsid w:val="008B3545"/>
    <w:rsid w:val="008B3B0F"/>
    <w:rsid w:val="008C5798"/>
    <w:rsid w:val="008C79B7"/>
    <w:rsid w:val="008D3DB6"/>
    <w:rsid w:val="008D5355"/>
    <w:rsid w:val="008E10DE"/>
    <w:rsid w:val="00902BC2"/>
    <w:rsid w:val="00905A67"/>
    <w:rsid w:val="00927A16"/>
    <w:rsid w:val="00930CD6"/>
    <w:rsid w:val="009431E3"/>
    <w:rsid w:val="009475F5"/>
    <w:rsid w:val="009548B3"/>
    <w:rsid w:val="0096362C"/>
    <w:rsid w:val="00964B15"/>
    <w:rsid w:val="0097177A"/>
    <w:rsid w:val="009717F5"/>
    <w:rsid w:val="0097422D"/>
    <w:rsid w:val="00980F4B"/>
    <w:rsid w:val="0098472E"/>
    <w:rsid w:val="00994370"/>
    <w:rsid w:val="009A5468"/>
    <w:rsid w:val="009B653E"/>
    <w:rsid w:val="009C3378"/>
    <w:rsid w:val="009C424C"/>
    <w:rsid w:val="009C6E53"/>
    <w:rsid w:val="009D44E2"/>
    <w:rsid w:val="009E010B"/>
    <w:rsid w:val="009E09F7"/>
    <w:rsid w:val="009F4832"/>
    <w:rsid w:val="00A07387"/>
    <w:rsid w:val="00A340BB"/>
    <w:rsid w:val="00A36F55"/>
    <w:rsid w:val="00A37061"/>
    <w:rsid w:val="00A4309C"/>
    <w:rsid w:val="00A60413"/>
    <w:rsid w:val="00A64471"/>
    <w:rsid w:val="00A64E12"/>
    <w:rsid w:val="00A678D1"/>
    <w:rsid w:val="00A67D21"/>
    <w:rsid w:val="00A7788F"/>
    <w:rsid w:val="00A77E9D"/>
    <w:rsid w:val="00A9245F"/>
    <w:rsid w:val="00A96E90"/>
    <w:rsid w:val="00A97922"/>
    <w:rsid w:val="00A97BC6"/>
    <w:rsid w:val="00AB14CE"/>
    <w:rsid w:val="00AB274F"/>
    <w:rsid w:val="00AB548A"/>
    <w:rsid w:val="00AC30D6"/>
    <w:rsid w:val="00AE1B1E"/>
    <w:rsid w:val="00AE25C3"/>
    <w:rsid w:val="00AE7910"/>
    <w:rsid w:val="00AE79CA"/>
    <w:rsid w:val="00B00B6E"/>
    <w:rsid w:val="00B25877"/>
    <w:rsid w:val="00B43AB3"/>
    <w:rsid w:val="00B471B6"/>
    <w:rsid w:val="00B52BE8"/>
    <w:rsid w:val="00B547F5"/>
    <w:rsid w:val="00B750F9"/>
    <w:rsid w:val="00B84F87"/>
    <w:rsid w:val="00BA2BF4"/>
    <w:rsid w:val="00BC39D0"/>
    <w:rsid w:val="00BC42EC"/>
    <w:rsid w:val="00BC7DE8"/>
    <w:rsid w:val="00BD49E2"/>
    <w:rsid w:val="00C0254C"/>
    <w:rsid w:val="00C12D51"/>
    <w:rsid w:val="00C209AF"/>
    <w:rsid w:val="00C20AC0"/>
    <w:rsid w:val="00C30BB8"/>
    <w:rsid w:val="00C31912"/>
    <w:rsid w:val="00C32A66"/>
    <w:rsid w:val="00C32FC3"/>
    <w:rsid w:val="00C35DC1"/>
    <w:rsid w:val="00C40F75"/>
    <w:rsid w:val="00C414DC"/>
    <w:rsid w:val="00C52770"/>
    <w:rsid w:val="00C65BB9"/>
    <w:rsid w:val="00C66459"/>
    <w:rsid w:val="00C815DC"/>
    <w:rsid w:val="00C86714"/>
    <w:rsid w:val="00C9209D"/>
    <w:rsid w:val="00C94E4E"/>
    <w:rsid w:val="00C95E57"/>
    <w:rsid w:val="00C97E97"/>
    <w:rsid w:val="00CA138E"/>
    <w:rsid w:val="00CB08AE"/>
    <w:rsid w:val="00CB0A61"/>
    <w:rsid w:val="00CD2100"/>
    <w:rsid w:val="00CD6E04"/>
    <w:rsid w:val="00CE6666"/>
    <w:rsid w:val="00CE6AAE"/>
    <w:rsid w:val="00CF1A25"/>
    <w:rsid w:val="00CF61FA"/>
    <w:rsid w:val="00CF67B5"/>
    <w:rsid w:val="00CF7165"/>
    <w:rsid w:val="00D01135"/>
    <w:rsid w:val="00D22806"/>
    <w:rsid w:val="00D2313B"/>
    <w:rsid w:val="00D3412B"/>
    <w:rsid w:val="00D35192"/>
    <w:rsid w:val="00D40E79"/>
    <w:rsid w:val="00D45B1C"/>
    <w:rsid w:val="00D46AAE"/>
    <w:rsid w:val="00D50F1E"/>
    <w:rsid w:val="00D57BE7"/>
    <w:rsid w:val="00D707DA"/>
    <w:rsid w:val="00D71497"/>
    <w:rsid w:val="00D7469B"/>
    <w:rsid w:val="00D86678"/>
    <w:rsid w:val="00DA37BE"/>
    <w:rsid w:val="00DA4488"/>
    <w:rsid w:val="00DC03B2"/>
    <w:rsid w:val="00DD3530"/>
    <w:rsid w:val="00DD43C7"/>
    <w:rsid w:val="00DD6747"/>
    <w:rsid w:val="00DD7BE8"/>
    <w:rsid w:val="00DE7A85"/>
    <w:rsid w:val="00DF357C"/>
    <w:rsid w:val="00DF5C7E"/>
    <w:rsid w:val="00E007DC"/>
    <w:rsid w:val="00E13134"/>
    <w:rsid w:val="00E41B04"/>
    <w:rsid w:val="00E41BBA"/>
    <w:rsid w:val="00E440B4"/>
    <w:rsid w:val="00E452C1"/>
    <w:rsid w:val="00E46B5C"/>
    <w:rsid w:val="00E546F2"/>
    <w:rsid w:val="00E62399"/>
    <w:rsid w:val="00E645D7"/>
    <w:rsid w:val="00EA48D3"/>
    <w:rsid w:val="00EC001C"/>
    <w:rsid w:val="00EC0AFE"/>
    <w:rsid w:val="00EC0E08"/>
    <w:rsid w:val="00EC1F9E"/>
    <w:rsid w:val="00EC69CA"/>
    <w:rsid w:val="00ED165A"/>
    <w:rsid w:val="00ED1AC0"/>
    <w:rsid w:val="00ED2362"/>
    <w:rsid w:val="00ED2C28"/>
    <w:rsid w:val="00EE098B"/>
    <w:rsid w:val="00EF4616"/>
    <w:rsid w:val="00EF7B1C"/>
    <w:rsid w:val="00F07832"/>
    <w:rsid w:val="00F174CF"/>
    <w:rsid w:val="00F2455E"/>
    <w:rsid w:val="00F24B6D"/>
    <w:rsid w:val="00F32474"/>
    <w:rsid w:val="00F35408"/>
    <w:rsid w:val="00F37514"/>
    <w:rsid w:val="00F50A84"/>
    <w:rsid w:val="00F6568B"/>
    <w:rsid w:val="00F71466"/>
    <w:rsid w:val="00F732D2"/>
    <w:rsid w:val="00F85DA9"/>
    <w:rsid w:val="00F87681"/>
    <w:rsid w:val="00F87FF4"/>
    <w:rsid w:val="00FA02DB"/>
    <w:rsid w:val="00FA3494"/>
    <w:rsid w:val="00FA451C"/>
    <w:rsid w:val="00FC3ECB"/>
    <w:rsid w:val="00FC5307"/>
    <w:rsid w:val="00FC55E8"/>
    <w:rsid w:val="00FC5E99"/>
    <w:rsid w:val="00FC7043"/>
    <w:rsid w:val="00FC7ED1"/>
    <w:rsid w:val="00FF4929"/>
    <w:rsid w:val="00F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836C55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817B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6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tarina.racova@land.gov.s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enata.bodova@land.gov.sk" TargetMode="External"/><Relationship Id="rId4" Type="http://schemas.openxmlformats.org/officeDocument/2006/relationships/styles" Target="styles.xml"/><Relationship Id="rId9" Type="http://schemas.openxmlformats.org/officeDocument/2006/relationships/hyperlink" Target="mailto:andrej.batel@land.go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-vybraných-vplyvov"/>
    <f:field ref="objsubject" par="" edit="true" text=""/>
    <f:field ref="objcreatedby" par="" text="Zachardová, Barbora, Ing. Mgr."/>
    <f:field ref="objcreatedat" par="" text="17.7.2024 10:46:15"/>
    <f:field ref="objchangedby" par="" text="Administrator, System"/>
    <f:field ref="objmodifiedat" par="" text="17.7.2024 10:46:1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3138EA6-C87B-400F-9C5A-D7F07E32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Benová Tímea</cp:lastModifiedBy>
  <cp:revision>98</cp:revision>
  <cp:lastPrinted>2024-09-17T11:46:00Z</cp:lastPrinted>
  <dcterms:created xsi:type="dcterms:W3CDTF">2024-07-31T13:57:00Z</dcterms:created>
  <dcterms:modified xsi:type="dcterms:W3CDTF">2024-09-17T11:46:00Z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EÚ_x000d_
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Mgr. Barbora Zachardová</vt:lpwstr>
  </property>
  <property fmtid="{D5CDD505-2E9C-101B-9397-08002B2CF9AE}" pid="12" name="FSC#SKEDITIONSLOVLEX@103.510:zodppredkladatel">
    <vt:lpwstr>Ing. Richard Takáč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nariadenie vlády Slovenskej republiky č. 200/2019 Z. z. o poskytovaní pomoci na dodávanie a distribúciu ovocia, zeleniny, mlieka a výrobkov z nich pre deti a žiakov v školách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2024</vt:lpwstr>
  </property>
  <property fmtid="{D5CDD505-2E9C-101B-9397-08002B2CF9AE}" pid="23" name="FSC#SKEDITIONSLOVLEX@103.510:plnynazovpredpis">
    <vt:lpwstr> Nariadenie vlády  Slovenskej republiky, ktorým sa mení a dopĺňa nariadenie vlády Slovenskej republiky č. 200/2019 Z. z. o poskytovaní pomoci na dodávanie a distribúciu ovocia, zeleniny, mlieka a výrobkov z nich pre deti a žiakov v školách v znení neskorš</vt:lpwstr>
  </property>
  <property fmtid="{D5CDD505-2E9C-101B-9397-08002B2CF9AE}" pid="24" name="FSC#SKEDITIONSLOVLEX@103.510:plnynazovpredpis1">
    <vt:lpwstr>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7930/2024-410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LP/2024/377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a rozvoja vidieka Slovenskej republiky</vt:lpwstr>
  </property>
  <property fmtid="{D5CDD505-2E9C-101B-9397-08002B2CF9AE}" pid="142" name="FSC#SKEDITIONSLOVLEX@103.510:funkciaZodpPredAkuzativ">
    <vt:lpwstr>Ministra pôdohospodárstva a rozvoja vidieka Slovenskej republiky</vt:lpwstr>
  </property>
  <property fmtid="{D5CDD505-2E9C-101B-9397-08002B2CF9AE}" pid="143" name="FSC#SKEDITIONSLOVLEX@103.510:funkciaZodpPredDativ">
    <vt:lpwstr>Ministrovi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Takáč_x000d_
Minister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pôdohospodárstva a rozvoja vidieka Slovenskej republiky predkladá návrh nariadenia vlády Slovenskej republiky, ktorým sa mení a dopĺňa nariadenie vlády Slovenskej republiky č.&amp;nbsp;200/2019&amp;nbsp;Z.&amp;nbsp;z. o&amp;nb</vt:lpwstr>
  </property>
  <property fmtid="{D5CDD505-2E9C-101B-9397-08002B2CF9AE}" pid="150" name="FSC#SKEDITIONSLOVLEX@103.510:vytvorenedna">
    <vt:lpwstr>17. 7. 2024</vt:lpwstr>
  </property>
  <property fmtid="{D5CDD505-2E9C-101B-9397-08002B2CF9AE}" pid="151" name="FSC#COOSYSTEM@1.1:Container">
    <vt:lpwstr>COO.2145.1000.3.6271792</vt:lpwstr>
  </property>
  <property fmtid="{D5CDD505-2E9C-101B-9397-08002B2CF9AE}" pid="152" name="FSC#FSCFOLIO@1.1001:docpropproject">
    <vt:lpwstr/>
  </property>
</Properties>
</file>