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24394F" w:rsidRDefault="0024394F">
      <w:pPr>
        <w:jc w:val="center"/>
        <w:divId w:val="885794131"/>
        <w:rPr>
          <w:rFonts w:ascii="Times" w:hAnsi="Times" w:cs="Times"/>
          <w:sz w:val="25"/>
          <w:szCs w:val="25"/>
        </w:rPr>
      </w:pPr>
      <w:r>
        <w:rPr>
          <w:rFonts w:ascii="Times" w:hAnsi="Times" w:cs="Times"/>
          <w:sz w:val="25"/>
          <w:szCs w:val="25"/>
        </w:rPr>
        <w:t>Zákon, ktorým sa mení a dopĺňa zákon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24394F" w:rsidP="0024394F">
            <w:pPr>
              <w:spacing w:after="0" w:line="240" w:lineRule="auto"/>
              <w:rPr>
                <w:rFonts w:ascii="Times New Roman" w:hAnsi="Times New Roman" w:cs="Calibri"/>
                <w:sz w:val="20"/>
                <w:szCs w:val="20"/>
              </w:rPr>
            </w:pPr>
            <w:r>
              <w:rPr>
                <w:rFonts w:ascii="Times" w:hAnsi="Times" w:cs="Times"/>
                <w:sz w:val="25"/>
                <w:szCs w:val="25"/>
              </w:rPr>
              <w:t>47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24394F" w:rsidP="0024394F">
            <w:pPr>
              <w:spacing w:after="0" w:line="240" w:lineRule="auto"/>
              <w:rPr>
                <w:rFonts w:ascii="Times New Roman" w:hAnsi="Times New Roman" w:cs="Calibri"/>
                <w:sz w:val="20"/>
                <w:szCs w:val="20"/>
              </w:rPr>
            </w:pPr>
            <w:r>
              <w:rPr>
                <w:rFonts w:ascii="Times" w:hAnsi="Times" w:cs="Times"/>
                <w:sz w:val="25"/>
                <w:szCs w:val="25"/>
              </w:rPr>
              <w:t>47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24394F" w:rsidP="0024394F">
            <w:pPr>
              <w:spacing w:after="0" w:line="240" w:lineRule="auto"/>
              <w:rPr>
                <w:rFonts w:ascii="Times New Roman" w:hAnsi="Times New Roman" w:cs="Calibri"/>
                <w:sz w:val="20"/>
                <w:szCs w:val="20"/>
              </w:rPr>
            </w:pPr>
            <w:r>
              <w:rPr>
                <w:rFonts w:ascii="Times" w:hAnsi="Times" w:cs="Times"/>
                <w:sz w:val="25"/>
                <w:szCs w:val="25"/>
              </w:rPr>
              <w:t>35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24394F" w:rsidP="0024394F">
            <w:pPr>
              <w:spacing w:after="0" w:line="240" w:lineRule="auto"/>
              <w:rPr>
                <w:rFonts w:ascii="Times New Roman" w:hAnsi="Times New Roman" w:cs="Calibri"/>
                <w:sz w:val="20"/>
                <w:szCs w:val="20"/>
              </w:rPr>
            </w:pPr>
            <w:r>
              <w:rPr>
                <w:rFonts w:ascii="Times" w:hAnsi="Times" w:cs="Times"/>
                <w:sz w:val="25"/>
                <w:szCs w:val="25"/>
              </w:rPr>
              <w:t>4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24394F" w:rsidP="0024394F">
            <w:pPr>
              <w:spacing w:after="0" w:line="240" w:lineRule="auto"/>
              <w:rPr>
                <w:rFonts w:ascii="Times New Roman" w:hAnsi="Times New Roman" w:cs="Calibri"/>
                <w:sz w:val="20"/>
                <w:szCs w:val="20"/>
              </w:rPr>
            </w:pPr>
            <w:r>
              <w:rPr>
                <w:rFonts w:ascii="Times" w:hAnsi="Times" w:cs="Times"/>
                <w:sz w:val="25"/>
                <w:szCs w:val="25"/>
              </w:rPr>
              <w:t>8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24394F" w:rsidRDefault="0024394F"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24394F">
        <w:trPr>
          <w:divId w:val="30817281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Vôbec nezaslali</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 xml:space="preserve">Ministerstvo investícií, regionálneho rozvoja a informatizácie Slovenskej </w:t>
            </w:r>
            <w:r>
              <w:rPr>
                <w:rFonts w:ascii="Times" w:hAnsi="Times" w:cs="Times"/>
                <w:sz w:val="25"/>
                <w:szCs w:val="25"/>
              </w:rPr>
              <w:lastRenderedPageBreak/>
              <w:t>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lastRenderedPageBreak/>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Slovenská komora audítorov</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Kancelária verejného ochrancu práv</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Slovenská asociácia podnikových finančníkov</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Asociácia obchodníkov s cennými papiermi</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Asociácia leasingových spoločností</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65.</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x</w:t>
            </w:r>
          </w:p>
        </w:tc>
      </w:tr>
      <w:tr w:rsidR="0024394F">
        <w:trPr>
          <w:divId w:val="308172816"/>
          <w:jc w:val="center"/>
        </w:trPr>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47 (45o,2z)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4394F" w:rsidRDefault="0024394F">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24394F" w:rsidRDefault="0024394F"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Spôsob vyhodnotenia</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čl. I novelizačný bod 6: § 2 - Základné pojmy písmena av) aw) ax) ay) az) ba) bb) bc) bd) be) bf) bg)</w:t>
            </w:r>
            <w:r>
              <w:rPr>
                <w:rFonts w:ascii="Times" w:hAnsi="Times" w:cs="Times"/>
                <w:sz w:val="25"/>
                <w:szCs w:val="25"/>
              </w:rPr>
              <w:br/>
              <w:t>Na základe predloženej novely sa zavádzajú nové inštitúty štátnej pomoci ako sú „kvalifikovaný refundovateľný daňový zápočet, nekvalifikovaný refundovateľný daňový zápočet“. Tieto inštitúty však nie sú definované v zákone č. 358/2015 Z. z. o úprave niektorých vzťahov v oblasti štátnej pomoci a minimálnej pomoci a o zmene a doplnení niektorých zákonov (ďalej len „zákon o štátnej pomoci“), a teda nie je možné ich v podmienkach Slovenskej republiky aplikovať. Navrhujme preto súčasne s novelizáciou zákona č. 507/2023 Z. z. novelizovať aj zákon o štátnej pomoci a dodefinovať spomenuté daňové zápočty a zabezpečiť tak ich uplatniteľnosť. Odôvodnenie: Úprava by mala za následok zjednotenie pojmov a rozšírenie možnosti čerpania štátnej pomoci aj pre podniky, na ktoré sú v pôsobnosti zákona č. 507/2023 Z. z. bez dopadu na prepadnutie poskytnutých daňových úľav a rozšíri možnosti čerpania štátnej pomoci a zosúladí ich s pravidlami platnými v iných štátoch EÚ, kde majú implementované pravidla podľa Smernice Rady (EÚ) 2022/2523 z 15. decembra 2022 o zabezpečení globálnej minimálnej úrovne zdanenia nadnárodných skupín podnikov a veľkých vnútroštátnych skupín v Únii.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Prijatím zákona č. 507/2023 Z. z. sa v SR podľa vzoru smernice Rady (EÚ) 2022/2523 transponovali pravidlá pre vnútroštátnu dorovnávaciu daň (DMTT). Úpravy v smernici, ktoré nie sú v právnom systéme SR vymedzené, neovplyvnia výpočet dorovnávacej dane v SR. Smernica nezasahuje do národných pravidiel pre poskytovanie štátnej pomoci a výpočtu dane z príjmov právnických osôb (zákon č. 595/2003 Z. z. o dani z príjmov). Keďže smernica vychádza z globálnych modelových pravidiel OECD (Pilier 2), národné pravidlá všetkých štátov, ktoré sa pripojili k tejto iniciatíve (vrátane členských štátov EÚ) sú predmetom posúdenia tzn. statusu kvalifikovanosti (QDMTT) a splnenia podmienok pre QDMTT bezpečný prístav. Ak legislatíva SR získa QDMTT bezpečný prístav, nadnárodná skupina nebude povinná vykonávať duplicitný výpočet dorovnávacej dane na úrovni </w:t>
            </w:r>
            <w:r>
              <w:rPr>
                <w:rFonts w:ascii="Times" w:hAnsi="Times" w:cs="Times"/>
                <w:sz w:val="25"/>
                <w:szCs w:val="25"/>
              </w:rPr>
              <w:lastRenderedPageBreak/>
              <w:t xml:space="preserve">materského subjektu v zahraničí. Uvedené pravidlo sa prijalo na úrovni OECD s cieľom zníženia administratívnej záťaže nadnárodných skupín pri uplatňovaní globálnych pravidiel minimálneho zdanenia. SR získa QDMTT bezpečný prístav (usmernenie OECD z júla 2023), ak splní požiadavky troch štandardov: 1. účtovný štandard, 2. štandard konzistentnosti a 3. administratívny štandard. Podmienkou štandardu konzistentnosti je, aby národné pravidlá obsahovali kompletné pravidlá minimálneho zdanenia vrátane tých, ktoré sa v SR aktuálne nevyužívajú, napr. pravidlá pre zohľadnenie rôznych typov daňových zápočtov (refundovateľné zápočty a zápočty prevoditeľné na iný subjekt).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čl. I novelizačný bod 50: § 5 - Oprávnený príjem alebo oprávnená strata a § 46a</w:t>
            </w:r>
            <w:r>
              <w:rPr>
                <w:rFonts w:ascii="Times" w:hAnsi="Times" w:cs="Times"/>
                <w:sz w:val="25"/>
                <w:szCs w:val="25"/>
              </w:rPr>
              <w:br/>
              <w:t xml:space="preserve">Novela zákona nerieši prechodné ustanovenie k platnosti a účinnosti § 5. Keďže do účinnosti novely je v platnosti pôvodný text zákona, implikuje to platnosť znenia § 5 zákona o dorovnávacej dani v znaní: „Oprávneným príjmom alebo oprávnenou stratou základného subjektu je zisk alebo strata </w:t>
            </w:r>
            <w:r>
              <w:rPr>
                <w:rFonts w:ascii="Times" w:hAnsi="Times" w:cs="Times"/>
                <w:sz w:val="25"/>
                <w:szCs w:val="25"/>
              </w:rPr>
              <w:lastRenderedPageBreak/>
              <w:t>základného subjektu za príslušné účtovné obdobie a) stanovené podľa účtovného štandardu použitého pri zostavovaní konsolidovanej účtovnej závierky hlavného materského subjektu pred konsolidačnými úpravami vylučujúcimi vnútroskupinové transakcie a upravené podľa § 6 až 15 alebo b) vykázané v individuálnej účtovnej závierke podľa osobitného predpisu 6) a upravené podľa § 6 až 15.“. Dochádza tak k nejasnosti uplatňovania zákona, keďže by mal platiť princíp zákazu retroaktivity, avšak chýba usmernenie, či nové znanie § 5 bude platiť všeobecne od účinnosti novely zákona (predpokladaná účinnosť od 31.12.2024) alebo až na účtovné obdobia začínajúce po účinnosti novely zákona o dorovnávacej dani. Navrhujeme preto v čl. I novelizačný bod 50 doplnenie § 46a - Prechodné ustanovenia k úpravám účinným od 31. decembra 2024 o nový odsek 4, ktorý znie: „(4) Prvým účtovným obdobím základných subjektov, ktoré patrili do rozsahu pôsobnosti tohto zákona v účtovnom období od 31 decembra 2023, sa na účely § 5 rozumie účtovné obdobie začínajúce od 31 decembra 2024.“. Odôvodnenie: Návrh pripomienky odstráni nejasnosti v uplatňovaní zákona pri výpočte oprávneného prímu alebo straty za účtovné obdobia začínajúce od 31.12.2023 do 30.12.2024, keďže podanie oznámenia s informáciami na určenie dorovnávacej dane a daňového priznania k dorovnávacej dani má lehotu až po predpokladanom dátume účinnosti navrhovanej novely.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čl. I novelizačný bod 9: § 5 - Oprávnený príjem alebo oprávnená strata</w:t>
            </w:r>
            <w:r>
              <w:rPr>
                <w:rFonts w:ascii="Times" w:hAnsi="Times" w:cs="Times"/>
                <w:sz w:val="25"/>
                <w:szCs w:val="25"/>
              </w:rPr>
              <w:br/>
            </w:r>
            <w:r>
              <w:rPr>
                <w:rFonts w:ascii="Times" w:hAnsi="Times" w:cs="Times"/>
                <w:sz w:val="25"/>
                <w:szCs w:val="25"/>
              </w:rPr>
              <w:lastRenderedPageBreak/>
              <w:t>Požadujeme ponechať text § 5 v pôvodnom znení ako pred navrhovanou novelizáciou, keďže dochádza k odstráneniu možnosti počítať oprávnený príjem alebo oprávnenú stratu na základe výsledku hospodárenia vykázanom podľa slovenských postupov účtovania. Z novelizovaného textu nie je jasné, čo znamená „Ak zisk alebo stratu základného subjektu z finančného účtovníctva nie je možné primerane určiť..“. Odôvodnenie: Ponechanie možnosti voľby výberu druhu finančného účtovníctva, ktoré sa použije na výpočet oprávneného príjmu alebo oprávnenej straty je zásadne z dôvodu zníženia administratívnej náročnosti hlavne spoločnosti skupiny, ktoré nie sú zahrnuté v konsolidovanej účtovnej závierke z dôvodu nevýznamnosti alebo to skupina môže požadovať z dôvodu decentralizácie funkcií a tým pádom nemožnosti získania potrebných dát z konsolidovanej účtovnej závierky aj za iné slovenské základné subjekty nadnárodnej skupiny. Použitie dát z účtovnej závierky zostavenej v súlade so slovenským zákonom o účtovníctve bola jedna zo zásadných pripomienok k návrhu zákona o dorovnávacej dani a navrhovanou novelizáciou sa táto pripomienka úplne ignoruje.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Prijatím zákona č. 507/2023 Z. z. sa v SR podľa vzoru smernice Rady (EÚ) </w:t>
            </w:r>
            <w:r>
              <w:rPr>
                <w:rFonts w:ascii="Times" w:hAnsi="Times" w:cs="Times"/>
                <w:sz w:val="25"/>
                <w:szCs w:val="25"/>
              </w:rPr>
              <w:lastRenderedPageBreak/>
              <w:t xml:space="preserve">2022/2523 transponovali pravidlá pre vnútroštátnu dorovnávaciu daň (DMTT). Keďže smernica vychádza z globálnych modelových pravidiel OECD (Pilier 2) národné pravidlá všetkých štátov, ktoré sa pripojili k tejto iniciatíve (vrátane členských štátov EÚ) sú predmetom posúdenia tzn. statusu kvalifikovanosti (QDMTT) a splnenia podmienok pre QDMTT bezpečný prístav. Ak legislatíva SR získa QDMTT bezpečný prístav, zníži sa administratívna záťaž nadnárodných skupín tým, že nebudú povinné vykonávať duplicitný výpočet dorovnávacej dane na úrovni materského subjektu v zahraničí. SR získa QDMTT bezpečný prístav (usmernenie OECD z júla 2023), ak splní požiadavky troch štandardov: 1. účtovný štandard, 2. štandard konzistentnosti a 3. administratívny štandard. Účtovný štandard stanovil, že národné pravidlá pre výpočet dorovnávacej dane nesmú poskytovať základným subjektom možnosť voľby medzi účtovným štandardom </w:t>
            </w:r>
            <w:r>
              <w:rPr>
                <w:rFonts w:ascii="Times" w:hAnsi="Times" w:cs="Times"/>
                <w:sz w:val="25"/>
                <w:szCs w:val="25"/>
              </w:rPr>
              <w:lastRenderedPageBreak/>
              <w:t xml:space="preserve">používaným pri zostavení konsolidovanej účtovnej závierky a národným účtovným štandardom. Na základe rozporového konania uskutočneného dňa 01. 08. 2024 bol rozpor k tejto pripomienke odstránený.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1. K čl. I bodu 1 [§ 2 písm. a)] – O:</w:t>
            </w:r>
            <w:r>
              <w:rPr>
                <w:rFonts w:ascii="Times" w:hAnsi="Times" w:cs="Times"/>
                <w:sz w:val="25"/>
                <w:szCs w:val="25"/>
              </w:rPr>
              <w:br/>
              <w:t>Z návrhu zákona ani z dôvodovej správy nie je zrejmé, prečo medzi orgánmi, na ktoré sa nemá vzťahovať definícia „subjektu“, nie sú uvedené aj iné štátne orgány, ktoré nie sú orgánmi štátnej správy alebo samosprávy, ako napríklad Generálna prokuratúra Slovenskej republiky, Najvyšší kontrolný úrad Slovenskej republiky, Kancelária Národnej rady Slovenskej republiky a podobne.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2. K čl. I bodu 4 [§ 2 písm. q)] – O:</w:t>
            </w:r>
            <w:r>
              <w:rPr>
                <w:rFonts w:ascii="Times" w:hAnsi="Times" w:cs="Times"/>
                <w:sz w:val="25"/>
                <w:szCs w:val="25"/>
              </w:rPr>
              <w:br/>
              <w:t>Znenie bodu 4 odporúčame upraviť podľa bodu 32.3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body 28 a 34</w:t>
            </w:r>
            <w:r>
              <w:rPr>
                <w:rFonts w:ascii="Times" w:hAnsi="Times" w:cs="Times"/>
                <w:sz w:val="25"/>
                <w:szCs w:val="25"/>
              </w:rPr>
              <w:br/>
              <w:t>10. V bodoch 28 a 34 odporúčame vypustiť slová „úvodnej vete“ pre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41</w:t>
            </w:r>
            <w:r>
              <w:rPr>
                <w:rFonts w:ascii="Times" w:hAnsi="Times" w:cs="Times"/>
                <w:sz w:val="25"/>
                <w:szCs w:val="25"/>
              </w:rPr>
              <w:br/>
              <w:t>11. V bode 41 odporúčame slová „7, 8 a 9“ nahradiť slovami „7 až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42</w:t>
            </w:r>
            <w:r>
              <w:rPr>
                <w:rFonts w:ascii="Times" w:hAnsi="Times" w:cs="Times"/>
                <w:sz w:val="25"/>
                <w:szCs w:val="25"/>
              </w:rPr>
              <w:br/>
              <w:t>12. V bode 42 v navrhovanom § 32a ods. 1 písm. e) odporúčame slová „sa zohľadni“ nahradiť slovami „sa zohľadní“.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42</w:t>
            </w:r>
            <w:r>
              <w:rPr>
                <w:rFonts w:ascii="Times" w:hAnsi="Times" w:cs="Times"/>
                <w:sz w:val="25"/>
                <w:szCs w:val="25"/>
              </w:rPr>
              <w:br/>
              <w:t>13. V bode 42 v navrhovanom § 32a ods. 2 písm. a)odporúčame slovo „dátume“ nahradiť slovom „dni“.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44</w:t>
            </w:r>
            <w:r>
              <w:rPr>
                <w:rFonts w:ascii="Times" w:hAnsi="Times" w:cs="Times"/>
                <w:sz w:val="25"/>
                <w:szCs w:val="25"/>
              </w:rPr>
              <w:br/>
              <w:t>14. V bode 44 slová „8, 12a, 12b, 29“ nahradiť slovami „§ 8, § 12a, § 12b, § 29“.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46</w:t>
            </w:r>
            <w:r>
              <w:rPr>
                <w:rFonts w:ascii="Times" w:hAnsi="Times" w:cs="Times"/>
                <w:sz w:val="25"/>
                <w:szCs w:val="25"/>
              </w:rPr>
              <w:br/>
              <w:t>15. V bode 46 odporúčame zohľadniť potrebu gramatickej úpravy textu po vložení predložky „po“ pred slová „30. novembra 2021“, t. j. text po úprave má znieť „po 30. novembri 2021“.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6.</w:t>
            </w:r>
            <w:r>
              <w:rPr>
                <w:rFonts w:ascii="Times" w:hAnsi="Times" w:cs="Times"/>
                <w:sz w:val="25"/>
                <w:szCs w:val="25"/>
              </w:rPr>
              <w:br/>
              <w:t>2. V bode 6 v navrhovanom § 2 písm. av), ax) a ay) pojem „imputačná daň“ nahradiť slovenským ekvivalentom a v prípade, ak taký pojem nie je, vysvetliť ho aspoň v dôvodovej správe.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 2 návrhu zákona priamo definuje kvalifikovanú imputačnú daň a nekvalifikovanú refundovateľnú imputačnú daň. Samostatný pojem „imputačná daň“ sa v zákone nepoužíva, a preto ho nie je potrebné definovať.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8</w:t>
            </w:r>
            <w:r>
              <w:rPr>
                <w:rFonts w:ascii="Times" w:hAnsi="Times" w:cs="Times"/>
                <w:sz w:val="25"/>
                <w:szCs w:val="25"/>
              </w:rPr>
              <w:br/>
              <w:t>3. V bode 8 v § 3 ods. 5 odporúčame vypustiť slovo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11</w:t>
            </w:r>
            <w:r>
              <w:rPr>
                <w:rFonts w:ascii="Times" w:hAnsi="Times" w:cs="Times"/>
                <w:sz w:val="25"/>
                <w:szCs w:val="25"/>
              </w:rPr>
              <w:br/>
              <w:t>4. V bode 11 odporúčame vypustiť slovo „záväzku“.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13</w:t>
            </w:r>
            <w:r>
              <w:rPr>
                <w:rFonts w:ascii="Times" w:hAnsi="Times" w:cs="Times"/>
                <w:sz w:val="25"/>
                <w:szCs w:val="25"/>
              </w:rPr>
              <w:br/>
              <w:t>5. V bode 13 v § 6 ods. 6 predvetí odporúčame slovo „vzniknuté“ nahradiť slovami „ktoré vznikli“.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Znenie § 6 ods. 6 vymedzuje úpravu v súvislosti s „vylúčeným ziskom alebo stratou vzniknutými v súvislosti s vlastníckom podielom“. Ide o pojem definovaný v § 6 ods. 2 písm. c).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14</w:t>
            </w:r>
            <w:r>
              <w:rPr>
                <w:rFonts w:ascii="Times" w:hAnsi="Times" w:cs="Times"/>
                <w:sz w:val="25"/>
                <w:szCs w:val="25"/>
              </w:rPr>
              <w:br/>
              <w:t>6. V bode 14 v navrhovanom § 6a ods. 6 odporúčame odstrániť okrúhlu zátvorku za číslicou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17</w:t>
            </w:r>
            <w:r>
              <w:rPr>
                <w:rFonts w:ascii="Times" w:hAnsi="Times" w:cs="Times"/>
                <w:sz w:val="25"/>
                <w:szCs w:val="25"/>
              </w:rPr>
              <w:br/>
              <w:t>7. V bode 17 v § 12a ods. 2 odporúčame slovo „vznikol“ nahradiť slovom „vznikne“, slová „nebola uplatnená“ slovami „sa neuplatňuje“ a použiť vhodnejší výraz namiesto slov „opciou“.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čiastočne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body 21 a 22</w:t>
            </w:r>
            <w:r>
              <w:rPr>
                <w:rFonts w:ascii="Times" w:hAnsi="Times" w:cs="Times"/>
                <w:sz w:val="25"/>
                <w:szCs w:val="25"/>
              </w:rPr>
              <w:br/>
              <w:t>8. Body 21 a 22 odporúčame spojiť do jedného novelizačného bodu, t. j. úvod textu v bode 21 formulovať takto: „21. V § 18 ods. 2 písm. a) a b) sa za slovami...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27</w:t>
            </w:r>
            <w:r>
              <w:rPr>
                <w:rFonts w:ascii="Times" w:hAnsi="Times" w:cs="Times"/>
                <w:sz w:val="25"/>
                <w:szCs w:val="25"/>
              </w:rPr>
              <w:br/>
              <w:t>9. V bode 27 v § 23 ods. 6 písm. b) odporúčame nahradiť čiarku na konci významovo správnou spojkou („a“ resp.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Vzhľadom na to, že ustanovenia písm. a) až c) môžu nastať súčasne a nezávisle od seba, navrhovaná úprava by zmenila význam tohto ustanovenia.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 2.</w:t>
            </w:r>
            <w:r>
              <w:rPr>
                <w:rFonts w:ascii="Times" w:hAnsi="Times" w:cs="Times"/>
                <w:sz w:val="25"/>
                <w:szCs w:val="25"/>
              </w:rPr>
              <w:br/>
              <w:t>V Čl. I odporúčame: 1. bod 2 časť novelizujúcu § 2 písm. r) tretí bod odčleniť do samostatného bodu a nasledujúce body primerane prečíslovať.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V nadväznosti na zmenu ustanovenia § 2 písm. r) je táto pripomienka nerelevantná.</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predkladateľovi doplniť do doložky vybraných vplyvov číslo PPK. Odôvodnenie: číslo PPK sa uvádza v časti 13.Stanovisko Komisie na posudzovanie vybraných vplyvov z PPK.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bodom 21 a 22</w:t>
            </w:r>
            <w:r>
              <w:rPr>
                <w:rFonts w:ascii="Times" w:hAnsi="Times" w:cs="Times"/>
                <w:sz w:val="25"/>
                <w:szCs w:val="25"/>
              </w:rPr>
              <w:br/>
              <w:t>Novelizačné body 21 a 22 odporúčame spojiť do jedného novelizačného bodu, vzhľadom na to, že ide o rovnakú úpravu.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bodom 6,14,23 a 27</w:t>
            </w:r>
            <w:r>
              <w:rPr>
                <w:rFonts w:ascii="Times" w:hAnsi="Times" w:cs="Times"/>
                <w:sz w:val="25"/>
                <w:szCs w:val="25"/>
              </w:rPr>
              <w:br/>
              <w:t>Odporúčame v bode 6 v § 2 písm. ax) bode 4 za slovami „vnútroštátnej skupiny“, za slovo „štáte“ (2x) a za slovo „regulovaný“ a písm. bi) za slovo „previedol“ vložiť čiarku, v bode 14 v § 6a ods. 7 za slovo „podiely“ vložiť čiarku, v bode 23 v § 18a ods. 2 za slovo „daní“ vložiť čiarku a v bode 27 v § 23 ods. 6 medzi slovo „prenájmu“ a odkaz 10a) vložiť čiarku.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čiastočne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I bodom 4, 7, 17, 37, 41 a 44</w:t>
            </w:r>
            <w:r>
              <w:rPr>
                <w:rFonts w:ascii="Times" w:hAnsi="Times" w:cs="Times"/>
                <w:sz w:val="25"/>
                <w:szCs w:val="25"/>
              </w:rPr>
              <w:br/>
              <w:t xml:space="preserve">V bode 4 odporúčame v úvodnej vete za slovo „vkladá“ vložiť slovo „nové“ v súlade s bodom 32.3. prílohy č. 1 k Legislatívnym pravidlám vlády Slovenskej republiky. V bode 7 odporúčame slovo „nahrádza“ nahradiť slovom „nahrádzajú“ a v </w:t>
            </w:r>
            <w:r>
              <w:rPr>
                <w:rFonts w:ascii="Times" w:hAnsi="Times" w:cs="Times"/>
                <w:sz w:val="25"/>
                <w:szCs w:val="25"/>
              </w:rPr>
              <w:lastRenderedPageBreak/>
              <w:t>bode 17 v § 12a ods. 2 a 3 slovo „prechádzajúcich“ nahradiť slovom „predchádzajúcich“. V bode 37 odporúčame v § 32 ods. 2 písm. c) vypustiť za číslom „3“ slovo „písm.“, vzhľadom nato, že ide o duplicitu. V bode 41 odporúčame slová „ods. 4, 5, 7, 8 a 9“ nahradiť slovami „ods. 4, 5 a 7 až 9“ a v bode 44 odporúčame slová „§ 6a, 8, 12a, 12b, 29 a 30“ nahradiť slovami „§ 6a, § 8, § 12a, § 12b, § 29 a 30“ v súlade s bodom 55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čiastočne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bodu 14: Odôvodnenie § 6b je potrebné doplniť do osobitnej časti dôvodovej správy. V § 6c ods. 1 na konci písmena b) odporúčame vypustiť pred spojkou „alebo“ čiarku. Odôvodnenie: Súlad s dôvodovou správou, podľa ktorej ide o tri podmienky a s bodom 5.2. prílohy č. 1 legislatívnych pravidiel vlády, kedy podmienky môžu, ale nemusia nastať spoločne.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čiastočne upravené na základe predloženej pripomienky. Odôvodnenie k §6b je už súčasťou dôvodovej správy.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vlastnému materiálu k čl. I bodu 29</w:t>
            </w:r>
            <w:r>
              <w:rPr>
                <w:rFonts w:ascii="Times" w:hAnsi="Times" w:cs="Times"/>
                <w:sz w:val="25"/>
                <w:szCs w:val="25"/>
              </w:rPr>
              <w:br/>
              <w:t>Odporúčame slovo „nahrádza“ nahradiť slovom „nahrádzajú“. Odôvodnenie: Formálna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Odporúčame zosúladiť s čl. 18 ods. 1 Legislatívnych pravidiel vlády SR. Odôvodnenie: Formálno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materiálu predloženému do MPK</w:t>
            </w:r>
            <w:r>
              <w:rPr>
                <w:rFonts w:ascii="Times" w:hAnsi="Times" w:cs="Times"/>
                <w:sz w:val="25"/>
                <w:szCs w:val="25"/>
              </w:rPr>
              <w:br/>
              <w:t xml:space="preserve">Dovoľujeme si upozorniť predkladateľa na skutočnosť, že v materiáli predloženom do medzirezortného pripomienkového konania sa nenachádzalo informatívne konsolidované znenie </w:t>
            </w:r>
            <w:r>
              <w:rPr>
                <w:rFonts w:ascii="Times" w:hAnsi="Times" w:cs="Times"/>
                <w:sz w:val="25"/>
                <w:szCs w:val="25"/>
              </w:rPr>
              <w:lastRenderedPageBreak/>
              <w:t>právneho predpisu, hoci ide o jeho novelizáciu. Odôvodnenie: Podľa § 7 ods. 1 písm. i) zákona č. 400/2015 Z. z. o tvorbe právnych predpisov a o Zbierke zákonov Slovenskej republiky a o zmene a doplnení niektorých zákonov v znení neskorších predpisov je obligatórnou obsahovou náležitosťou materiálu, ktorý sa predkladá do medzirezortného pripomienkového konania (ak ide o novelizáciu právneho predpisu), okrem paragrafového znenia aj informatívne konsolidované znenie, teda znenie právneho predpisu, v ktorom majú byť zapracované všetky jeho skoršie novelizácie vrátane aktuálne navrhovanej novelizácie.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Konsolidované znenie právneho predpisu sa doplnilo do medzirezortného pripomienkového konania.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1. Pri všetkých ustanoveniach, kde sa predkladateľ odvoláva na Daňové výzvy vyplývajúce z digitalizácie hospodárstva –komentár ku globálnym modelovým pravidlám proti narúšaniu základu dane (ďalej len komentár) a ostatné administratívne usmernenia žiadame uviesť aj konkrétny bod daného komentára / usmernenia, z ktorého vychádza obdobne ako to je uvedené v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V bode 3 písm. a) doložky zlučiteľnosti žiadame vypustiť slová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 xml:space="preserve">2. Pri preukazovaní transpozície čl. 3 ods. 18 smernice (EÚ) 2022/2523 žiadame v tabuľke zhody preukázať transpozíciu tohto článku v časti, že jurisdikcia štátu, neposkytuje žiadne </w:t>
            </w:r>
            <w:r>
              <w:rPr>
                <w:rFonts w:ascii="Times" w:hAnsi="Times" w:cs="Times"/>
                <w:sz w:val="25"/>
                <w:szCs w:val="25"/>
              </w:rPr>
              <w:lastRenderedPageBreak/>
              <w:t>výhody vo vzťahu k pravidlám, ktoré tvoria kvalifikované pravidlo zahrnutia príjmov ako aj skutočnosť, že tieto pravidlá spĺňajú podmienky uvedené v písm. a) a b) tohto článku.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Čl. 3 ods. 18 smernice sa transponoval do § 2 písm. bm) a bo). Definícia kvalifikovaného pravidla zahrnutia príjmov v písm. bo) obsahuje </w:t>
            </w:r>
            <w:r>
              <w:rPr>
                <w:rFonts w:ascii="Times" w:hAnsi="Times" w:cs="Times"/>
                <w:sz w:val="25"/>
                <w:szCs w:val="25"/>
              </w:rPr>
              <w:lastRenderedPageBreak/>
              <w:t xml:space="preserve">odvolávku na webové sídlo MF SR, tzn. zoznam štátov, ktoré majú zavedené pravidlá spĺňajúce všetky podmienky vymedzené v čl. 3 od. 18 smernice.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treťom bode písm. b) doložky zlučiteľnosti žiadame uviesť nariadenie Komisie (EÚ) 2023/1803 z 13. augusta 2023, ktorým sa v súlade s nariadením Európskeho parlamentu a Rady (ES) č. 1606/2002 prijímajú určité medzinárodné účtovné štandardy (Ú. v. EÚ L 237, 26.9.2023) v platnom znení vrátane jeho gestora. Uvedené nariadenie žiadame uviesť aj v doložke vybraných vplyvov v 1. bode.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3. Pri preukazovaní transpozície čl. 3 ods. 28 smernice (EÚ) 2022/2523 žiadame v tabuľke zhody preukázať transpozíciu tohto článku v časti, že jurisdikcia štátu, neposkytuje žiadne výhody vo vzťahu k pravidlám týkajúcim sa kvalifikovanej vnútroštátnej dorovnávacej dane ako aj skutočnosť, že táto kvalifikovaná vnútroštátna dorovnávacia daň spĺňa podmienky uvedené v písm. a) a b) tohto článku.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Čl. 3 ods. 28 smernice sa transponoval do § 2 písm. bq) a br). Definícia kvalifikovanej vnútroštátnej dorovnávacej dane v písm. br) obsahuje odvolávku na webové sídlo MF SR, tzn. zoznam štátov, ktoré majú zavedené pravidlá spĺňajúce všetky podmienky vymedzené v čl. 3 od. 28 smernice.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 xml:space="preserve">4. Pri preukazovaní transpozície čl. 3 ods. 43 smernice (EÚ) 2022/2523 žiadame v tabuľke zhody preukázať transpozíciu tohto článku v časti, že jurisdikcia štátu, neposkytuje žiadne </w:t>
            </w:r>
            <w:r>
              <w:rPr>
                <w:rFonts w:ascii="Times" w:hAnsi="Times" w:cs="Times"/>
                <w:sz w:val="25"/>
                <w:szCs w:val="25"/>
              </w:rPr>
              <w:lastRenderedPageBreak/>
              <w:t>výhody vo vzťahu k pravidlám, ktoré tvoria kvalifikované pravidlo pre nedostatočne zdanené zisky ako aj skutočnosť, že tieto pravidlá spĺňajú podmienky uvedené v písm. a) a b) tohto článku.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Čl. 3 ods. 43 smernice sa transponoval do § 2 písm. bo) a bp). Definícia kvalifikovaného pravidla pre nedostatočne zdanené zisky v písm. </w:t>
            </w:r>
            <w:r>
              <w:rPr>
                <w:rFonts w:ascii="Times" w:hAnsi="Times" w:cs="Times"/>
                <w:sz w:val="25"/>
                <w:szCs w:val="25"/>
              </w:rPr>
              <w:lastRenderedPageBreak/>
              <w:t xml:space="preserve">br) obsahuje odvolávku na webové sídlo MF SR, tzn. zoznam štátov, ktoré majú zavedené pravidlá spĺňajúce všetky podmienky vymedzené v čl. 3 ods. 43 smernice.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5. Pri preukazovaní transpozície čl. 15 ods. 1 a 2 smernice (EÚ) 2022/2523 žiadame predkladateľa vysvetliť, prečo v § 5 ods. 2 návrhu zákona sa dopĺňa podmienka pri schválenom štandarde finančného účtovníctva „po úprave o podstatné narušenie hospodárskej súťaže“ vzhľadom na to, že smernica takúto podmienku nevyžaduje.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Uvedené doplnenie vyplýva z komentára k článku 3.1.3 Modelových pravidiel OECD. Podľa recitálu č. 24 smernice sa ustanovenia smernice majú interpretovať v súlade s komentárom k Modelovým pravidlám OECD. Vysvetlenie doplnené do Tabuľky zhody.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6. Pri preukazovaní transpozície čl. 16 ods. 9 smernice (EÚ) 2022/2523 žiadame v tabuľke zhody preukázať transponovanie článku v časti „alebo aby sa v dôsledku takéhoto rozhodnutia alebo zrušenia neopomenuli,“ ako aj skutočnosť, že daný postup upravený v čl. 16 ods. 9 sa uplatňuje v prípade základných subjektov, ktoré sa nachádzajú v tej istej jurisdikcii.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Znenie upravené na základe predloženej pripomienky. Vysvetlenie doplnené do osobitnej časti dôvodovej správy.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7. Pri preukazovaní transpozície čl. 28 ods. 5 smernice (EÚ) 2022/2523 žiadame uviesť poznámku pod čiarou v stĺpci 6 tabuľky zhody a zároveň ju zosúladiť s poznámkou pod čiarou uvedenou v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8. Pri preukazovaní transpozície čl. 32 smernice (EÚ) 2022/2523 žiadame uviesť poznámku pod čiarou v stĺpci 6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9. Pri preukazovaní transpozície čl. 48 ods. 1 smernice (EÚ) 2022/2523 žiadame v druhom stĺpci tabuľky zhody uviesť text predmetného článku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K Čl. I bod 33: Navrhovaný § 30a ods. 6 je transpozičným ustanovením čl. 39 ods. smernice (EÚ) 2022/2523, podľa ktorého „patronátne dividendy vyplatené zo strany dodávateľského družstva považujú za podliehajúce dani na strane príjemcu, pokiaľ takéto dividendy znižujú odpočítateľný výdavok alebo náklad pri výpočte zdaniteľného príjmu alebo straty príjemcu“. Paragraf 30a ods. 6 návrhu zákona nepočíta so zdaniteľnou stratou príjemcu. Žiadame zosúladiť návrh zákona s predmetným ustanovením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K Čl. I bod 8: Navrhovaný § 3 ods. 4 je transpozičným ustanovením čl. 2 ods. 3 písm. b) smernice (EÚ) 2022/2523, podľa ktorého sa smernica nevzťahuje na subjekt, ktorého najmenej 95% jeho hodnoty vlastní priamo alebo prostredníctvom jedného alebo viacerých vylúčených subjektov jeden alebo viac subjektov uvedených v písmene a), s výnimkou subjektov dôchodkových služieb. Návrh zákona určuje v tomto prípade 100% vlastníctvo subjektu čo považujeme za nesprávnu </w:t>
            </w:r>
            <w:r>
              <w:rPr>
                <w:rFonts w:ascii="Times" w:hAnsi="Times" w:cs="Times"/>
                <w:sz w:val="25"/>
                <w:szCs w:val="25"/>
              </w:rPr>
              <w:lastRenderedPageBreak/>
              <w:t>transpozíciu. Žiadame predkladateľa dať návrh zákona do súladu s uvedeným ustanovením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 3 ods. 4 vymedzuje v súlade s usmernením OECD nové pravidlo pre posúdenie doplnkových činností 100% ných dcérskych spoločností neziskových organizácií podľa § 3 ods. 3 písm. b) druhého bodu. Uvedeným bodom sa v SR transponoval čl. 2 ods. 3 písm. b) bod ii) smernice. § 3 ods. 3 písm. b) sa </w:t>
            </w:r>
            <w:r>
              <w:rPr>
                <w:rFonts w:ascii="Times" w:hAnsi="Times" w:cs="Times"/>
                <w:sz w:val="25"/>
                <w:szCs w:val="25"/>
              </w:rPr>
              <w:lastRenderedPageBreak/>
              <w:t xml:space="preserve">vzťahuje na subjekt, ktorého najmenej 95 % hodnoty vlastní vylúčený subjekt podľa § 3 ods. 3 písm. a). Vylúčeným subjektom podľa § 3 ods. 3 písm. a) je aj nezisková organizácia. § 3 ods. 4 sa vzťahuje na 100%-né dcérske spoločnosti neziskových organizácii, tzn. podmienka vlastníctva najmenej 95% hodnoty je splnená.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V predkladacej správe a dôvodovej správe žiadame pri smernici (EÚ) 2022/2523 uviesť publikačný zdroj.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Znenie upravené na základe predloženej pripomienky.</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čl. I § §32 ods. ods. 2 písm. c)</w:t>
            </w:r>
            <w:r>
              <w:rPr>
                <w:rFonts w:ascii="Times" w:hAnsi="Times" w:cs="Times"/>
                <w:sz w:val="25"/>
                <w:szCs w:val="25"/>
              </w:rPr>
              <w:br/>
              <w:t>Do §32 sa dopĺňa nový odsek 2 písm. c), ktorý hovorí o úprave zisku alebo straty o odpise goodwillu z transakcie po novembri 2021. Interpretujeme uvedené správne, ak v prípade ak základný subjekt po novembri 2021 neúčtoval o goodwille , dané ustanovenie nemá vplyv na výpočet zjednodušenej dane podľa § 32 ods. 3 písm.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Áno, ods. 3 písm. c) sa vzťahuje len na situácie, kedy sa o goodwile účtovalo.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čl. I § §32b ods. odsek 2</w:t>
            </w:r>
            <w:r>
              <w:rPr>
                <w:rFonts w:ascii="Times" w:hAnsi="Times" w:cs="Times"/>
                <w:sz w:val="25"/>
                <w:szCs w:val="25"/>
              </w:rPr>
              <w:br/>
              <w:t xml:space="preserve">Do §32 sa doplňa nový odsek, ktorý pojednáva o „vykazovaní zmeny účtovnej hodnoty majetku a záväzkov z dôvodu nadobudnutia vlastníckych podielov základného subjektu“. Nie je jasné zo znenia, či sa myslí nadobudnutie vlastníckych podielov základným subjektom v iných dcérskych </w:t>
            </w:r>
            <w:r>
              <w:rPr>
                <w:rFonts w:ascii="Times" w:hAnsi="Times" w:cs="Times"/>
                <w:sz w:val="25"/>
                <w:szCs w:val="25"/>
              </w:rPr>
              <w:lastRenderedPageBreak/>
              <w:t>spoločnostiach alebo sa tým chápe vlastnícky podiel materského subjektu na základnom subjekte. Bolo by možné uviesť vzorový príklad prípadne spresniť znenie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 32 ods. 2 sa vzťahuje na zmenu účtovnej hodnoty majetku a záväzkov základného subjektu z dôvodu nadobudnutia jeho podielov (tzv. purchase price accounting adjusments). Dôvodom tejto úpravy </w:t>
            </w:r>
            <w:r>
              <w:rPr>
                <w:rFonts w:ascii="Times" w:hAnsi="Times" w:cs="Times"/>
                <w:sz w:val="25"/>
                <w:szCs w:val="25"/>
              </w:rPr>
              <w:lastRenderedPageBreak/>
              <w:t xml:space="preserve">je, že základné subjekty, ktoré si nemôžu uplatniť výnimku z výpočtu dorovnávacej dane podľa § 32, sú povinné pri vyčíslení oprávneného príjmu alebo oprávnenej straty postupovať podľa § 5 ods. 3 zákona, tzn. ak základný subjekt za príslušné účtovné obdobie zaúčtoval výnosy/náklady zo zmeny účtovnej hodnoty jeho majetku a záväzkov z dôvodu nadobudnutia jeho podielov, tieto výnosy a náklady sa pri výpočte jeho oprávneného príjmu alebo oprávnenej straty nezohľadňujú. § 32 ods. 2 vymedzuje, že ak sa vo finančných výkazoch základného subjektu používaných pri zostavení konsolidovanej účtovnej závierky alebo v individuálnej účtovnej závierke základného subjektu vykázali výnosy/náklady z dôvodu zmeny účtovnej hodnoty jeho majetku a záväzkov pri nadobudnutí jeho podielov, takéto finančné výkazy alebo individuálna účtovná závierka sa nepovažujú za kvalifikovanú účtovnú závierku s výnimkou prípadov, ak sú splnené podmienky </w:t>
            </w:r>
            <w:r>
              <w:rPr>
                <w:rFonts w:ascii="Times" w:hAnsi="Times" w:cs="Times"/>
                <w:sz w:val="25"/>
                <w:szCs w:val="25"/>
              </w:rPr>
              <w:lastRenderedPageBreak/>
              <w:t xml:space="preserve">uvedené v § 32 ods. 2 písm. a) až c).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čl. I § §32b</w:t>
            </w:r>
            <w:r>
              <w:rPr>
                <w:rFonts w:ascii="Times" w:hAnsi="Times" w:cs="Times"/>
                <w:sz w:val="25"/>
                <w:szCs w:val="25"/>
              </w:rPr>
              <w:br/>
              <w:t>Túto pripomienku uplatňujeme ako zásadnú: Prostredníctvom § 32b sa zavádzajú do zákona „výnimky z výpočtu dorovnávacej dane na základe zjednodušených výpočtov“ . Výnimka na základe zjednodušených výpočtov uvedená v § 32b ods. 1 písm. b) však odkazuje na výpočet dorovnávacej dane podľa plných pravidiel výpočtu. Navrhujeme, aby tvorca zákona poskytol vysvetlenie, že v čom spočíva zjednodušenie výpočtu § 32b ods.1 písm.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32b je potrebné interpretovať v spojení s § 32c. Ide o transpozíciu tzv. trvalého bezpečného prístavu podľa usmernenia OECD z decembra 2023 (kapitola 6). V prípade § 32b ods. 1 písm. b) môže podávajúci základný subjekt rozhodnúť, že pri výpočte efektívnej sadzby dane základných subjektov sa oprávnený príjem nevýznamného základného subjektu podľa § 32c ods. 1 bude rovnať celkovej sume jeho výnosov určenej na účely podania správy podľa jednotlivých štátov (CbCR) a suma upravených zahrnutých daní nevýznamného základného subjektu sa bude rovnať sume splatnej dane z príjmov určenej na účely podania správy podľa jednotlivých štátov (CbCR). Oprávnený príjem alebo oprávnená strata a suma upravených zahrnutých daní ostatných základných subjektov sa vypočíta podľa druhej až tretej časti tohto zákona. Príklad výpočtu uvedený v dôvodovej správe.</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čl. I § §32b</w:t>
            </w:r>
            <w:r>
              <w:rPr>
                <w:rFonts w:ascii="Times" w:hAnsi="Times" w:cs="Times"/>
                <w:sz w:val="25"/>
                <w:szCs w:val="25"/>
              </w:rPr>
              <w:br/>
              <w:t>Túto pripomienku uplatňujeme ako zásadnú: Prostredníctvom § 32b sa zavádzajú do zákona „výnimky z výpočtu dorovnávacej dane na základe zjednodušených výpočtov“ . Výnimka navrhovaná v § 32b ods. 1 už bola v zákone prijatá v § 31 ods. 1 . Pokiaľ nejde o tú istú výnimku, navrhujeme legislatívne spresnenie kvôli duplicite prípadne objasnenie účelu zavedenia § 32b ods. 1 písm.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 32b je potrebné interpretovať v spojení s § 32c. Rozdiel medzi § 31 a § 32b spočíva v tom, že pri uplatnení § 32b ods. 1 písm. a) sa podávajúci základný subjekt môže rozhodnúť, že suma oprávneného príjmu a suma oprávnených výnosov nevýznamného základného subjektu podľa § 32c ods. 1 písm. a) sa rovnajú celkovej sume jeho výnosov určenej na účely podania správy podľa jednotlivých štátov (CbCR). </w:t>
            </w:r>
          </w:p>
        </w:tc>
      </w:tr>
      <w:tr w:rsidR="0024394F">
        <w:trPr>
          <w:divId w:val="83580754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rPr>
                <w:rFonts w:ascii="Times" w:hAnsi="Times" w:cs="Times"/>
                <w:sz w:val="25"/>
                <w:szCs w:val="25"/>
              </w:rPr>
            </w:pPr>
            <w:r>
              <w:rPr>
                <w:rFonts w:ascii="Times" w:hAnsi="Times" w:cs="Times"/>
                <w:b/>
                <w:bCs/>
                <w:sz w:val="25"/>
                <w:szCs w:val="25"/>
              </w:rPr>
              <w:t>Čl. čl. I § §32b</w:t>
            </w:r>
            <w:r>
              <w:rPr>
                <w:rFonts w:ascii="Times" w:hAnsi="Times" w:cs="Times"/>
                <w:sz w:val="25"/>
                <w:szCs w:val="25"/>
              </w:rPr>
              <w:br/>
              <w:t>Túto pripomienku uplatňujeme ako zásadnú: Prostredníctvom § 32b sa zavádzajú do zákona „výnimky z výpočtu dorovnávacej dane na základe zjednodušených výpočtov“ . Zjednodušeným výpočtom je aj výpočet podľa §32, ktorý v § 32b uvedený nie je. Má táto skutočnosť nejaký dopad na možnosť použitia zjednodušeného výpočtu vyplývajúceho z § 32? konkrétne z § 32 ods. 3 písm. b) ? Naša žiadosť o vysvetlenie (otázka) vyplýva z možného uplatnenia tohto ustanovenia v praxi.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4394F" w:rsidRDefault="0024394F" w:rsidP="005D0968">
            <w:pPr>
              <w:jc w:val="both"/>
              <w:rPr>
                <w:rFonts w:ascii="Times" w:hAnsi="Times" w:cs="Times"/>
                <w:sz w:val="25"/>
                <w:szCs w:val="25"/>
              </w:rPr>
            </w:pPr>
            <w:r>
              <w:rPr>
                <w:rFonts w:ascii="Times" w:hAnsi="Times" w:cs="Times"/>
                <w:sz w:val="25"/>
                <w:szCs w:val="25"/>
              </w:rPr>
              <w:t xml:space="preserve">Nový § 32b a § 32c neovplyvňujú uplatnenie § 32. Uvedené paragrafy sa uplatňujú samostatne. V prípade § 32b a § 32c ide o transpozíciu tzv. trvalého bezpečného prístavu podľa usmernenia OECD z decembra 2023 (kapitola 6). § 32 predstavuje transpozíciu tzv. dočasného bezpečného prístavu podľa usmernenia OECD z decembra 2022 (kapitola 1), tzn. § 32 sa môže uplatniť len na účtovné obdobia začínajúce od 31.12.2023 do 31.12.2026 a na účtovné obdobia končiace najneskôr 30.6.2028 (§ 46 </w:t>
            </w:r>
            <w:r>
              <w:rPr>
                <w:rFonts w:ascii="Times" w:hAnsi="Times" w:cs="Times"/>
                <w:sz w:val="25"/>
                <w:szCs w:val="25"/>
              </w:rPr>
              <w:lastRenderedPageBreak/>
              <w:t xml:space="preserve">ods. 3). </w:t>
            </w:r>
            <w:bookmarkStart w:id="0" w:name="_GoBack"/>
            <w:bookmarkEnd w:id="0"/>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4394F"/>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D0968"/>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2816">
      <w:bodyDiv w:val="1"/>
      <w:marLeft w:val="0"/>
      <w:marRight w:val="0"/>
      <w:marTop w:val="0"/>
      <w:marBottom w:val="0"/>
      <w:divBdr>
        <w:top w:val="none" w:sz="0" w:space="0" w:color="auto"/>
        <w:left w:val="none" w:sz="0" w:space="0" w:color="auto"/>
        <w:bottom w:val="none" w:sz="0" w:space="0" w:color="auto"/>
        <w:right w:val="none" w:sz="0" w:space="0" w:color="auto"/>
      </w:divBdr>
    </w:div>
    <w:div w:id="504630914">
      <w:bodyDiv w:val="1"/>
      <w:marLeft w:val="0"/>
      <w:marRight w:val="0"/>
      <w:marTop w:val="0"/>
      <w:marBottom w:val="0"/>
      <w:divBdr>
        <w:top w:val="none" w:sz="0" w:space="0" w:color="auto"/>
        <w:left w:val="none" w:sz="0" w:space="0" w:color="auto"/>
        <w:bottom w:val="none" w:sz="0" w:space="0" w:color="auto"/>
        <w:right w:val="none" w:sz="0" w:space="0" w:color="auto"/>
      </w:divBdr>
    </w:div>
    <w:div w:id="673454598">
      <w:bodyDiv w:val="1"/>
      <w:marLeft w:val="0"/>
      <w:marRight w:val="0"/>
      <w:marTop w:val="0"/>
      <w:marBottom w:val="0"/>
      <w:divBdr>
        <w:top w:val="none" w:sz="0" w:space="0" w:color="auto"/>
        <w:left w:val="none" w:sz="0" w:space="0" w:color="auto"/>
        <w:bottom w:val="none" w:sz="0" w:space="0" w:color="auto"/>
        <w:right w:val="none" w:sz="0" w:space="0" w:color="auto"/>
      </w:divBdr>
    </w:div>
    <w:div w:id="835807545">
      <w:bodyDiv w:val="1"/>
      <w:marLeft w:val="0"/>
      <w:marRight w:val="0"/>
      <w:marTop w:val="0"/>
      <w:marBottom w:val="0"/>
      <w:divBdr>
        <w:top w:val="none" w:sz="0" w:space="0" w:color="auto"/>
        <w:left w:val="none" w:sz="0" w:space="0" w:color="auto"/>
        <w:bottom w:val="none" w:sz="0" w:space="0" w:color="auto"/>
        <w:right w:val="none" w:sz="0" w:space="0" w:color="auto"/>
      </w:divBdr>
    </w:div>
    <w:div w:id="885794131">
      <w:bodyDiv w:val="1"/>
      <w:marLeft w:val="0"/>
      <w:marRight w:val="0"/>
      <w:marTop w:val="0"/>
      <w:marBottom w:val="0"/>
      <w:divBdr>
        <w:top w:val="none" w:sz="0" w:space="0" w:color="auto"/>
        <w:left w:val="none" w:sz="0" w:space="0" w:color="auto"/>
        <w:bottom w:val="none" w:sz="0" w:space="0" w:color="auto"/>
        <w:right w:val="none" w:sz="0" w:space="0" w:color="auto"/>
      </w:divBdr>
    </w:div>
    <w:div w:id="1568956202">
      <w:bodyDiv w:val="1"/>
      <w:marLeft w:val="0"/>
      <w:marRight w:val="0"/>
      <w:marTop w:val="0"/>
      <w:marBottom w:val="0"/>
      <w:divBdr>
        <w:top w:val="none" w:sz="0" w:space="0" w:color="auto"/>
        <w:left w:val="none" w:sz="0" w:space="0" w:color="auto"/>
        <w:bottom w:val="none" w:sz="0" w:space="0" w:color="auto"/>
        <w:right w:val="none" w:sz="0" w:space="0" w:color="auto"/>
      </w:divBdr>
    </w:div>
    <w:div w:id="1653950549">
      <w:bodyDiv w:val="1"/>
      <w:marLeft w:val="0"/>
      <w:marRight w:val="0"/>
      <w:marTop w:val="0"/>
      <w:marBottom w:val="0"/>
      <w:divBdr>
        <w:top w:val="none" w:sz="0" w:space="0" w:color="auto"/>
        <w:left w:val="none" w:sz="0" w:space="0" w:color="auto"/>
        <w:bottom w:val="none" w:sz="0" w:space="0" w:color="auto"/>
        <w:right w:val="none" w:sz="0" w:space="0" w:color="auto"/>
      </w:divBdr>
    </w:div>
    <w:div w:id="207350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9.8.2024 10:17:49"/>
    <f:field ref="objchangedby" par="" text="Administrator, System"/>
    <f:field ref="objmodifiedat" par="" text="9.8.2024 10:17:5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4872</Words>
  <Characters>27777</Characters>
  <Application>Microsoft Office Word</Application>
  <DocSecurity>0</DocSecurity>
  <Lines>231</Lines>
  <Paragraphs>65</Paragraphs>
  <ScaleCrop>false</ScaleCrop>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2024-08-09T08:17:00Z</dcterms:created>
  <dcterms:modified xsi:type="dcterms:W3CDTF">2024-08-09T09:05:00Z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Daňové právo_x000d_
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Katarína Ridošová</vt:lpwstr>
  </property>
  <property fmtid="{D5CDD505-2E9C-101B-9397-08002B2CF9AE}" pid="11" name="FSC#SKEDITIONSLOVLEX@103.510:zodppredkladatel">
    <vt:lpwstr>Ing. Ladislav Kamenický</vt:lpwstr>
  </property>
  <property fmtid="{D5CDD505-2E9C-101B-9397-08002B2CF9AE}" pid="12" name="FSC#SKEDITIONSLOVLEX@103.510:dalsipredkladatel">
    <vt:lpwstr/>
  </property>
  <property fmtid="{D5CDD505-2E9C-101B-9397-08002B2CF9AE}" pid="13" name="FSC#SKEDITIONSLOVLEX@103.510:nazovpredpis">
    <vt:lpwstr>, ktorým sa mení a dopĺňa zákon č. 507/2023 Z. z o dorovnávacej dani na zabezpečenie minimálnej úrovne zdanenia nadnárodných skupín podnikov a veľkých vnútroštátnych skupín a o doplnení zákona č. 563/2009 Z. z. o správe daní (daňový poriadok) a o zmene a</vt:lpwstr>
  </property>
  <property fmtid="{D5CDD505-2E9C-101B-9397-08002B2CF9AE}" pid="14" name="FSC#SKEDITIONSLOVLEX@103.510:nazovpredpis1">
    <vt:lpwstr> doplnení niektorých zákonov v znení neskorších predpisov</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0" name="FSC#SKEDITIONSLOVLEX@103.510:autorpredpis">
    <vt:lpwstr/>
  </property>
  <property fmtid="{D5CDD505-2E9C-101B-9397-08002B2CF9AE}" pid="21" name="FSC#SKEDITIONSLOVLEX@103.510:podnetpredpis">
    <vt:lpwstr>Iniciatívny návrh  </vt:lpwstr>
  </property>
  <property fmtid="{D5CDD505-2E9C-101B-9397-08002B2CF9AE}" pid="22" name="FSC#SKEDITIONSLOVLEX@103.510:plnynazovpredpis">
    <vt:lpwstr> Zákon, ktorým sa mení a dopĺňa zákon č. 507/2023 Z. z o dorovnávacej dani na zabezpečenie minimálnej úrovne zdanenia nadnárodných skupín podnikov a veľkých vnútroštátnych skupín a o doplnení zákona č. 563/2009 Z. z. o správe daní (daňový poriadok) a o zm</vt:lpwstr>
  </property>
  <property fmtid="{D5CDD505-2E9C-101B-9397-08002B2CF9AE}" pid="23" name="FSC#SKEDITIONSLOVLEX@103.510:plnynazovpredpis1">
    <vt:lpwstr>ene a doplnení niektorých zákonov v znení neskorších predpisov</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MF/006082/2024-724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LP/2024/355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financií</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financií</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Ladislav Kamenický_x000d_
minister financií</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COO.2145.1000.3.6305336</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9. 8. 2024</vt:lpwstr>
  </property>
</Properties>
</file>