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CA2" w:rsidRPr="00217CA8" w:rsidRDefault="00065CA2" w:rsidP="000D3012">
      <w:pPr>
        <w:pStyle w:val="Nzov"/>
      </w:pPr>
      <w:r w:rsidRPr="00217CA8">
        <w:t>DOLOŽKA  ZLUČITEĽNOSTI</w:t>
      </w:r>
    </w:p>
    <w:p w:rsidR="000D3012" w:rsidRPr="00217CA8" w:rsidRDefault="003068C7" w:rsidP="000D3012">
      <w:pPr>
        <w:pStyle w:val="Nzov"/>
      </w:pPr>
      <w:r w:rsidRPr="00217CA8">
        <w:t>návrhu zákona</w:t>
      </w:r>
      <w:r w:rsidR="000D3012" w:rsidRPr="00217CA8">
        <w:t xml:space="preserve"> s právom Európskej únie</w:t>
      </w:r>
    </w:p>
    <w:p w:rsidR="00065CA2" w:rsidRPr="00217CA8" w:rsidRDefault="007B4057" w:rsidP="00065CA2">
      <w:pPr>
        <w:pStyle w:val="Zkladntext0"/>
        <w:tabs>
          <w:tab w:val="left" w:pos="284"/>
        </w:tabs>
        <w:spacing w:before="120"/>
        <w:rPr>
          <w:b/>
          <w:bCs/>
          <w:color w:val="auto"/>
          <w:sz w:val="24"/>
          <w:szCs w:val="24"/>
        </w:rPr>
      </w:pPr>
      <w:r w:rsidRPr="00217CA8">
        <w:rPr>
          <w:b/>
          <w:bCs/>
          <w:color w:val="auto"/>
          <w:sz w:val="24"/>
          <w:szCs w:val="24"/>
        </w:rPr>
        <w:t>1.</w:t>
      </w:r>
      <w:r w:rsidRPr="00217CA8">
        <w:rPr>
          <w:b/>
          <w:bCs/>
          <w:color w:val="auto"/>
          <w:sz w:val="24"/>
          <w:szCs w:val="24"/>
        </w:rPr>
        <w:tab/>
        <w:t>Navrhov</w:t>
      </w:r>
      <w:r w:rsidR="00065CA2" w:rsidRPr="00217CA8">
        <w:rPr>
          <w:b/>
          <w:bCs/>
          <w:color w:val="auto"/>
          <w:sz w:val="24"/>
          <w:szCs w:val="24"/>
        </w:rPr>
        <w:t xml:space="preserve">ateľ zákona: </w:t>
      </w:r>
    </w:p>
    <w:p w:rsidR="00065CA2" w:rsidRPr="00217CA8" w:rsidRDefault="003151DF" w:rsidP="00065CA2">
      <w:pPr>
        <w:pStyle w:val="Zkladntext0"/>
        <w:spacing w:before="120"/>
        <w:ind w:left="284"/>
        <w:jc w:val="both"/>
        <w:rPr>
          <w:color w:val="auto"/>
          <w:sz w:val="24"/>
          <w:szCs w:val="24"/>
        </w:rPr>
      </w:pPr>
      <w:r w:rsidRPr="00071DA5">
        <w:rPr>
          <w:color w:val="auto"/>
          <w:sz w:val="24"/>
          <w:szCs w:val="24"/>
        </w:rPr>
        <w:t>Vláda</w:t>
      </w:r>
      <w:r w:rsidR="0007442C" w:rsidRPr="0007442C">
        <w:rPr>
          <w:color w:val="auto"/>
          <w:sz w:val="24"/>
          <w:szCs w:val="24"/>
        </w:rPr>
        <w:t xml:space="preserve"> Slovenskej republiky.</w:t>
      </w:r>
    </w:p>
    <w:p w:rsidR="00065CA2" w:rsidRPr="00217CA8" w:rsidRDefault="00065CA2" w:rsidP="00065CA2">
      <w:pPr>
        <w:pStyle w:val="Zkladntext0"/>
        <w:numPr>
          <w:ilvl w:val="0"/>
          <w:numId w:val="2"/>
        </w:numPr>
        <w:tabs>
          <w:tab w:val="clear" w:pos="360"/>
          <w:tab w:val="left" w:pos="284"/>
        </w:tabs>
        <w:spacing w:before="120" w:after="120"/>
        <w:ind w:left="0" w:firstLine="0"/>
        <w:jc w:val="both"/>
        <w:rPr>
          <w:b/>
          <w:bCs/>
          <w:color w:val="auto"/>
          <w:sz w:val="24"/>
          <w:szCs w:val="24"/>
        </w:rPr>
      </w:pPr>
      <w:r w:rsidRPr="00217CA8">
        <w:rPr>
          <w:b/>
          <w:bCs/>
          <w:color w:val="auto"/>
          <w:sz w:val="24"/>
          <w:szCs w:val="24"/>
        </w:rPr>
        <w:t xml:space="preserve">Názov návrhu zákona: </w:t>
      </w:r>
    </w:p>
    <w:p w:rsidR="00065CA2" w:rsidRPr="00217CA8" w:rsidRDefault="00065CA2" w:rsidP="00065CA2">
      <w:pPr>
        <w:pStyle w:val="Zkladntext1"/>
        <w:ind w:left="284"/>
        <w:jc w:val="both"/>
        <w:rPr>
          <w:b/>
          <w:color w:val="auto"/>
          <w:sz w:val="24"/>
          <w:szCs w:val="24"/>
          <w:lang w:val="sk-SK"/>
        </w:rPr>
      </w:pPr>
      <w:r w:rsidRPr="00217CA8">
        <w:rPr>
          <w:color w:val="auto"/>
          <w:sz w:val="24"/>
          <w:szCs w:val="24"/>
          <w:lang w:val="sk-SK"/>
        </w:rPr>
        <w:t>Návrh zákona, ktorým sa mení a dopĺňa zákon č. 106/2004 Z. z. o spotrebnej dani z tabakových výrobkov v znení neskorších predpisov</w:t>
      </w:r>
      <w:r w:rsidRPr="00217CA8">
        <w:rPr>
          <w:bCs/>
          <w:color w:val="auto"/>
          <w:sz w:val="24"/>
          <w:szCs w:val="24"/>
          <w:lang w:val="sk-SK"/>
        </w:rPr>
        <w:t>.</w:t>
      </w:r>
    </w:p>
    <w:p w:rsidR="00065CA2" w:rsidRPr="00217CA8" w:rsidRDefault="00065CA2" w:rsidP="00E876D9">
      <w:pPr>
        <w:pStyle w:val="Zkladntext0"/>
        <w:numPr>
          <w:ilvl w:val="0"/>
          <w:numId w:val="2"/>
        </w:numPr>
        <w:tabs>
          <w:tab w:val="clear" w:pos="360"/>
          <w:tab w:val="left" w:pos="284"/>
        </w:tabs>
        <w:spacing w:before="120" w:after="120"/>
        <w:ind w:left="0" w:firstLine="0"/>
        <w:jc w:val="both"/>
        <w:rPr>
          <w:b/>
          <w:bCs/>
          <w:color w:val="auto"/>
          <w:sz w:val="24"/>
          <w:szCs w:val="24"/>
        </w:rPr>
      </w:pPr>
      <w:r w:rsidRPr="00217CA8">
        <w:rPr>
          <w:b/>
          <w:bCs/>
          <w:color w:val="auto"/>
          <w:sz w:val="24"/>
          <w:szCs w:val="24"/>
        </w:rPr>
        <w:t>Pr</w:t>
      </w:r>
      <w:r w:rsidR="00E876D9" w:rsidRPr="00217CA8">
        <w:rPr>
          <w:b/>
          <w:bCs/>
          <w:color w:val="auto"/>
          <w:sz w:val="24"/>
          <w:szCs w:val="24"/>
        </w:rPr>
        <w:t xml:space="preserve">edmet návrhu zákona </w:t>
      </w:r>
      <w:r w:rsidRPr="00217CA8">
        <w:rPr>
          <w:b/>
          <w:color w:val="auto"/>
          <w:sz w:val="24"/>
          <w:szCs w:val="24"/>
        </w:rPr>
        <w:t>je upraven</w:t>
      </w:r>
      <w:r w:rsidR="00E876D9" w:rsidRPr="00217CA8">
        <w:rPr>
          <w:b/>
          <w:color w:val="auto"/>
          <w:sz w:val="24"/>
          <w:szCs w:val="24"/>
        </w:rPr>
        <w:t>ý</w:t>
      </w:r>
      <w:r w:rsidRPr="00217CA8">
        <w:rPr>
          <w:b/>
          <w:color w:val="auto"/>
          <w:sz w:val="24"/>
          <w:szCs w:val="24"/>
        </w:rPr>
        <w:t xml:space="preserve"> v práve Európskej únie:</w:t>
      </w:r>
    </w:p>
    <w:p w:rsidR="00065CA2" w:rsidRPr="00217CA8" w:rsidRDefault="00065CA2" w:rsidP="00E876D9">
      <w:pPr>
        <w:pStyle w:val="Zkladntext0"/>
        <w:numPr>
          <w:ilvl w:val="0"/>
          <w:numId w:val="6"/>
        </w:numPr>
        <w:spacing w:after="120"/>
        <w:rPr>
          <w:b/>
          <w:color w:val="auto"/>
          <w:sz w:val="24"/>
          <w:szCs w:val="24"/>
        </w:rPr>
      </w:pPr>
      <w:r w:rsidRPr="00217CA8">
        <w:rPr>
          <w:b/>
          <w:color w:val="auto"/>
          <w:sz w:val="24"/>
          <w:szCs w:val="24"/>
        </w:rPr>
        <w:t>Primárne právo:</w:t>
      </w:r>
    </w:p>
    <w:p w:rsidR="00065CA2" w:rsidRPr="00217CA8" w:rsidRDefault="00065CA2" w:rsidP="00E876D9">
      <w:pPr>
        <w:pStyle w:val="Zkladntext0"/>
        <w:numPr>
          <w:ilvl w:val="0"/>
          <w:numId w:val="1"/>
        </w:numPr>
        <w:spacing w:after="120"/>
        <w:ind w:left="658" w:hanging="357"/>
        <w:jc w:val="both"/>
        <w:rPr>
          <w:color w:val="auto"/>
          <w:sz w:val="24"/>
          <w:szCs w:val="24"/>
        </w:rPr>
      </w:pPr>
      <w:r w:rsidRPr="00217CA8">
        <w:rPr>
          <w:color w:val="auto"/>
          <w:sz w:val="24"/>
          <w:szCs w:val="24"/>
        </w:rPr>
        <w:t>čl. 106, 110 až 113 a čl. 355 Zmluvy o fungovaní Európskej únie</w:t>
      </w:r>
      <w:r w:rsidR="00E876D9" w:rsidRPr="00217CA8">
        <w:rPr>
          <w:color w:val="auto"/>
          <w:sz w:val="24"/>
          <w:szCs w:val="24"/>
        </w:rPr>
        <w:t xml:space="preserve"> (</w:t>
      </w:r>
      <w:r w:rsidR="00E876D9" w:rsidRPr="00217CA8">
        <w:rPr>
          <w:rStyle w:val="awspan1"/>
          <w:color w:val="auto"/>
        </w:rPr>
        <w:t>Ú. v. EÚ C 202, 7.6.2016) v platnom znení</w:t>
      </w:r>
      <w:r w:rsidRPr="00217CA8">
        <w:rPr>
          <w:color w:val="auto"/>
          <w:sz w:val="24"/>
          <w:szCs w:val="24"/>
        </w:rPr>
        <w:t xml:space="preserve">, </w:t>
      </w:r>
    </w:p>
    <w:p w:rsidR="00065CA2" w:rsidRPr="00217CA8" w:rsidRDefault="00065CA2" w:rsidP="00E876D9">
      <w:pPr>
        <w:pStyle w:val="Zkladntext0"/>
        <w:numPr>
          <w:ilvl w:val="0"/>
          <w:numId w:val="1"/>
        </w:numPr>
        <w:spacing w:after="120"/>
        <w:rPr>
          <w:color w:val="auto"/>
          <w:sz w:val="24"/>
          <w:szCs w:val="24"/>
        </w:rPr>
      </w:pPr>
      <w:r w:rsidRPr="00217CA8">
        <w:rPr>
          <w:color w:val="auto"/>
          <w:sz w:val="24"/>
          <w:szCs w:val="24"/>
        </w:rPr>
        <w:t>čl. 52 Zmluvy o Európskej únii</w:t>
      </w:r>
      <w:r w:rsidR="00CB5C8F" w:rsidRPr="00217CA8">
        <w:rPr>
          <w:color w:val="auto"/>
          <w:sz w:val="24"/>
          <w:szCs w:val="24"/>
        </w:rPr>
        <w:t xml:space="preserve"> (</w:t>
      </w:r>
      <w:r w:rsidR="00CB5C8F" w:rsidRPr="00217CA8">
        <w:rPr>
          <w:rStyle w:val="awspan1"/>
          <w:color w:val="auto"/>
        </w:rPr>
        <w:t>Ú. v. EÚ C 202, 7.6.2016) v p</w:t>
      </w:r>
      <w:bookmarkStart w:id="0" w:name="_GoBack"/>
      <w:bookmarkEnd w:id="0"/>
      <w:r w:rsidR="00CB5C8F" w:rsidRPr="00217CA8">
        <w:rPr>
          <w:rStyle w:val="awspan1"/>
          <w:color w:val="auto"/>
        </w:rPr>
        <w:t>latnom znení</w:t>
      </w:r>
      <w:r w:rsidRPr="00217CA8">
        <w:rPr>
          <w:color w:val="auto"/>
          <w:sz w:val="24"/>
          <w:szCs w:val="24"/>
        </w:rPr>
        <w:t>.</w:t>
      </w:r>
    </w:p>
    <w:p w:rsidR="00065CA2" w:rsidRPr="00217CA8" w:rsidRDefault="00065CA2" w:rsidP="00E876D9">
      <w:pPr>
        <w:pStyle w:val="Zarkazkladnhotextu"/>
        <w:numPr>
          <w:ilvl w:val="0"/>
          <w:numId w:val="6"/>
        </w:numPr>
        <w:jc w:val="both"/>
      </w:pPr>
      <w:r w:rsidRPr="00217CA8">
        <w:rPr>
          <w:b/>
          <w:bCs/>
          <w:iCs/>
        </w:rPr>
        <w:t>Sekundárne právo</w:t>
      </w:r>
      <w:r w:rsidR="00E876D9" w:rsidRPr="00217CA8">
        <w:rPr>
          <w:b/>
          <w:bCs/>
          <w:iCs/>
        </w:rPr>
        <w:t>:</w:t>
      </w:r>
    </w:p>
    <w:p w:rsidR="00E876D9" w:rsidRPr="00217CA8" w:rsidRDefault="00E876D9" w:rsidP="00E876D9">
      <w:pPr>
        <w:numPr>
          <w:ilvl w:val="0"/>
          <w:numId w:val="1"/>
        </w:numPr>
        <w:spacing w:before="120" w:after="120" w:line="240" w:lineRule="auto"/>
        <w:jc w:val="both"/>
        <w:rPr>
          <w:rStyle w:val="Zvraznenie"/>
          <w:rFonts w:ascii="Times New Roman" w:hAnsi="Times New Roman"/>
          <w:i w:val="0"/>
          <w:iCs w:val="0"/>
          <w:sz w:val="24"/>
          <w:szCs w:val="24"/>
        </w:rPr>
      </w:pPr>
      <w:r w:rsidRPr="00217CA8">
        <w:rPr>
          <w:rStyle w:val="Zvraznenie"/>
          <w:rFonts w:ascii="Times New Roman" w:hAnsi="Times New Roman"/>
          <w:i w:val="0"/>
          <w:iCs w:val="0"/>
          <w:sz w:val="24"/>
          <w:szCs w:val="24"/>
        </w:rPr>
        <w:t xml:space="preserve">smernica Rady (EÚ) </w:t>
      </w:r>
      <w:r w:rsidRPr="00217CA8">
        <w:rPr>
          <w:rStyle w:val="Zvraznenie"/>
          <w:rFonts w:ascii="Times New Roman" w:hAnsi="Times New Roman"/>
          <w:i w:val="0"/>
          <w:iCs w:val="0"/>
          <w:sz w:val="24"/>
          <w:szCs w:val="24"/>
          <w:u w:val="single"/>
        </w:rPr>
        <w:t>2020/262</w:t>
      </w:r>
      <w:r w:rsidRPr="00217CA8">
        <w:rPr>
          <w:rStyle w:val="Zvraznenie"/>
          <w:rFonts w:ascii="Times New Roman" w:hAnsi="Times New Roman"/>
          <w:i w:val="0"/>
          <w:iCs w:val="0"/>
          <w:sz w:val="24"/>
          <w:szCs w:val="24"/>
        </w:rPr>
        <w:t xml:space="preserve"> z 19. decembra 2019, ktorou sa ustanovuje všeobecný systém spotrebných daní (prepracované znenie) (</w:t>
      </w:r>
      <w:r w:rsidRPr="00217CA8">
        <w:rPr>
          <w:rFonts w:ascii="Times New Roman" w:hAnsi="Times New Roman"/>
          <w:iCs/>
          <w:sz w:val="24"/>
          <w:szCs w:val="24"/>
          <w:shd w:val="clear" w:color="auto" w:fill="FFFFFF"/>
        </w:rPr>
        <w:t>Ú. v. EÚ L 58, 27.2.2020)</w:t>
      </w:r>
      <w:r w:rsidR="000F0381">
        <w:rPr>
          <w:rFonts w:ascii="Times New Roman" w:hAnsi="Times New Roman"/>
          <w:iCs/>
          <w:sz w:val="24"/>
          <w:szCs w:val="24"/>
          <w:shd w:val="clear" w:color="auto" w:fill="FFFFFF"/>
        </w:rPr>
        <w:t xml:space="preserve"> v platnom znení</w:t>
      </w:r>
      <w:r w:rsidRPr="00217CA8">
        <w:rPr>
          <w:rStyle w:val="Zvraznenie"/>
          <w:rFonts w:ascii="Times New Roman" w:hAnsi="Times New Roman"/>
          <w:i w:val="0"/>
          <w:iCs w:val="0"/>
          <w:sz w:val="24"/>
          <w:szCs w:val="24"/>
        </w:rPr>
        <w:t xml:space="preserve">, gestor: </w:t>
      </w:r>
      <w:r w:rsidR="000F0381">
        <w:rPr>
          <w:rStyle w:val="Zvraznenie"/>
          <w:rFonts w:ascii="Times New Roman" w:hAnsi="Times New Roman"/>
          <w:i w:val="0"/>
          <w:iCs w:val="0"/>
          <w:sz w:val="24"/>
          <w:szCs w:val="24"/>
        </w:rPr>
        <w:t>MF SR</w:t>
      </w:r>
      <w:r w:rsidRPr="00217CA8">
        <w:rPr>
          <w:rStyle w:val="Zvraznenie"/>
          <w:rFonts w:ascii="Times New Roman" w:hAnsi="Times New Roman"/>
          <w:i w:val="0"/>
          <w:iCs w:val="0"/>
          <w:sz w:val="24"/>
          <w:szCs w:val="24"/>
        </w:rPr>
        <w:t>,</w:t>
      </w:r>
    </w:p>
    <w:p w:rsidR="00584975" w:rsidRPr="00217CA8" w:rsidRDefault="00584975" w:rsidP="00584975">
      <w:pPr>
        <w:numPr>
          <w:ilvl w:val="0"/>
          <w:numId w:val="1"/>
        </w:numPr>
        <w:spacing w:after="120" w:line="240" w:lineRule="auto"/>
        <w:jc w:val="both"/>
        <w:rPr>
          <w:rStyle w:val="Zvraznenie"/>
          <w:rFonts w:ascii="Times New Roman" w:hAnsi="Times New Roman"/>
          <w:i w:val="0"/>
          <w:iCs w:val="0"/>
          <w:sz w:val="24"/>
          <w:szCs w:val="24"/>
        </w:rPr>
      </w:pPr>
      <w:r w:rsidRPr="00217CA8">
        <w:rPr>
          <w:rFonts w:ascii="Times New Roman" w:hAnsi="Times New Roman"/>
          <w:sz w:val="24"/>
          <w:szCs w:val="24"/>
        </w:rPr>
        <w:t xml:space="preserve">smernica Rady </w:t>
      </w:r>
      <w:r w:rsidRPr="00217CA8">
        <w:rPr>
          <w:rFonts w:ascii="Times New Roman" w:hAnsi="Times New Roman"/>
          <w:sz w:val="24"/>
          <w:szCs w:val="24"/>
          <w:u w:val="single"/>
        </w:rPr>
        <w:t>2011/64/EÚ</w:t>
      </w:r>
      <w:r w:rsidRPr="00217CA8">
        <w:rPr>
          <w:rFonts w:ascii="Times New Roman" w:hAnsi="Times New Roman"/>
          <w:sz w:val="24"/>
          <w:szCs w:val="24"/>
        </w:rPr>
        <w:t xml:space="preserve"> </w:t>
      </w:r>
      <w:r w:rsidRPr="00217CA8">
        <w:rPr>
          <w:rStyle w:val="Siln"/>
          <w:rFonts w:ascii="Times New Roman" w:hAnsi="Times New Roman"/>
          <w:b w:val="0"/>
          <w:sz w:val="24"/>
          <w:szCs w:val="24"/>
        </w:rPr>
        <w:t>z 21. júna 2011 o štruktúre a sadzbách spo</w:t>
      </w:r>
      <w:r w:rsidR="00EB2CFE" w:rsidRPr="00217CA8">
        <w:rPr>
          <w:rStyle w:val="Siln"/>
          <w:rFonts w:ascii="Times New Roman" w:hAnsi="Times New Roman"/>
          <w:b w:val="0"/>
          <w:sz w:val="24"/>
          <w:szCs w:val="24"/>
        </w:rPr>
        <w:t xml:space="preserve">trebnej dane </w:t>
      </w:r>
      <w:r w:rsidR="00EB2CFE" w:rsidRPr="00217CA8">
        <w:rPr>
          <w:rStyle w:val="Siln"/>
          <w:rFonts w:ascii="Times New Roman" w:hAnsi="Times New Roman"/>
          <w:b w:val="0"/>
          <w:sz w:val="24"/>
          <w:szCs w:val="24"/>
        </w:rPr>
        <w:br/>
      </w:r>
      <w:r w:rsidRPr="00217CA8">
        <w:rPr>
          <w:rStyle w:val="Siln"/>
          <w:rFonts w:ascii="Times New Roman" w:hAnsi="Times New Roman"/>
          <w:b w:val="0"/>
          <w:sz w:val="24"/>
          <w:szCs w:val="24"/>
        </w:rPr>
        <w:t>z tabakových výrobkov</w:t>
      </w:r>
      <w:r w:rsidRPr="00217CA8">
        <w:rPr>
          <w:rStyle w:val="Siln"/>
          <w:rFonts w:ascii="Times New Roman" w:hAnsi="Times New Roman"/>
          <w:sz w:val="24"/>
          <w:szCs w:val="24"/>
        </w:rPr>
        <w:t xml:space="preserve"> </w:t>
      </w:r>
      <w:r w:rsidRPr="00217CA8">
        <w:rPr>
          <w:rStyle w:val="Siln"/>
          <w:rFonts w:ascii="Times New Roman" w:hAnsi="Times New Roman"/>
          <w:b w:val="0"/>
          <w:sz w:val="24"/>
          <w:szCs w:val="24"/>
        </w:rPr>
        <w:t>(kodifikované znenie)</w:t>
      </w:r>
      <w:r w:rsidRPr="00217CA8">
        <w:rPr>
          <w:rFonts w:ascii="Times New Roman" w:hAnsi="Times New Roman"/>
          <w:sz w:val="24"/>
          <w:szCs w:val="24"/>
        </w:rPr>
        <w:t xml:space="preserve"> (</w:t>
      </w:r>
      <w:r w:rsidRPr="00217CA8">
        <w:rPr>
          <w:rStyle w:val="Zvraznenie"/>
          <w:rFonts w:ascii="Times New Roman" w:hAnsi="Times New Roman"/>
          <w:i w:val="0"/>
          <w:sz w:val="24"/>
          <w:szCs w:val="24"/>
        </w:rPr>
        <w:t>Ú. v. EÚ L 176, 5.7. 2011)</w:t>
      </w:r>
      <w:r w:rsidR="0097605F" w:rsidRPr="00217CA8">
        <w:rPr>
          <w:rStyle w:val="Zvraznenie"/>
          <w:rFonts w:ascii="Times New Roman" w:hAnsi="Times New Roman"/>
          <w:i w:val="0"/>
          <w:sz w:val="24"/>
          <w:szCs w:val="24"/>
        </w:rPr>
        <w:t>, gestor: MF SR,</w:t>
      </w:r>
    </w:p>
    <w:p w:rsidR="00A10A10" w:rsidRPr="00217CA8" w:rsidRDefault="00A10A10" w:rsidP="00A10A10">
      <w:pPr>
        <w:numPr>
          <w:ilvl w:val="0"/>
          <w:numId w:val="1"/>
        </w:numPr>
        <w:spacing w:after="120" w:line="240" w:lineRule="auto"/>
        <w:ind w:left="658" w:hanging="357"/>
        <w:jc w:val="both"/>
        <w:rPr>
          <w:rFonts w:ascii="Times New Roman" w:hAnsi="Times New Roman"/>
          <w:i/>
          <w:sz w:val="24"/>
          <w:szCs w:val="24"/>
        </w:rPr>
      </w:pPr>
      <w:r w:rsidRPr="00217CA8">
        <w:rPr>
          <w:rFonts w:ascii="Times New Roman" w:hAnsi="Times New Roman"/>
          <w:sz w:val="24"/>
          <w:szCs w:val="24"/>
        </w:rPr>
        <w:t xml:space="preserve">smernica Rady </w:t>
      </w:r>
      <w:r w:rsidRPr="00217CA8">
        <w:rPr>
          <w:rFonts w:ascii="Times New Roman" w:hAnsi="Times New Roman"/>
          <w:sz w:val="24"/>
          <w:szCs w:val="24"/>
          <w:u w:val="single"/>
        </w:rPr>
        <w:t>2007/74/ES</w:t>
      </w:r>
      <w:r w:rsidRPr="00217CA8">
        <w:rPr>
          <w:rFonts w:ascii="Times New Roman" w:hAnsi="Times New Roman"/>
          <w:sz w:val="24"/>
          <w:szCs w:val="24"/>
        </w:rPr>
        <w:t xml:space="preserve"> z 20. decembra 2007 o oslobodení tovaru, ktorý dovážajú osoby cestujúce z tretích krajín, od dane z pridanej hodnoty a spotr</w:t>
      </w:r>
      <w:r w:rsidR="00EB2CFE" w:rsidRPr="00217CA8">
        <w:rPr>
          <w:rFonts w:ascii="Times New Roman" w:hAnsi="Times New Roman"/>
          <w:sz w:val="24"/>
          <w:szCs w:val="24"/>
        </w:rPr>
        <w:t>ebnej dane (Ú. v. EÚ L  346,</w:t>
      </w:r>
      <w:r w:rsidR="00EB2CFE" w:rsidRPr="00217CA8">
        <w:rPr>
          <w:rFonts w:ascii="Times New Roman" w:hAnsi="Times New Roman"/>
          <w:sz w:val="24"/>
          <w:szCs w:val="24"/>
        </w:rPr>
        <w:br/>
      </w:r>
      <w:r w:rsidRPr="00217CA8">
        <w:rPr>
          <w:rFonts w:ascii="Times New Roman" w:hAnsi="Times New Roman"/>
          <w:sz w:val="24"/>
          <w:szCs w:val="24"/>
        </w:rPr>
        <w:t xml:space="preserve">29. 12. 2007), </w:t>
      </w:r>
      <w:r w:rsidRPr="00217CA8">
        <w:rPr>
          <w:rStyle w:val="Zvraznenie"/>
          <w:rFonts w:ascii="Times New Roman" w:hAnsi="Times New Roman"/>
          <w:i w:val="0"/>
          <w:noProof/>
          <w:sz w:val="24"/>
          <w:szCs w:val="24"/>
        </w:rPr>
        <w:t xml:space="preserve">gestor: </w:t>
      </w:r>
      <w:r w:rsidRPr="00217CA8">
        <w:rPr>
          <w:rFonts w:ascii="Times New Roman" w:hAnsi="Times New Roman"/>
          <w:noProof/>
          <w:sz w:val="24"/>
          <w:szCs w:val="24"/>
        </w:rPr>
        <w:t>MF SR</w:t>
      </w:r>
      <w:r w:rsidR="00A50907">
        <w:rPr>
          <w:rFonts w:ascii="Times New Roman" w:hAnsi="Times New Roman"/>
          <w:noProof/>
          <w:sz w:val="24"/>
          <w:szCs w:val="24"/>
        </w:rPr>
        <w:t>.</w:t>
      </w:r>
    </w:p>
    <w:p w:rsidR="00065CA2" w:rsidRPr="00217CA8" w:rsidRDefault="00E02D5D" w:rsidP="00065CA2">
      <w:pPr>
        <w:pStyle w:val="Zkladntext"/>
        <w:ind w:left="681" w:hanging="397"/>
        <w:jc w:val="both"/>
        <w:rPr>
          <w:b/>
        </w:rPr>
      </w:pPr>
      <w:r w:rsidRPr="00217CA8">
        <w:rPr>
          <w:b/>
        </w:rPr>
        <w:t>c</w:t>
      </w:r>
      <w:r w:rsidR="00065CA2" w:rsidRPr="00217CA8">
        <w:rPr>
          <w:b/>
        </w:rPr>
        <w:t>)</w:t>
      </w:r>
      <w:r w:rsidR="00065CA2" w:rsidRPr="00217CA8">
        <w:rPr>
          <w:b/>
        </w:rPr>
        <w:tab/>
      </w:r>
      <w:r w:rsidRPr="00217CA8">
        <w:rPr>
          <w:b/>
        </w:rPr>
        <w:t>Ju</w:t>
      </w:r>
      <w:r w:rsidR="00065CA2" w:rsidRPr="00217CA8">
        <w:rPr>
          <w:b/>
        </w:rPr>
        <w:t>dikatúr</w:t>
      </w:r>
      <w:r w:rsidRPr="00217CA8">
        <w:rPr>
          <w:b/>
        </w:rPr>
        <w:t>a</w:t>
      </w:r>
      <w:r w:rsidR="00065CA2" w:rsidRPr="00217CA8">
        <w:rPr>
          <w:b/>
        </w:rPr>
        <w:t xml:space="preserve"> Súdneho dvora Európskej únie:</w:t>
      </w:r>
    </w:p>
    <w:p w:rsidR="00065CA2" w:rsidRPr="00217CA8" w:rsidRDefault="00065CA2" w:rsidP="00065CA2">
      <w:pPr>
        <w:pStyle w:val="Zkladntext"/>
        <w:numPr>
          <w:ilvl w:val="0"/>
          <w:numId w:val="1"/>
        </w:numPr>
        <w:autoSpaceDE w:val="0"/>
        <w:autoSpaceDN w:val="0"/>
        <w:jc w:val="both"/>
      </w:pPr>
      <w:r w:rsidRPr="00217CA8">
        <w:rPr>
          <w:bCs/>
        </w:rPr>
        <w:t>rozhodnutie Súdneho dvora (druhá komora) vo veci C - 140/05, Amalia Valeško p</w:t>
      </w:r>
      <w:r w:rsidR="00630977" w:rsidRPr="00217CA8">
        <w:rPr>
          <w:bCs/>
        </w:rPr>
        <w:t>roti Zollamt Klagenfurt, [2006].</w:t>
      </w:r>
    </w:p>
    <w:p w:rsidR="00630977" w:rsidRPr="00217CA8" w:rsidRDefault="00630977" w:rsidP="00630977">
      <w:pPr>
        <w:pStyle w:val="Zkladntext"/>
        <w:autoSpaceDE w:val="0"/>
        <w:autoSpaceDN w:val="0"/>
        <w:ind w:left="660"/>
        <w:jc w:val="both"/>
      </w:pPr>
      <w:r w:rsidRPr="00217CA8">
        <w:rPr>
          <w:bCs/>
        </w:rPr>
        <w:t>Výrok rozhodnutia:</w:t>
      </w:r>
    </w:p>
    <w:p w:rsidR="00630977" w:rsidRPr="00217CA8" w:rsidRDefault="00630977" w:rsidP="00630977">
      <w:pPr>
        <w:pStyle w:val="c08dispositif"/>
        <w:spacing w:after="240" w:afterAutospacing="0"/>
        <w:ind w:left="660"/>
        <w:jc w:val="both"/>
        <w:rPr>
          <w:bCs/>
        </w:rPr>
      </w:pPr>
      <w:r w:rsidRPr="00217CA8">
        <w:rPr>
          <w:bCs/>
        </w:rPr>
        <w:t>1. Bod 6 ods. 2 prílohy XIII Aktu o podmienkach pristúpenia Českej republiky, Estónskej republiky, Cyperskej republiky, Lotyšskej republiky, Litovskej republiky, Maďarskej republiky, Maltskej republiky, Poľskej republiky, Slovinskej republiky a Slovenskej republiky a o úpravách zmlúv, na ktorých je založená Európska únia, sa má vykladať tak, že mu neodporuje to, aby Rakúska republika prechodne zachovala svoju právnu úpravu týkajúcu sa oslobodenia od spotrebnej dane obmedzeného na 25 kusov pre cigarety pochádzajúce zo Slovinska, dovezené na územie Rakúskej republiky v osobnej batožine cestujúcich, ktorí majú bydlisko v Rakúskej republike a vstupujú priamo na jej územie cez pozemnú hranicu alebo vnútrozemské vody tohto členského štátu.</w:t>
      </w:r>
    </w:p>
    <w:p w:rsidR="00630977" w:rsidRPr="00217CA8" w:rsidRDefault="00630977" w:rsidP="00630977">
      <w:pPr>
        <w:pStyle w:val="c08dispositif"/>
        <w:spacing w:after="240" w:afterAutospacing="0"/>
        <w:ind w:left="660"/>
        <w:jc w:val="both"/>
        <w:rPr>
          <w:bCs/>
        </w:rPr>
      </w:pPr>
      <w:r w:rsidRPr="00217CA8">
        <w:rPr>
          <w:bCs/>
        </w:rPr>
        <w:t>2.      Články 23 ES, 25 ES a 26 ES sa majú vykladať tak, že im neodporuje vnútroštátna právna úprava, akou je právna úprava sporná v konaní vo veci samej, podľa ktorej je oslobodenie od spotrebnej dane obmedzené na 25 kusov pre cigarety dovážané v osobnej batožine cestujúcich pri vstupe na územie Rakúskej republiky z niektorých iných členských štátov, najmä Slovinskej republiky, bez ohľadu na skutočnosť, že v dôsledku posledného rozšírenia Únie sa už toto obmedzené oslobodenie od spotrebnej dane neuplatňuje na žiadny tretí štát s jedinou výnimkou švajčiarskeho slobodného colného pásma Samnauntal a že pri dovozoch cigariet pochádzajúcich z tretích krajín sa vo všeobecnosti oslobodenie od spotrebnej dane vzťahuje na 200 kusov.</w:t>
      </w:r>
    </w:p>
    <w:p w:rsidR="00065CA2" w:rsidRPr="00217CA8" w:rsidRDefault="00065CA2" w:rsidP="00065CA2">
      <w:pPr>
        <w:pStyle w:val="Zkladntext"/>
        <w:numPr>
          <w:ilvl w:val="0"/>
          <w:numId w:val="1"/>
        </w:numPr>
        <w:autoSpaceDE w:val="0"/>
        <w:autoSpaceDN w:val="0"/>
        <w:jc w:val="both"/>
        <w:rPr>
          <w:rStyle w:val="Zvraznenie"/>
          <w:i w:val="0"/>
          <w:iCs w:val="0"/>
        </w:rPr>
      </w:pPr>
      <w:r w:rsidRPr="00217CA8">
        <w:rPr>
          <w:bCs/>
        </w:rPr>
        <w:lastRenderedPageBreak/>
        <w:t xml:space="preserve">rozhodnutie Súdneho dvora (prvá komora) vo veci C - </w:t>
      </w:r>
      <w:r w:rsidR="00E44764" w:rsidRPr="00217CA8">
        <w:rPr>
          <w:bCs/>
        </w:rPr>
        <w:t>64</w:t>
      </w:r>
      <w:r w:rsidRPr="00217CA8">
        <w:rPr>
          <w:bCs/>
        </w:rPr>
        <w:t>/</w:t>
      </w:r>
      <w:r w:rsidR="00E44764" w:rsidRPr="00217CA8">
        <w:rPr>
          <w:bCs/>
        </w:rPr>
        <w:t>15</w:t>
      </w:r>
      <w:r w:rsidRPr="00217CA8">
        <w:rPr>
          <w:bCs/>
        </w:rPr>
        <w:t xml:space="preserve">, </w:t>
      </w:r>
      <w:r w:rsidR="00E44764" w:rsidRPr="00217CA8">
        <w:rPr>
          <w:bCs/>
        </w:rPr>
        <w:t xml:space="preserve">BP Europa SE </w:t>
      </w:r>
      <w:r w:rsidRPr="00217CA8">
        <w:rPr>
          <w:bCs/>
        </w:rPr>
        <w:t xml:space="preserve">proti </w:t>
      </w:r>
      <w:r w:rsidR="00E44764" w:rsidRPr="00217CA8">
        <w:rPr>
          <w:bCs/>
        </w:rPr>
        <w:t>Hauptzollamt Hamburg</w:t>
      </w:r>
      <w:r w:rsidR="00E44764" w:rsidRPr="00217CA8">
        <w:rPr>
          <w:bCs/>
        </w:rPr>
        <w:noBreakHyphen/>
        <w:t>Stadt,</w:t>
      </w:r>
      <w:r w:rsidRPr="00217CA8">
        <w:rPr>
          <w:bCs/>
        </w:rPr>
        <w:t xml:space="preserve"> [</w:t>
      </w:r>
      <w:r w:rsidRPr="00217CA8">
        <w:rPr>
          <w:rStyle w:val="Zvraznenie"/>
          <w:i w:val="0"/>
        </w:rPr>
        <w:t>20</w:t>
      </w:r>
      <w:r w:rsidR="00E44764" w:rsidRPr="00217CA8">
        <w:rPr>
          <w:rStyle w:val="Zvraznenie"/>
          <w:i w:val="0"/>
        </w:rPr>
        <w:t>16</w:t>
      </w:r>
      <w:r w:rsidRPr="00217CA8">
        <w:rPr>
          <w:rStyle w:val="Zvraznenie"/>
          <w:i w:val="0"/>
        </w:rPr>
        <w:t>].</w:t>
      </w:r>
    </w:p>
    <w:p w:rsidR="00E44764" w:rsidRPr="000C66F6" w:rsidRDefault="00E44764" w:rsidP="000C66F6">
      <w:pPr>
        <w:pStyle w:val="Zkladntext"/>
        <w:autoSpaceDE w:val="0"/>
        <w:autoSpaceDN w:val="0"/>
        <w:ind w:left="660"/>
        <w:jc w:val="both"/>
      </w:pPr>
      <w:r w:rsidRPr="00217CA8">
        <w:rPr>
          <w:bCs/>
        </w:rPr>
        <w:t>Výrok rozhodnutia:</w:t>
      </w:r>
    </w:p>
    <w:p w:rsidR="00630977" w:rsidRPr="00217CA8" w:rsidRDefault="00630977" w:rsidP="00D15A50">
      <w:pPr>
        <w:pStyle w:val="c08dispositif"/>
        <w:tabs>
          <w:tab w:val="left" w:pos="993"/>
        </w:tabs>
        <w:spacing w:after="240" w:afterAutospacing="0"/>
        <w:ind w:left="660"/>
        <w:jc w:val="both"/>
        <w:rPr>
          <w:bCs/>
        </w:rPr>
      </w:pPr>
      <w:r w:rsidRPr="00217CA8">
        <w:rPr>
          <w:bCs/>
        </w:rPr>
        <w:t>1.      Článok 20 ods. 2 smernice Rady </w:t>
      </w:r>
      <w:bookmarkStart w:id="1" w:name="ctx46"/>
      <w:r w:rsidRPr="00217CA8">
        <w:rPr>
          <w:bCs/>
        </w:rPr>
        <w:t>2008/118</w:t>
      </w:r>
      <w:bookmarkEnd w:id="1"/>
      <w:r w:rsidRPr="00217CA8">
        <w:rPr>
          <w:bCs/>
        </w:rPr>
        <w:t>/ES zo 16. decembra 2008 o všeobecnom systéme spotrebných daní a o zrušení smernice 92/12/EHS sa má vykladať v tom zmysle, že preprava tovaru podliehajúceho spotrebnej dani v režime pozastavenia dane v zmysle tohto ustanovenia v situácii, ako je situácia v konaní vo veci samej, končí v čase, keď príjemca tohto tovaru pri ukončení úplnej vykládky dopravného prostriedku obsahujúceho predmetný tovar konštatuje, že chýba určité množstvo tohto tovaru v porovnaní s množstvom, ktoré sa mu malo dodať.</w:t>
      </w:r>
    </w:p>
    <w:p w:rsidR="00630977" w:rsidRPr="00217CA8" w:rsidRDefault="00630977" w:rsidP="00D15A50">
      <w:pPr>
        <w:pStyle w:val="c08dispositif"/>
        <w:tabs>
          <w:tab w:val="left" w:pos="993"/>
        </w:tabs>
        <w:spacing w:after="240" w:afterAutospacing="0"/>
        <w:ind w:left="660"/>
        <w:jc w:val="both"/>
        <w:rPr>
          <w:bCs/>
        </w:rPr>
      </w:pPr>
      <w:r w:rsidRPr="00217CA8">
        <w:rPr>
          <w:bCs/>
        </w:rPr>
        <w:t>2.      Spojené ustanovenia článku 7 ods. 2 písm. a) a článku 10 ods. 2 smernice </w:t>
      </w:r>
      <w:bookmarkStart w:id="2" w:name="ctx47"/>
      <w:r w:rsidRPr="00217CA8">
        <w:rPr>
          <w:bCs/>
        </w:rPr>
        <w:t>2008/118</w:t>
      </w:r>
      <w:bookmarkEnd w:id="2"/>
      <w:r w:rsidRPr="00217CA8">
        <w:rPr>
          <w:bCs/>
        </w:rPr>
        <w:t> sa majú vykladať v tom zmysle, že:</w:t>
      </w:r>
    </w:p>
    <w:p w:rsidR="00630977" w:rsidRPr="00217CA8" w:rsidRDefault="00630977" w:rsidP="00E44764">
      <w:pPr>
        <w:pStyle w:val="c31dispositiftiretlong"/>
        <w:spacing w:after="240" w:afterAutospacing="0"/>
        <w:ind w:left="660"/>
        <w:jc w:val="both"/>
        <w:rPr>
          <w:bCs/>
        </w:rPr>
      </w:pPr>
      <w:r w:rsidRPr="00217CA8">
        <w:rPr>
          <w:bCs/>
        </w:rPr>
        <w:t>–        situácie, ktoré upravujú, sa odlišujú od situácie upravenej článkom 7 ods. 4 tejto smernice a</w:t>
      </w:r>
    </w:p>
    <w:p w:rsidR="00630977" w:rsidRPr="00217CA8" w:rsidRDefault="00630977" w:rsidP="00E44764">
      <w:pPr>
        <w:pStyle w:val="c31dispositiftiretlong"/>
        <w:spacing w:after="240" w:afterAutospacing="0"/>
        <w:ind w:left="660"/>
        <w:jc w:val="both"/>
        <w:rPr>
          <w:bCs/>
        </w:rPr>
      </w:pPr>
      <w:r w:rsidRPr="00217CA8">
        <w:rPr>
          <w:bCs/>
        </w:rPr>
        <w:t>–        okolnosť, že vnútroštátne ustanovenie preberajúce článok 10 ods. 2 smernice </w:t>
      </w:r>
      <w:bookmarkStart w:id="3" w:name="ctx48"/>
      <w:r w:rsidRPr="00217CA8">
        <w:rPr>
          <w:bCs/>
        </w:rPr>
        <w:t>2008/118</w:t>
      </w:r>
      <w:bookmarkEnd w:id="3"/>
      <w:r w:rsidRPr="00217CA8">
        <w:rPr>
          <w:bCs/>
        </w:rPr>
        <w:t>, ako je ustanovenie sporné v konaní vo veci samej, výslovne neuvádza, že nezrovnalosť, ktorú toto ustanovenie smernice upravuje, musí mať za následok uvedenie predmetného tovaru do daňového voľného obehu, nemôže brániť uplatneniu tohto vnútroštátneho ustanovenia pri konštatovaní chýbajúceho množstva, pri ktorom sa nevyhnutne predpokladá takéto uvedenie do daňového voľného obehu.</w:t>
      </w:r>
    </w:p>
    <w:p w:rsidR="00630977" w:rsidRPr="00217CA8" w:rsidRDefault="00630977" w:rsidP="00D15A50">
      <w:pPr>
        <w:pStyle w:val="c08dispositif"/>
        <w:numPr>
          <w:ilvl w:val="0"/>
          <w:numId w:val="7"/>
        </w:numPr>
        <w:tabs>
          <w:tab w:val="clear" w:pos="360"/>
          <w:tab w:val="left" w:pos="1134"/>
        </w:tabs>
        <w:spacing w:after="240" w:afterAutospacing="0"/>
        <w:ind w:left="709" w:firstLine="0"/>
        <w:jc w:val="both"/>
        <w:rPr>
          <w:bCs/>
        </w:rPr>
      </w:pPr>
      <w:r w:rsidRPr="00217CA8">
        <w:rPr>
          <w:bCs/>
        </w:rPr>
        <w:t>Článok 10 ods. 4 smernice </w:t>
      </w:r>
      <w:bookmarkStart w:id="4" w:name="ctx49"/>
      <w:r w:rsidRPr="00217CA8">
        <w:rPr>
          <w:bCs/>
        </w:rPr>
        <w:t>2008/118</w:t>
      </w:r>
      <w:bookmarkEnd w:id="4"/>
      <w:r w:rsidRPr="00217CA8">
        <w:rPr>
          <w:bCs/>
        </w:rPr>
        <w:t> sa má vykladať v tom zmysle, že sa uplatňuje, nielen keď na miesto určenia nedorazí všetok tovar prepravovaný v režime pozastavenia dane, alebo tiež v prípade, ak na miesto určenia nedorazí len časť tohto tovaru.</w:t>
      </w:r>
    </w:p>
    <w:p w:rsidR="00D15A50" w:rsidRPr="00217CA8" w:rsidRDefault="00D15A50" w:rsidP="00D15A50">
      <w:pPr>
        <w:pStyle w:val="Zkladntext"/>
        <w:numPr>
          <w:ilvl w:val="0"/>
          <w:numId w:val="1"/>
        </w:numPr>
        <w:autoSpaceDE w:val="0"/>
        <w:autoSpaceDN w:val="0"/>
        <w:jc w:val="both"/>
        <w:rPr>
          <w:rStyle w:val="Zvraznenie"/>
          <w:i w:val="0"/>
          <w:iCs w:val="0"/>
        </w:rPr>
      </w:pPr>
      <w:r w:rsidRPr="00217CA8">
        <w:rPr>
          <w:bCs/>
        </w:rPr>
        <w:t xml:space="preserve">rozhodnutie Súdneho dvora (prvá komora) vo veci </w:t>
      </w:r>
      <w:r w:rsidR="009277BC" w:rsidRPr="00217CA8">
        <w:t>C</w:t>
      </w:r>
      <w:r w:rsidR="009277BC" w:rsidRPr="00217CA8">
        <w:noBreakHyphen/>
        <w:t>165/13</w:t>
      </w:r>
      <w:r w:rsidRPr="00217CA8">
        <w:rPr>
          <w:bCs/>
        </w:rPr>
        <w:t xml:space="preserve">, </w:t>
      </w:r>
      <w:r w:rsidR="009277BC" w:rsidRPr="00217CA8">
        <w:rPr>
          <w:bCs/>
        </w:rPr>
        <w:t xml:space="preserve">Stanislav Gross </w:t>
      </w:r>
      <w:r w:rsidRPr="00217CA8">
        <w:rPr>
          <w:bCs/>
        </w:rPr>
        <w:t xml:space="preserve">proti </w:t>
      </w:r>
      <w:r w:rsidR="009277BC" w:rsidRPr="00217CA8">
        <w:rPr>
          <w:bCs/>
        </w:rPr>
        <w:t>Hauptzollamt Braunschweig</w:t>
      </w:r>
      <w:r w:rsidRPr="00217CA8">
        <w:rPr>
          <w:bCs/>
        </w:rPr>
        <w:t>, [</w:t>
      </w:r>
      <w:r w:rsidRPr="00217CA8">
        <w:rPr>
          <w:rStyle w:val="Zvraznenie"/>
          <w:i w:val="0"/>
        </w:rPr>
        <w:t>201</w:t>
      </w:r>
      <w:r w:rsidR="009277BC" w:rsidRPr="00217CA8">
        <w:rPr>
          <w:rStyle w:val="Zvraznenie"/>
          <w:i w:val="0"/>
        </w:rPr>
        <w:t>4</w:t>
      </w:r>
      <w:r w:rsidRPr="00217CA8">
        <w:rPr>
          <w:rStyle w:val="Zvraznenie"/>
          <w:i w:val="0"/>
        </w:rPr>
        <w:t>].</w:t>
      </w:r>
    </w:p>
    <w:p w:rsidR="00D15A50" w:rsidRPr="00217CA8" w:rsidRDefault="00D15A50" w:rsidP="00D15A50">
      <w:pPr>
        <w:pStyle w:val="Zkladntext"/>
        <w:autoSpaceDE w:val="0"/>
        <w:autoSpaceDN w:val="0"/>
        <w:ind w:left="660"/>
        <w:jc w:val="both"/>
      </w:pPr>
      <w:r w:rsidRPr="00217CA8">
        <w:rPr>
          <w:bCs/>
        </w:rPr>
        <w:t>Výrok rozhodnutia:</w:t>
      </w:r>
    </w:p>
    <w:p w:rsidR="00D15A50" w:rsidRPr="00217CA8" w:rsidRDefault="009277BC" w:rsidP="00D15A50">
      <w:pPr>
        <w:pStyle w:val="c08dispositif"/>
        <w:spacing w:after="240" w:afterAutospacing="0"/>
        <w:ind w:left="709"/>
        <w:jc w:val="both"/>
        <w:rPr>
          <w:bCs/>
        </w:rPr>
      </w:pPr>
      <w:r w:rsidRPr="00217CA8">
        <w:rPr>
          <w:bCs/>
        </w:rPr>
        <w:t>Článok 9 ods. 1 smernice Rady 92/12/EHS z 25. februára 1992 o všeobecných systémoch pre výrobky podliehajúce spotrebnej dani a o vlastníctve, pohybe a monitorovaní takýchto výrobkov, zmenenej a doplnenej smernicou Rady 92/108/EHS zo 14. decembra 1992, v spojení s článkom 7 tejto smernice sa má vykladať v tom zmysle, že toto ustanovenie umožňuje, aby členský štát označil za platiteľa spotrebnej dane osobu, ktorá má v držbe na daňovom území tohto štátu na komerčné účely výrobky podliehajúce spotrebnej dani uvoľnené na spotrebu v inom členskom štáte, za okolností, akými sú okolnosti sporu vo veci samej, aj keď táto osoba nebola v členskom štáte určenia prvým držiteľom týchto výrobkov.</w:t>
      </w:r>
    </w:p>
    <w:p w:rsidR="00065CA2" w:rsidRPr="00217CA8" w:rsidRDefault="00065CA2" w:rsidP="00065CA2">
      <w:pPr>
        <w:pStyle w:val="Zkladntext0"/>
        <w:tabs>
          <w:tab w:val="left" w:pos="284"/>
        </w:tabs>
        <w:spacing w:before="120" w:after="120"/>
        <w:ind w:left="3"/>
        <w:jc w:val="both"/>
        <w:rPr>
          <w:b/>
          <w:bCs/>
          <w:color w:val="auto"/>
          <w:sz w:val="24"/>
          <w:szCs w:val="24"/>
        </w:rPr>
      </w:pPr>
      <w:r w:rsidRPr="00217CA8">
        <w:rPr>
          <w:b/>
          <w:bCs/>
          <w:color w:val="auto"/>
          <w:sz w:val="24"/>
          <w:szCs w:val="24"/>
        </w:rPr>
        <w:t>4.</w:t>
      </w:r>
      <w:r w:rsidRPr="00217CA8">
        <w:rPr>
          <w:b/>
          <w:bCs/>
          <w:color w:val="auto"/>
          <w:sz w:val="24"/>
          <w:szCs w:val="24"/>
        </w:rPr>
        <w:tab/>
        <w:t>Záväzky Slovenskej republiky vo vzťahu k Európskej únii:</w:t>
      </w:r>
    </w:p>
    <w:p w:rsidR="00337D17" w:rsidRPr="00720666" w:rsidRDefault="00A657B6" w:rsidP="00720666">
      <w:pPr>
        <w:pStyle w:val="Odsekzoznamu"/>
        <w:numPr>
          <w:ilvl w:val="1"/>
          <w:numId w:val="4"/>
        </w:numPr>
        <w:jc w:val="both"/>
        <w:rPr>
          <w:rFonts w:ascii="Times New Roman" w:eastAsia="Times New Roman" w:hAnsi="Times New Roman"/>
          <w:bCs/>
          <w:sz w:val="24"/>
          <w:szCs w:val="24"/>
          <w:lang w:eastAsia="sk-SK"/>
        </w:rPr>
      </w:pPr>
      <w:r w:rsidRPr="00720666">
        <w:rPr>
          <w:rFonts w:ascii="Times New Roman" w:eastAsia="Times New Roman" w:hAnsi="Times New Roman"/>
          <w:bCs/>
          <w:sz w:val="24"/>
          <w:szCs w:val="24"/>
          <w:lang w:eastAsia="sk-SK"/>
        </w:rPr>
        <w:t>Lehota na prebratie smernice 2011/64/EÚ</w:t>
      </w:r>
      <w:r w:rsidR="00137554" w:rsidRPr="00720666">
        <w:rPr>
          <w:rFonts w:ascii="Times New Roman" w:eastAsia="Times New Roman" w:hAnsi="Times New Roman"/>
          <w:bCs/>
          <w:sz w:val="24"/>
          <w:szCs w:val="24"/>
          <w:lang w:eastAsia="sk-SK"/>
        </w:rPr>
        <w:t>: ide o kodifikované znenie pričom termíny prebratia vyplývajú z pôvodných smerníc</w:t>
      </w:r>
      <w:r w:rsidRPr="00720666">
        <w:rPr>
          <w:rFonts w:ascii="Times New Roman" w:eastAsia="Times New Roman" w:hAnsi="Times New Roman"/>
          <w:bCs/>
          <w:sz w:val="24"/>
          <w:szCs w:val="24"/>
          <w:lang w:eastAsia="sk-SK"/>
        </w:rPr>
        <w:t>.</w:t>
      </w:r>
    </w:p>
    <w:p w:rsidR="00A657B6" w:rsidRPr="00217CA8" w:rsidRDefault="00A657B6" w:rsidP="00F6157E">
      <w:pPr>
        <w:pStyle w:val="Odsekzoznamu"/>
        <w:jc w:val="both"/>
        <w:rPr>
          <w:rFonts w:ascii="Times New Roman" w:eastAsia="Times New Roman" w:hAnsi="Times New Roman"/>
          <w:bCs/>
          <w:sz w:val="24"/>
          <w:szCs w:val="24"/>
          <w:lang w:eastAsia="sk-SK"/>
        </w:rPr>
      </w:pPr>
    </w:p>
    <w:p w:rsidR="00421E64" w:rsidRPr="00071DA5" w:rsidRDefault="00421E64" w:rsidP="00421E64">
      <w:pPr>
        <w:pStyle w:val="Odsekzoznamu"/>
        <w:numPr>
          <w:ilvl w:val="1"/>
          <w:numId w:val="4"/>
        </w:numPr>
        <w:jc w:val="both"/>
        <w:rPr>
          <w:rFonts w:ascii="Times New Roman" w:eastAsia="Times New Roman" w:hAnsi="Times New Roman"/>
          <w:sz w:val="24"/>
          <w:szCs w:val="24"/>
          <w:lang w:eastAsia="sk-SK"/>
        </w:rPr>
      </w:pPr>
      <w:r w:rsidRPr="00071DA5">
        <w:rPr>
          <w:rFonts w:ascii="Times New Roman" w:hAnsi="Times New Roman"/>
          <w:sz w:val="24"/>
          <w:szCs w:val="24"/>
        </w:rPr>
        <w:t>Proti SR nebolo začaté konanie v rámci „EÚ Pilot“, ani nebol začatý postup Európskej komisie, alebo konanie Súdneho dvora Európskej únie proti Slovenskej republike podľa čl. 258 až 260 Zmluvy o fungovaní Európskej únie v platnom znení.</w:t>
      </w:r>
      <w:r w:rsidRPr="00071DA5">
        <w:rPr>
          <w:rFonts w:ascii="Times New Roman" w:eastAsia="Times New Roman" w:hAnsi="Times New Roman"/>
          <w:sz w:val="24"/>
          <w:szCs w:val="24"/>
          <w:lang w:eastAsia="sk-SK"/>
        </w:rPr>
        <w:t xml:space="preserve">  </w:t>
      </w:r>
    </w:p>
    <w:p w:rsidR="00065CA2" w:rsidRPr="00217CA8" w:rsidRDefault="00D15A50" w:rsidP="003068C7">
      <w:pPr>
        <w:pStyle w:val="Zkladntext1"/>
        <w:numPr>
          <w:ilvl w:val="1"/>
          <w:numId w:val="4"/>
        </w:numPr>
        <w:spacing w:after="120"/>
        <w:jc w:val="both"/>
        <w:rPr>
          <w:color w:val="auto"/>
          <w:sz w:val="24"/>
          <w:szCs w:val="24"/>
          <w:lang w:val="sk-SK"/>
        </w:rPr>
      </w:pPr>
      <w:r w:rsidRPr="00217CA8">
        <w:rPr>
          <w:bCs/>
          <w:color w:val="auto"/>
          <w:sz w:val="24"/>
          <w:szCs w:val="24"/>
          <w:lang w:val="sk-SK"/>
        </w:rPr>
        <w:t>S</w:t>
      </w:r>
      <w:r w:rsidR="00843970" w:rsidRPr="00217CA8">
        <w:rPr>
          <w:bCs/>
          <w:color w:val="auto"/>
          <w:sz w:val="24"/>
          <w:szCs w:val="24"/>
          <w:lang w:val="sk-SK"/>
        </w:rPr>
        <w:t>mernic</w:t>
      </w:r>
      <w:r w:rsidRPr="00217CA8">
        <w:rPr>
          <w:bCs/>
          <w:color w:val="auto"/>
          <w:sz w:val="24"/>
          <w:szCs w:val="24"/>
          <w:lang w:val="sk-SK"/>
        </w:rPr>
        <w:t>a</w:t>
      </w:r>
      <w:r w:rsidR="00843970" w:rsidRPr="00217CA8">
        <w:rPr>
          <w:bCs/>
          <w:color w:val="auto"/>
          <w:sz w:val="24"/>
          <w:szCs w:val="24"/>
          <w:lang w:val="sk-SK"/>
        </w:rPr>
        <w:t xml:space="preserve"> 2011/64/EÚ</w:t>
      </w:r>
      <w:r w:rsidR="00843970" w:rsidRPr="00217CA8">
        <w:rPr>
          <w:color w:val="auto"/>
          <w:sz w:val="24"/>
          <w:szCs w:val="24"/>
          <w:lang w:val="sk-SK"/>
        </w:rPr>
        <w:t xml:space="preserve"> </w:t>
      </w:r>
      <w:r w:rsidR="00A0140A" w:rsidRPr="00217CA8">
        <w:rPr>
          <w:color w:val="auto"/>
          <w:sz w:val="24"/>
          <w:szCs w:val="24"/>
          <w:lang w:val="sk-SK"/>
        </w:rPr>
        <w:t>bola prebratá do z</w:t>
      </w:r>
      <w:r w:rsidR="003068C7" w:rsidRPr="00217CA8">
        <w:rPr>
          <w:color w:val="auto"/>
          <w:sz w:val="24"/>
          <w:szCs w:val="24"/>
          <w:lang w:val="sk-SK"/>
        </w:rPr>
        <w:t>ákon</w:t>
      </w:r>
      <w:r w:rsidR="00A0140A" w:rsidRPr="00217CA8">
        <w:rPr>
          <w:color w:val="auto"/>
          <w:sz w:val="24"/>
          <w:szCs w:val="24"/>
          <w:lang w:val="sk-SK"/>
        </w:rPr>
        <w:t>a</w:t>
      </w:r>
      <w:r w:rsidR="003068C7" w:rsidRPr="00217CA8">
        <w:rPr>
          <w:color w:val="auto"/>
          <w:sz w:val="24"/>
          <w:szCs w:val="24"/>
          <w:lang w:val="sk-SK"/>
        </w:rPr>
        <w:t xml:space="preserve"> č. 106/2004 Z. z. o spotrebnej dani </w:t>
      </w:r>
      <w:r w:rsidR="003068C7" w:rsidRPr="00217CA8">
        <w:rPr>
          <w:color w:val="auto"/>
          <w:sz w:val="24"/>
          <w:szCs w:val="24"/>
          <w:lang w:val="sk-SK"/>
        </w:rPr>
        <w:lastRenderedPageBreak/>
        <w:t>z tabakových výrobkov v znení neskorších predpisov.</w:t>
      </w:r>
    </w:p>
    <w:p w:rsidR="003068C7" w:rsidRPr="00217CA8" w:rsidRDefault="003068C7" w:rsidP="003068C7">
      <w:pPr>
        <w:pStyle w:val="Zkladntext1"/>
        <w:spacing w:after="120"/>
        <w:jc w:val="both"/>
        <w:rPr>
          <w:color w:val="auto"/>
          <w:sz w:val="24"/>
          <w:szCs w:val="24"/>
          <w:lang w:val="sk-SK"/>
        </w:rPr>
      </w:pPr>
    </w:p>
    <w:p w:rsidR="00065CA2" w:rsidRPr="00217CA8" w:rsidRDefault="00065CA2" w:rsidP="00065CA2">
      <w:pPr>
        <w:pStyle w:val="Zkladntext0"/>
        <w:tabs>
          <w:tab w:val="left" w:pos="284"/>
        </w:tabs>
        <w:spacing w:before="120"/>
        <w:ind w:firstLine="11"/>
        <w:jc w:val="both"/>
        <w:rPr>
          <w:b/>
          <w:color w:val="auto"/>
          <w:sz w:val="24"/>
          <w:szCs w:val="24"/>
        </w:rPr>
      </w:pPr>
      <w:r w:rsidRPr="00217CA8">
        <w:rPr>
          <w:b/>
          <w:color w:val="auto"/>
          <w:sz w:val="24"/>
          <w:szCs w:val="24"/>
        </w:rPr>
        <w:t>5.</w:t>
      </w:r>
      <w:r w:rsidRPr="00217CA8">
        <w:rPr>
          <w:b/>
          <w:color w:val="auto"/>
          <w:sz w:val="24"/>
          <w:szCs w:val="24"/>
        </w:rPr>
        <w:tab/>
      </w:r>
      <w:r w:rsidR="00A0140A" w:rsidRPr="00217CA8">
        <w:rPr>
          <w:b/>
          <w:color w:val="auto"/>
          <w:sz w:val="24"/>
          <w:szCs w:val="24"/>
        </w:rPr>
        <w:t>Návrh zákona je z</w:t>
      </w:r>
      <w:r w:rsidRPr="00217CA8">
        <w:rPr>
          <w:b/>
          <w:color w:val="auto"/>
          <w:sz w:val="24"/>
          <w:szCs w:val="24"/>
        </w:rPr>
        <w:t>lučiteľn</w:t>
      </w:r>
      <w:r w:rsidR="00A0140A" w:rsidRPr="00217CA8">
        <w:rPr>
          <w:b/>
          <w:color w:val="auto"/>
          <w:sz w:val="24"/>
          <w:szCs w:val="24"/>
        </w:rPr>
        <w:t>ý</w:t>
      </w:r>
      <w:r w:rsidRPr="00217CA8">
        <w:rPr>
          <w:b/>
          <w:color w:val="auto"/>
          <w:sz w:val="24"/>
          <w:szCs w:val="24"/>
        </w:rPr>
        <w:t xml:space="preserve"> s právom Európskej únie:</w:t>
      </w:r>
    </w:p>
    <w:p w:rsidR="00065CA2" w:rsidRPr="00D15A50" w:rsidRDefault="00104465" w:rsidP="00A0140A">
      <w:pPr>
        <w:pStyle w:val="Zkladntext0"/>
        <w:spacing w:before="120"/>
        <w:ind w:left="284"/>
        <w:jc w:val="both"/>
        <w:rPr>
          <w:color w:val="auto"/>
          <w:sz w:val="24"/>
          <w:szCs w:val="24"/>
        </w:rPr>
      </w:pPr>
      <w:r w:rsidRPr="00071DA5">
        <w:rPr>
          <w:color w:val="auto"/>
          <w:sz w:val="24"/>
          <w:szCs w:val="24"/>
        </w:rPr>
        <w:t xml:space="preserve">a) </w:t>
      </w:r>
      <w:r w:rsidR="00065CA2" w:rsidRPr="00071DA5">
        <w:rPr>
          <w:color w:val="auto"/>
          <w:sz w:val="24"/>
          <w:szCs w:val="24"/>
        </w:rPr>
        <w:t>Úpln</w:t>
      </w:r>
      <w:r w:rsidR="00A0140A" w:rsidRPr="00071DA5">
        <w:rPr>
          <w:color w:val="auto"/>
          <w:sz w:val="24"/>
          <w:szCs w:val="24"/>
        </w:rPr>
        <w:t>e</w:t>
      </w:r>
      <w:r w:rsidR="00065CA2" w:rsidRPr="00217CA8">
        <w:rPr>
          <w:color w:val="auto"/>
          <w:sz w:val="24"/>
          <w:szCs w:val="24"/>
        </w:rPr>
        <w:t>.</w:t>
      </w:r>
    </w:p>
    <w:p w:rsidR="00065CA2" w:rsidRPr="00D15A50" w:rsidRDefault="00065CA2" w:rsidP="00065CA2">
      <w:pPr>
        <w:pStyle w:val="dka"/>
        <w:spacing w:before="120"/>
        <w:ind w:left="284"/>
        <w:jc w:val="both"/>
        <w:rPr>
          <w:color w:val="auto"/>
          <w:sz w:val="24"/>
          <w:szCs w:val="24"/>
        </w:rPr>
      </w:pPr>
    </w:p>
    <w:p w:rsidR="00460B33" w:rsidRPr="00D15A50" w:rsidRDefault="00460B33">
      <w:pPr>
        <w:rPr>
          <w:rFonts w:ascii="Times New Roman" w:hAnsi="Times New Roman"/>
          <w:sz w:val="24"/>
          <w:szCs w:val="24"/>
        </w:rPr>
      </w:pPr>
    </w:p>
    <w:sectPr w:rsidR="00460B33" w:rsidRPr="00D15A50" w:rsidSect="00686A81">
      <w:footerReference w:type="default" r:id="rId7"/>
      <w:pgSz w:w="11906" w:h="16838" w:code="9"/>
      <w:pgMar w:top="1191" w:right="1191" w:bottom="1191" w:left="119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056" w:rsidRDefault="00AA4056" w:rsidP="003D329C">
      <w:pPr>
        <w:spacing w:after="0" w:line="240" w:lineRule="auto"/>
      </w:pPr>
      <w:r>
        <w:separator/>
      </w:r>
    </w:p>
  </w:endnote>
  <w:endnote w:type="continuationSeparator" w:id="0">
    <w:p w:rsidR="00AA4056" w:rsidRDefault="00AA4056" w:rsidP="003D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29C" w:rsidRDefault="003D329C">
    <w:pPr>
      <w:pStyle w:val="Pta"/>
      <w:jc w:val="center"/>
    </w:pPr>
    <w:r>
      <w:fldChar w:fldCharType="begin"/>
    </w:r>
    <w:r>
      <w:instrText>PAGE   \* MERGEFORMAT</w:instrText>
    </w:r>
    <w:r>
      <w:fldChar w:fldCharType="separate"/>
    </w:r>
    <w:r w:rsidR="00310A16">
      <w:rPr>
        <w:noProof/>
      </w:rPr>
      <w:t>1</w:t>
    </w:r>
    <w:r>
      <w:fldChar w:fldCharType="end"/>
    </w:r>
  </w:p>
  <w:p w:rsidR="003D329C" w:rsidRDefault="003D329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056" w:rsidRDefault="00AA4056" w:rsidP="003D329C">
      <w:pPr>
        <w:spacing w:after="0" w:line="240" w:lineRule="auto"/>
      </w:pPr>
      <w:r>
        <w:separator/>
      </w:r>
    </w:p>
  </w:footnote>
  <w:footnote w:type="continuationSeparator" w:id="0">
    <w:p w:rsidR="00AA4056" w:rsidRDefault="00AA4056" w:rsidP="003D3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63D9"/>
    <w:multiLevelType w:val="hybridMultilevel"/>
    <w:tmpl w:val="2134313A"/>
    <w:lvl w:ilvl="0" w:tplc="E840912A">
      <w:start w:val="1"/>
      <w:numFmt w:val="lowerLetter"/>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15:restartNumberingAfterBreak="0">
    <w:nsid w:val="3B515B8A"/>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0BB08A6"/>
    <w:multiLevelType w:val="hybridMultilevel"/>
    <w:tmpl w:val="9A7024FA"/>
    <w:lvl w:ilvl="0" w:tplc="CCCEB200">
      <w:start w:val="6"/>
      <w:numFmt w:val="bullet"/>
      <w:lvlText w:val="-"/>
      <w:lvlJc w:val="left"/>
      <w:pPr>
        <w:tabs>
          <w:tab w:val="num" w:pos="900"/>
        </w:tabs>
        <w:ind w:left="900" w:hanging="360"/>
      </w:pPr>
      <w:rPr>
        <w:rFonts w:ascii="Times New Roman" w:eastAsia="Times New Roman" w:hAnsi="Times New Roman" w:cs="Times New Roman" w:hint="default"/>
      </w:rPr>
    </w:lvl>
    <w:lvl w:ilvl="1" w:tplc="FDEA91CA">
      <w:start w:val="1"/>
      <w:numFmt w:val="lowerLetter"/>
      <w:lvlText w:val="%2)"/>
      <w:lvlJc w:val="left"/>
      <w:pPr>
        <w:tabs>
          <w:tab w:val="num" w:pos="417"/>
        </w:tabs>
        <w:ind w:left="720" w:hanging="360"/>
      </w:pPr>
      <w:rPr>
        <w:rFonts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5B907679"/>
    <w:multiLevelType w:val="hybridMultilevel"/>
    <w:tmpl w:val="9F96B04A"/>
    <w:lvl w:ilvl="0" w:tplc="700AA10A">
      <w:start w:val="1"/>
      <w:numFmt w:val="bullet"/>
      <w:lvlText w:val="─"/>
      <w:lvlJc w:val="left"/>
      <w:pPr>
        <w:ind w:left="1440" w:hanging="360"/>
      </w:pPr>
      <w:rPr>
        <w:rFonts w:ascii="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602835AA"/>
    <w:multiLevelType w:val="hybridMultilevel"/>
    <w:tmpl w:val="83C6E62A"/>
    <w:lvl w:ilvl="0" w:tplc="EC622E82">
      <w:start w:val="1"/>
      <w:numFmt w:val="decimal"/>
      <w:lvlText w:val="%1."/>
      <w:lvlJc w:val="left"/>
      <w:pPr>
        <w:ind w:left="644" w:hanging="360"/>
      </w:pPr>
      <w:rPr>
        <w:rFonts w:cs="Arial Narrow"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62A6481C"/>
    <w:multiLevelType w:val="hybridMultilevel"/>
    <w:tmpl w:val="1BFE2034"/>
    <w:lvl w:ilvl="0" w:tplc="E228DB96">
      <w:start w:val="3"/>
      <w:numFmt w:val="decimal"/>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AB62683"/>
    <w:multiLevelType w:val="singleLevel"/>
    <w:tmpl w:val="768E8086"/>
    <w:lvl w:ilvl="0">
      <w:start w:val="1"/>
      <w:numFmt w:val="bullet"/>
      <w:lvlText w:val="-"/>
      <w:lvlJc w:val="left"/>
      <w:pPr>
        <w:tabs>
          <w:tab w:val="num" w:pos="660"/>
        </w:tabs>
        <w:ind w:left="660" w:hanging="360"/>
      </w:pPr>
      <w:rPr>
        <w:rFonts w:hint="default"/>
      </w:rPr>
    </w:lvl>
  </w:abstractNum>
  <w:abstractNum w:abstractNumId="7" w15:restartNumberingAfterBreak="0">
    <w:nsid w:val="6B625AE5"/>
    <w:multiLevelType w:val="singleLevel"/>
    <w:tmpl w:val="0405000F"/>
    <w:lvl w:ilvl="0">
      <w:start w:val="2"/>
      <w:numFmt w:val="decimal"/>
      <w:lvlText w:val="%1."/>
      <w:lvlJc w:val="left"/>
      <w:pPr>
        <w:tabs>
          <w:tab w:val="num" w:pos="360"/>
        </w:tabs>
        <w:ind w:left="360" w:hanging="360"/>
      </w:pPr>
      <w:rPr>
        <w:rFonts w:hint="default"/>
      </w:rPr>
    </w:lvl>
  </w:abstractNum>
  <w:abstractNum w:abstractNumId="8" w15:restartNumberingAfterBreak="0">
    <w:nsid w:val="7F1E6760"/>
    <w:multiLevelType w:val="hybridMultilevel"/>
    <w:tmpl w:val="CD34C702"/>
    <w:lvl w:ilvl="0" w:tplc="0F162244">
      <w:start w:val="1"/>
      <w:numFmt w:val="lowerLetter"/>
      <w:lvlText w:val="%1)"/>
      <w:lvlJc w:val="left"/>
      <w:pPr>
        <w:tabs>
          <w:tab w:val="num" w:pos="644"/>
        </w:tabs>
        <w:ind w:left="644" w:hanging="360"/>
      </w:pPr>
      <w:rPr>
        <w:rFonts w:hint="default"/>
      </w:rPr>
    </w:lvl>
    <w:lvl w:ilvl="1" w:tplc="041B0019" w:tentative="1">
      <w:start w:val="1"/>
      <w:numFmt w:val="lowerLetter"/>
      <w:lvlText w:val="%2."/>
      <w:lvlJc w:val="left"/>
      <w:pPr>
        <w:tabs>
          <w:tab w:val="num" w:pos="1364"/>
        </w:tabs>
        <w:ind w:left="1364" w:hanging="360"/>
      </w:pPr>
    </w:lvl>
    <w:lvl w:ilvl="2" w:tplc="041B001B" w:tentative="1">
      <w:start w:val="1"/>
      <w:numFmt w:val="lowerRoman"/>
      <w:lvlText w:val="%3."/>
      <w:lvlJc w:val="right"/>
      <w:pPr>
        <w:tabs>
          <w:tab w:val="num" w:pos="2084"/>
        </w:tabs>
        <w:ind w:left="2084" w:hanging="180"/>
      </w:pPr>
    </w:lvl>
    <w:lvl w:ilvl="3" w:tplc="041B000F" w:tentative="1">
      <w:start w:val="1"/>
      <w:numFmt w:val="decimal"/>
      <w:lvlText w:val="%4."/>
      <w:lvlJc w:val="left"/>
      <w:pPr>
        <w:tabs>
          <w:tab w:val="num" w:pos="2804"/>
        </w:tabs>
        <w:ind w:left="2804" w:hanging="360"/>
      </w:pPr>
    </w:lvl>
    <w:lvl w:ilvl="4" w:tplc="041B0019" w:tentative="1">
      <w:start w:val="1"/>
      <w:numFmt w:val="lowerLetter"/>
      <w:lvlText w:val="%5."/>
      <w:lvlJc w:val="left"/>
      <w:pPr>
        <w:tabs>
          <w:tab w:val="num" w:pos="3524"/>
        </w:tabs>
        <w:ind w:left="3524" w:hanging="360"/>
      </w:pPr>
    </w:lvl>
    <w:lvl w:ilvl="5" w:tplc="041B001B" w:tentative="1">
      <w:start w:val="1"/>
      <w:numFmt w:val="lowerRoman"/>
      <w:lvlText w:val="%6."/>
      <w:lvlJc w:val="right"/>
      <w:pPr>
        <w:tabs>
          <w:tab w:val="num" w:pos="4244"/>
        </w:tabs>
        <w:ind w:left="4244" w:hanging="180"/>
      </w:pPr>
    </w:lvl>
    <w:lvl w:ilvl="6" w:tplc="041B000F" w:tentative="1">
      <w:start w:val="1"/>
      <w:numFmt w:val="decimal"/>
      <w:lvlText w:val="%7."/>
      <w:lvlJc w:val="left"/>
      <w:pPr>
        <w:tabs>
          <w:tab w:val="num" w:pos="4964"/>
        </w:tabs>
        <w:ind w:left="4964" w:hanging="360"/>
      </w:pPr>
    </w:lvl>
    <w:lvl w:ilvl="7" w:tplc="041B0019" w:tentative="1">
      <w:start w:val="1"/>
      <w:numFmt w:val="lowerLetter"/>
      <w:lvlText w:val="%8."/>
      <w:lvlJc w:val="left"/>
      <w:pPr>
        <w:tabs>
          <w:tab w:val="num" w:pos="5684"/>
        </w:tabs>
        <w:ind w:left="5684" w:hanging="360"/>
      </w:pPr>
    </w:lvl>
    <w:lvl w:ilvl="8" w:tplc="041B001B" w:tentative="1">
      <w:start w:val="1"/>
      <w:numFmt w:val="lowerRoman"/>
      <w:lvlText w:val="%9."/>
      <w:lvlJc w:val="right"/>
      <w:pPr>
        <w:tabs>
          <w:tab w:val="num" w:pos="6404"/>
        </w:tabs>
        <w:ind w:left="6404" w:hanging="180"/>
      </w:pPr>
    </w:lvl>
  </w:abstractNum>
  <w:num w:numId="1">
    <w:abstractNumId w:val="6"/>
  </w:num>
  <w:num w:numId="2">
    <w:abstractNumId w:val="7"/>
  </w:num>
  <w:num w:numId="3">
    <w:abstractNumId w:val="8"/>
  </w:num>
  <w:num w:numId="4">
    <w:abstractNumId w:val="2"/>
  </w:num>
  <w:num w:numId="5">
    <w:abstractNumId w:val="4"/>
  </w:num>
  <w:num w:numId="6">
    <w:abstractNumId w:val="0"/>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CA2"/>
    <w:rsid w:val="00040BF6"/>
    <w:rsid w:val="0006227B"/>
    <w:rsid w:val="00065CA2"/>
    <w:rsid w:val="00071DA5"/>
    <w:rsid w:val="0007442C"/>
    <w:rsid w:val="00083CC2"/>
    <w:rsid w:val="000B29DA"/>
    <w:rsid w:val="000C66F6"/>
    <w:rsid w:val="000D3012"/>
    <w:rsid w:val="000F0381"/>
    <w:rsid w:val="00104465"/>
    <w:rsid w:val="00106778"/>
    <w:rsid w:val="00137554"/>
    <w:rsid w:val="0014367A"/>
    <w:rsid w:val="00156E36"/>
    <w:rsid w:val="001F4B4F"/>
    <w:rsid w:val="00217CA8"/>
    <w:rsid w:val="002216B0"/>
    <w:rsid w:val="003068C7"/>
    <w:rsid w:val="00310A16"/>
    <w:rsid w:val="00313CBB"/>
    <w:rsid w:val="003151DF"/>
    <w:rsid w:val="00337D17"/>
    <w:rsid w:val="00354392"/>
    <w:rsid w:val="003D329C"/>
    <w:rsid w:val="00421E64"/>
    <w:rsid w:val="00460B33"/>
    <w:rsid w:val="004824B0"/>
    <w:rsid w:val="004F001C"/>
    <w:rsid w:val="005241E2"/>
    <w:rsid w:val="00526938"/>
    <w:rsid w:val="00584975"/>
    <w:rsid w:val="005B2D57"/>
    <w:rsid w:val="005E0609"/>
    <w:rsid w:val="005E0838"/>
    <w:rsid w:val="005E2644"/>
    <w:rsid w:val="005E622C"/>
    <w:rsid w:val="00615B2F"/>
    <w:rsid w:val="00630977"/>
    <w:rsid w:val="0065012C"/>
    <w:rsid w:val="00683373"/>
    <w:rsid w:val="00686A81"/>
    <w:rsid w:val="006926D9"/>
    <w:rsid w:val="00693C43"/>
    <w:rsid w:val="006F1FC5"/>
    <w:rsid w:val="00720666"/>
    <w:rsid w:val="00737FB9"/>
    <w:rsid w:val="00740A07"/>
    <w:rsid w:val="00746482"/>
    <w:rsid w:val="00752DE2"/>
    <w:rsid w:val="007B4057"/>
    <w:rsid w:val="007C4C69"/>
    <w:rsid w:val="007D7769"/>
    <w:rsid w:val="0081702F"/>
    <w:rsid w:val="00833181"/>
    <w:rsid w:val="00843970"/>
    <w:rsid w:val="00876DC5"/>
    <w:rsid w:val="00910160"/>
    <w:rsid w:val="00913F22"/>
    <w:rsid w:val="009277BC"/>
    <w:rsid w:val="0093341C"/>
    <w:rsid w:val="0097605F"/>
    <w:rsid w:val="009B39FE"/>
    <w:rsid w:val="009E577E"/>
    <w:rsid w:val="00A0140A"/>
    <w:rsid w:val="00A03F68"/>
    <w:rsid w:val="00A10A10"/>
    <w:rsid w:val="00A50907"/>
    <w:rsid w:val="00A52A40"/>
    <w:rsid w:val="00A657B6"/>
    <w:rsid w:val="00A7636C"/>
    <w:rsid w:val="00A90D55"/>
    <w:rsid w:val="00AA4056"/>
    <w:rsid w:val="00AC2623"/>
    <w:rsid w:val="00B32255"/>
    <w:rsid w:val="00B94785"/>
    <w:rsid w:val="00BA2713"/>
    <w:rsid w:val="00C11313"/>
    <w:rsid w:val="00C46F38"/>
    <w:rsid w:val="00C47049"/>
    <w:rsid w:val="00CB5C8F"/>
    <w:rsid w:val="00D15A50"/>
    <w:rsid w:val="00D31A40"/>
    <w:rsid w:val="00D6275A"/>
    <w:rsid w:val="00DB5AD7"/>
    <w:rsid w:val="00DC37A0"/>
    <w:rsid w:val="00DD3F88"/>
    <w:rsid w:val="00DD594E"/>
    <w:rsid w:val="00DF406A"/>
    <w:rsid w:val="00E02D5D"/>
    <w:rsid w:val="00E0425B"/>
    <w:rsid w:val="00E13497"/>
    <w:rsid w:val="00E44764"/>
    <w:rsid w:val="00E53066"/>
    <w:rsid w:val="00E876D9"/>
    <w:rsid w:val="00EB2CFE"/>
    <w:rsid w:val="00F53539"/>
    <w:rsid w:val="00F5711F"/>
    <w:rsid w:val="00F6157E"/>
    <w:rsid w:val="00F74200"/>
    <w:rsid w:val="00F92B2D"/>
    <w:rsid w:val="00FD59DC"/>
    <w:rsid w:val="00FE7A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7B98871-FBCA-47D8-9832-4E2316A5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line="259" w:lineRule="auto"/>
    </w:pPr>
    <w:rPr>
      <w:sz w:val="22"/>
      <w:szCs w:val="22"/>
      <w:lang w:eastAsia="en-U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065CA2"/>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link w:val="Zkladntext"/>
    <w:rsid w:val="00065CA2"/>
    <w:rPr>
      <w:rFonts w:ascii="Times New Roman" w:eastAsia="Times New Roman" w:hAnsi="Times New Roman" w:cs="Times New Roman"/>
      <w:sz w:val="24"/>
      <w:szCs w:val="24"/>
      <w:lang w:eastAsia="sk-SK"/>
    </w:rPr>
  </w:style>
  <w:style w:type="paragraph" w:customStyle="1" w:styleId="Zkladntext0">
    <w:name w:val="Zkladn text"/>
    <w:rsid w:val="00065CA2"/>
    <w:pPr>
      <w:widowControl w:val="0"/>
      <w:autoSpaceDE w:val="0"/>
      <w:autoSpaceDN w:val="0"/>
    </w:pPr>
    <w:rPr>
      <w:rFonts w:ascii="Times New Roman" w:eastAsia="Times New Roman" w:hAnsi="Times New Roman"/>
      <w:color w:val="000000"/>
    </w:rPr>
  </w:style>
  <w:style w:type="paragraph" w:customStyle="1" w:styleId="dka">
    <w:name w:val="dka"/>
    <w:rsid w:val="00065CA2"/>
    <w:pPr>
      <w:widowControl w:val="0"/>
      <w:autoSpaceDE w:val="0"/>
      <w:autoSpaceDN w:val="0"/>
    </w:pPr>
    <w:rPr>
      <w:rFonts w:ascii="Times New Roman" w:eastAsia="Times New Roman" w:hAnsi="Times New Roman"/>
      <w:color w:val="000000"/>
    </w:rPr>
  </w:style>
  <w:style w:type="paragraph" w:customStyle="1" w:styleId="Zkladntext1">
    <w:name w:val="Základní text"/>
    <w:rsid w:val="00065CA2"/>
    <w:pPr>
      <w:widowControl w:val="0"/>
    </w:pPr>
    <w:rPr>
      <w:rFonts w:ascii="Times New Roman" w:eastAsia="Times New Roman" w:hAnsi="Times New Roman"/>
      <w:color w:val="000000"/>
      <w:lang w:val="cs-CZ"/>
    </w:rPr>
  </w:style>
  <w:style w:type="paragraph" w:styleId="Nzov">
    <w:name w:val="Title"/>
    <w:basedOn w:val="Normlny"/>
    <w:link w:val="NzovChar"/>
    <w:qFormat/>
    <w:rsid w:val="00065CA2"/>
    <w:pPr>
      <w:autoSpaceDE w:val="0"/>
      <w:autoSpaceDN w:val="0"/>
      <w:spacing w:after="0" w:line="240" w:lineRule="auto"/>
      <w:jc w:val="center"/>
    </w:pPr>
    <w:rPr>
      <w:rFonts w:ascii="Times New Roman" w:eastAsia="Times New Roman" w:hAnsi="Times New Roman"/>
      <w:b/>
      <w:bCs/>
      <w:sz w:val="24"/>
      <w:szCs w:val="24"/>
      <w:lang w:eastAsia="sk-SK"/>
    </w:rPr>
  </w:style>
  <w:style w:type="character" w:customStyle="1" w:styleId="NzovChar">
    <w:name w:val="Názov Char"/>
    <w:link w:val="Nzov"/>
    <w:rsid w:val="00065CA2"/>
    <w:rPr>
      <w:rFonts w:ascii="Times New Roman" w:eastAsia="Times New Roman" w:hAnsi="Times New Roman" w:cs="Times New Roman"/>
      <w:b/>
      <w:bCs/>
      <w:sz w:val="24"/>
      <w:szCs w:val="24"/>
      <w:lang w:eastAsia="sk-SK"/>
    </w:rPr>
  </w:style>
  <w:style w:type="character" w:styleId="Zvraznenie">
    <w:name w:val="Emphasis"/>
    <w:uiPriority w:val="20"/>
    <w:qFormat/>
    <w:rsid w:val="00065CA2"/>
    <w:rPr>
      <w:i/>
      <w:iCs/>
    </w:rPr>
  </w:style>
  <w:style w:type="paragraph" w:styleId="Zarkazkladnhotextu">
    <w:name w:val="Body Text Indent"/>
    <w:basedOn w:val="Normlny"/>
    <w:link w:val="ZarkazkladnhotextuChar"/>
    <w:uiPriority w:val="99"/>
    <w:unhideWhenUsed/>
    <w:rsid w:val="00065CA2"/>
    <w:pPr>
      <w:spacing w:after="120" w:line="240" w:lineRule="auto"/>
      <w:ind w:left="283"/>
    </w:pPr>
    <w:rPr>
      <w:rFonts w:ascii="Times New Roman" w:eastAsia="Times New Roman" w:hAnsi="Times New Roman"/>
      <w:sz w:val="24"/>
      <w:szCs w:val="24"/>
      <w:lang w:val="x-none" w:eastAsia="x-none"/>
    </w:rPr>
  </w:style>
  <w:style w:type="character" w:customStyle="1" w:styleId="ZarkazkladnhotextuChar">
    <w:name w:val="Zarážka základného textu Char"/>
    <w:link w:val="Zarkazkladnhotextu"/>
    <w:uiPriority w:val="99"/>
    <w:rsid w:val="00065CA2"/>
    <w:rPr>
      <w:rFonts w:ascii="Times New Roman" w:eastAsia="Times New Roman" w:hAnsi="Times New Roman" w:cs="Times New Roman"/>
      <w:sz w:val="24"/>
      <w:szCs w:val="24"/>
      <w:lang w:val="x-none" w:eastAsia="x-none"/>
    </w:rPr>
  </w:style>
  <w:style w:type="character" w:styleId="Siln">
    <w:name w:val="Strong"/>
    <w:uiPriority w:val="22"/>
    <w:qFormat/>
    <w:rsid w:val="00065CA2"/>
    <w:rPr>
      <w:b/>
      <w:bCs/>
    </w:rPr>
  </w:style>
  <w:style w:type="paragraph" w:styleId="Odsekzoznamu">
    <w:name w:val="List Paragraph"/>
    <w:aliases w:val="Odstavec cíl se seznamem,Odstavec se seznamem1"/>
    <w:basedOn w:val="Normlny"/>
    <w:link w:val="OdsekzoznamuChar"/>
    <w:uiPriority w:val="34"/>
    <w:qFormat/>
    <w:rsid w:val="005E2644"/>
    <w:pPr>
      <w:ind w:left="720"/>
      <w:contextualSpacing/>
    </w:pPr>
  </w:style>
  <w:style w:type="paragraph" w:styleId="Textbubliny">
    <w:name w:val="Balloon Text"/>
    <w:basedOn w:val="Normlny"/>
    <w:link w:val="TextbublinyChar"/>
    <w:uiPriority w:val="99"/>
    <w:semiHidden/>
    <w:unhideWhenUsed/>
    <w:rsid w:val="007B405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7B4057"/>
    <w:rPr>
      <w:rFonts w:ascii="Segoe UI" w:hAnsi="Segoe UI" w:cs="Segoe UI"/>
      <w:sz w:val="18"/>
      <w:szCs w:val="18"/>
    </w:rPr>
  </w:style>
  <w:style w:type="character" w:customStyle="1" w:styleId="awspan1">
    <w:name w:val="awspan1"/>
    <w:rsid w:val="00E876D9"/>
    <w:rPr>
      <w:rFonts w:cs="Times New Roman"/>
      <w:color w:val="000000"/>
      <w:sz w:val="24"/>
      <w:szCs w:val="24"/>
    </w:rPr>
  </w:style>
  <w:style w:type="paragraph" w:customStyle="1" w:styleId="c08dispositif">
    <w:name w:val="c08dispositif"/>
    <w:basedOn w:val="Normlny"/>
    <w:rsid w:val="00630977"/>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c31dispositiftiretlong">
    <w:name w:val="c31dispositiftiretlong"/>
    <w:basedOn w:val="Normlny"/>
    <w:rsid w:val="00630977"/>
    <w:pPr>
      <w:spacing w:before="100" w:beforeAutospacing="1" w:after="100" w:afterAutospacing="1" w:line="240" w:lineRule="auto"/>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3D32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D329C"/>
  </w:style>
  <w:style w:type="paragraph" w:styleId="Pta">
    <w:name w:val="footer"/>
    <w:basedOn w:val="Normlny"/>
    <w:link w:val="PtaChar"/>
    <w:uiPriority w:val="99"/>
    <w:unhideWhenUsed/>
    <w:rsid w:val="003D329C"/>
    <w:pPr>
      <w:tabs>
        <w:tab w:val="center" w:pos="4536"/>
        <w:tab w:val="right" w:pos="9072"/>
      </w:tabs>
      <w:spacing w:after="0" w:line="240" w:lineRule="auto"/>
    </w:pPr>
  </w:style>
  <w:style w:type="character" w:customStyle="1" w:styleId="PtaChar">
    <w:name w:val="Päta Char"/>
    <w:basedOn w:val="Predvolenpsmoodseku"/>
    <w:link w:val="Pta"/>
    <w:uiPriority w:val="99"/>
    <w:rsid w:val="003D329C"/>
  </w:style>
  <w:style w:type="character" w:customStyle="1" w:styleId="OdsekzoznamuChar">
    <w:name w:val="Odsek zoznamu Char"/>
    <w:aliases w:val="Odstavec cíl se seznamem Char,Odstavec se seznamem1 Char"/>
    <w:link w:val="Odsekzoznamu"/>
    <w:uiPriority w:val="34"/>
    <w:locked/>
    <w:rsid w:val="00421E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00403">
      <w:bodyDiv w:val="1"/>
      <w:marLeft w:val="0"/>
      <w:marRight w:val="0"/>
      <w:marTop w:val="0"/>
      <w:marBottom w:val="0"/>
      <w:divBdr>
        <w:top w:val="none" w:sz="0" w:space="0" w:color="auto"/>
        <w:left w:val="none" w:sz="0" w:space="0" w:color="auto"/>
        <w:bottom w:val="none" w:sz="0" w:space="0" w:color="auto"/>
        <w:right w:val="none" w:sz="0" w:space="0" w:color="auto"/>
      </w:divBdr>
    </w:div>
    <w:div w:id="804738244">
      <w:bodyDiv w:val="1"/>
      <w:marLeft w:val="0"/>
      <w:marRight w:val="0"/>
      <w:marTop w:val="0"/>
      <w:marBottom w:val="0"/>
      <w:divBdr>
        <w:top w:val="none" w:sz="0" w:space="0" w:color="auto"/>
        <w:left w:val="none" w:sz="0" w:space="0" w:color="auto"/>
        <w:bottom w:val="none" w:sz="0" w:space="0" w:color="auto"/>
        <w:right w:val="none" w:sz="0" w:space="0" w:color="auto"/>
      </w:divBdr>
    </w:div>
    <w:div w:id="883952532">
      <w:bodyDiv w:val="1"/>
      <w:marLeft w:val="0"/>
      <w:marRight w:val="0"/>
      <w:marTop w:val="0"/>
      <w:marBottom w:val="0"/>
      <w:divBdr>
        <w:top w:val="none" w:sz="0" w:space="0" w:color="auto"/>
        <w:left w:val="none" w:sz="0" w:space="0" w:color="auto"/>
        <w:bottom w:val="none" w:sz="0" w:space="0" w:color="auto"/>
        <w:right w:val="none" w:sz="0" w:space="0" w:color="auto"/>
      </w:divBdr>
    </w:div>
    <w:div w:id="1417090626">
      <w:bodyDiv w:val="1"/>
      <w:marLeft w:val="0"/>
      <w:marRight w:val="0"/>
      <w:marTop w:val="0"/>
      <w:marBottom w:val="0"/>
      <w:divBdr>
        <w:top w:val="none" w:sz="0" w:space="0" w:color="auto"/>
        <w:left w:val="none" w:sz="0" w:space="0" w:color="auto"/>
        <w:bottom w:val="none" w:sz="0" w:space="0" w:color="auto"/>
        <w:right w:val="none" w:sz="0" w:space="0" w:color="auto"/>
      </w:divBdr>
    </w:div>
    <w:div w:id="1490903758">
      <w:bodyDiv w:val="1"/>
      <w:marLeft w:val="0"/>
      <w:marRight w:val="0"/>
      <w:marTop w:val="0"/>
      <w:marBottom w:val="0"/>
      <w:divBdr>
        <w:top w:val="none" w:sz="0" w:space="0" w:color="auto"/>
        <w:left w:val="none" w:sz="0" w:space="0" w:color="auto"/>
        <w:bottom w:val="none" w:sz="0" w:space="0" w:color="auto"/>
        <w:right w:val="none" w:sz="0" w:space="0" w:color="auto"/>
      </w:divBdr>
    </w:div>
    <w:div w:id="2009939142">
      <w:bodyDiv w:val="1"/>
      <w:marLeft w:val="0"/>
      <w:marRight w:val="0"/>
      <w:marTop w:val="0"/>
      <w:marBottom w:val="0"/>
      <w:divBdr>
        <w:top w:val="none" w:sz="0" w:space="0" w:color="auto"/>
        <w:left w:val="none" w:sz="0" w:space="0" w:color="auto"/>
        <w:bottom w:val="none" w:sz="0" w:space="0" w:color="auto"/>
        <w:right w:val="none" w:sz="0" w:space="0" w:color="auto"/>
      </w:divBdr>
    </w:div>
    <w:div w:id="210981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871</Words>
  <Characters>4965</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Zamecnikova Petra</dc:creator>
  <cp:keywords/>
  <dc:description/>
  <cp:lastModifiedBy>Fuleova Zuzana</cp:lastModifiedBy>
  <cp:revision>2</cp:revision>
  <cp:lastPrinted>2020-06-02T11:18:00Z</cp:lastPrinted>
  <dcterms:created xsi:type="dcterms:W3CDTF">2024-05-15T13:07:00Z</dcterms:created>
  <dcterms:modified xsi:type="dcterms:W3CDTF">2024-05-15T13:07:00Z</dcterms:modified>
</cp:coreProperties>
</file>