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21" w:rsidRPr="00E163DF" w:rsidRDefault="003C7421" w:rsidP="003C7421">
      <w:pPr>
        <w:jc w:val="both"/>
        <w:rPr>
          <w:b/>
          <w:color w:val="000000"/>
        </w:rPr>
      </w:pPr>
      <w:r w:rsidRPr="00E163DF">
        <w:rPr>
          <w:b/>
          <w:color w:val="000000"/>
        </w:rPr>
        <w:t>B. Osobitná časť</w:t>
      </w:r>
    </w:p>
    <w:p w:rsidR="00FC18FB" w:rsidRPr="00E163DF" w:rsidRDefault="00FC18FB" w:rsidP="00A35E22">
      <w:pPr>
        <w:jc w:val="both"/>
        <w:rPr>
          <w:bCs/>
        </w:rPr>
      </w:pPr>
    </w:p>
    <w:p w:rsidR="00A35E22" w:rsidRPr="00E163DF" w:rsidRDefault="00A35E22" w:rsidP="00A35E22">
      <w:pPr>
        <w:jc w:val="both"/>
        <w:rPr>
          <w:b/>
          <w:bCs/>
        </w:rPr>
      </w:pPr>
      <w:r w:rsidRPr="00E163DF">
        <w:rPr>
          <w:b/>
          <w:bCs/>
        </w:rPr>
        <w:t>K článku I</w:t>
      </w:r>
    </w:p>
    <w:p w:rsidR="000D59C7" w:rsidRDefault="000D59C7" w:rsidP="000D59C7">
      <w:pPr>
        <w:tabs>
          <w:tab w:val="left" w:pos="360"/>
        </w:tabs>
        <w:jc w:val="both"/>
      </w:pPr>
    </w:p>
    <w:p w:rsidR="00D33815" w:rsidRDefault="0006283B" w:rsidP="00D33815">
      <w:pPr>
        <w:autoSpaceDE w:val="0"/>
        <w:autoSpaceDN w:val="0"/>
        <w:adjustRightInd w:val="0"/>
        <w:jc w:val="both"/>
        <w:rPr>
          <w:b/>
          <w:bCs/>
        </w:rPr>
      </w:pPr>
      <w:r w:rsidRPr="0006283B">
        <w:rPr>
          <w:b/>
          <w:bCs/>
        </w:rPr>
        <w:t>K</w:t>
      </w:r>
      <w:r w:rsidR="007A6ED4">
        <w:rPr>
          <w:b/>
          <w:bCs/>
        </w:rPr>
        <w:t> </w:t>
      </w:r>
      <w:r w:rsidRPr="0006283B">
        <w:rPr>
          <w:b/>
          <w:bCs/>
        </w:rPr>
        <w:t>bod</w:t>
      </w:r>
      <w:r w:rsidR="007A6ED4">
        <w:rPr>
          <w:b/>
          <w:bCs/>
        </w:rPr>
        <w:t>u 1</w:t>
      </w:r>
    </w:p>
    <w:p w:rsidR="007A6ED4" w:rsidRPr="002D28D3" w:rsidRDefault="007A6ED4" w:rsidP="006B6DD7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Navrhovanou úpravou sa rozširuje predmet úpravy zákona nie</w:t>
      </w:r>
      <w:r w:rsidR="00A865D4">
        <w:rPr>
          <w:bCs/>
        </w:rPr>
        <w:t xml:space="preserve">len o tabakovú surovinu, ktorá už bola </w:t>
      </w:r>
      <w:r>
        <w:rPr>
          <w:bCs/>
        </w:rPr>
        <w:t xml:space="preserve">súčasťou zákona </w:t>
      </w:r>
      <w:r w:rsidR="00A865D4">
        <w:rPr>
          <w:bCs/>
        </w:rPr>
        <w:t xml:space="preserve">pred navrhovanými zmenami </w:t>
      </w:r>
      <w:r>
        <w:rPr>
          <w:bCs/>
        </w:rPr>
        <w:t xml:space="preserve">ale aj o bezdymový tabakový výrobok, ktorú už bol rovnako </w:t>
      </w:r>
      <w:r w:rsidR="00A865D4">
        <w:rPr>
          <w:bCs/>
        </w:rPr>
        <w:t xml:space="preserve">upravený </w:t>
      </w:r>
      <w:r>
        <w:rPr>
          <w:bCs/>
        </w:rPr>
        <w:t xml:space="preserve">v zákone </w:t>
      </w:r>
      <w:r w:rsidR="002D28D3">
        <w:rPr>
          <w:bCs/>
        </w:rPr>
        <w:t>a bude nanovo v </w:t>
      </w:r>
      <w:r w:rsidR="00A865D4">
        <w:rPr>
          <w:bCs/>
        </w:rPr>
        <w:t>návrhu zákona upravený z dôvodu veľkého počtu navrhovaných zmien</w:t>
      </w:r>
      <w:r w:rsidR="002D28D3">
        <w:rPr>
          <w:bCs/>
        </w:rPr>
        <w:t xml:space="preserve"> </w:t>
      </w:r>
      <w:r>
        <w:rPr>
          <w:bCs/>
        </w:rPr>
        <w:t>a</w:t>
      </w:r>
      <w:r w:rsidR="00A865D4">
        <w:rPr>
          <w:bCs/>
        </w:rPr>
        <w:t> </w:t>
      </w:r>
      <w:r w:rsidR="002D28D3">
        <w:rPr>
          <w:bCs/>
        </w:rPr>
        <w:t>tiež</w:t>
      </w:r>
      <w:r w:rsidR="00A865D4">
        <w:rPr>
          <w:bCs/>
        </w:rPr>
        <w:t xml:space="preserve"> novo upravovaný</w:t>
      </w:r>
      <w:r w:rsidR="002D28D3">
        <w:rPr>
          <w:bCs/>
        </w:rPr>
        <w:t xml:space="preserve"> </w:t>
      </w:r>
      <w:r>
        <w:rPr>
          <w:bCs/>
        </w:rPr>
        <w:t>výrobok súvisiaci s tabakovými výrobkami</w:t>
      </w:r>
      <w:r w:rsidR="002D28D3">
        <w:rPr>
          <w:bCs/>
        </w:rPr>
        <w:t>.</w:t>
      </w:r>
    </w:p>
    <w:p w:rsidR="007A6ED4" w:rsidRDefault="007A6ED4" w:rsidP="00D33815">
      <w:pPr>
        <w:autoSpaceDE w:val="0"/>
        <w:autoSpaceDN w:val="0"/>
        <w:adjustRightInd w:val="0"/>
        <w:jc w:val="both"/>
        <w:rPr>
          <w:b/>
          <w:bCs/>
        </w:rPr>
      </w:pPr>
    </w:p>
    <w:p w:rsidR="002D28D3" w:rsidRDefault="002D28D3" w:rsidP="002D28D3">
      <w:pPr>
        <w:autoSpaceDE w:val="0"/>
        <w:autoSpaceDN w:val="0"/>
        <w:adjustRightInd w:val="0"/>
        <w:jc w:val="both"/>
        <w:rPr>
          <w:b/>
          <w:bCs/>
        </w:rPr>
      </w:pPr>
      <w:r w:rsidRPr="0006283B">
        <w:rPr>
          <w:b/>
          <w:bCs/>
        </w:rPr>
        <w:t>K</w:t>
      </w:r>
      <w:r>
        <w:rPr>
          <w:b/>
          <w:bCs/>
        </w:rPr>
        <w:t> </w:t>
      </w:r>
      <w:r w:rsidRPr="0006283B">
        <w:rPr>
          <w:b/>
          <w:bCs/>
        </w:rPr>
        <w:t>bod</w:t>
      </w:r>
      <w:r>
        <w:rPr>
          <w:b/>
          <w:bCs/>
        </w:rPr>
        <w:t>u 2</w:t>
      </w:r>
    </w:p>
    <w:p w:rsidR="007A6ED4" w:rsidRDefault="002D28D3" w:rsidP="00D33815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ab/>
      </w:r>
      <w:r w:rsidRPr="002D28D3">
        <w:rPr>
          <w:bCs/>
        </w:rPr>
        <w:t xml:space="preserve">Legislatívno-technická </w:t>
      </w:r>
      <w:r>
        <w:rPr>
          <w:bCs/>
        </w:rPr>
        <w:t>úprava</w:t>
      </w:r>
      <w:r w:rsidR="00A865D4">
        <w:rPr>
          <w:bCs/>
        </w:rPr>
        <w:t xml:space="preserve"> ustanovenia</w:t>
      </w:r>
      <w:r>
        <w:rPr>
          <w:bCs/>
        </w:rPr>
        <w:t xml:space="preserve"> súvisiaca so skutočnosťou, že registráciu pre humánne lieky vydáva Štátny ústav pre kontrolu liečiv</w:t>
      </w:r>
      <w:r w:rsidR="003C005B">
        <w:rPr>
          <w:bCs/>
        </w:rPr>
        <w:t xml:space="preserve"> a nie Ministerstvo zdravotníctva Slovenskej republiky alebo ním poverená inštitúcia</w:t>
      </w:r>
      <w:r>
        <w:rPr>
          <w:bCs/>
        </w:rPr>
        <w:t>.</w:t>
      </w:r>
    </w:p>
    <w:p w:rsidR="009D22D0" w:rsidRDefault="009D22D0" w:rsidP="00D33815">
      <w:pPr>
        <w:autoSpaceDE w:val="0"/>
        <w:autoSpaceDN w:val="0"/>
        <w:adjustRightInd w:val="0"/>
        <w:jc w:val="both"/>
        <w:rPr>
          <w:bCs/>
        </w:rPr>
      </w:pPr>
    </w:p>
    <w:p w:rsidR="009D22D0" w:rsidRPr="009D22D0" w:rsidRDefault="009D22D0" w:rsidP="00D33815">
      <w:pPr>
        <w:autoSpaceDE w:val="0"/>
        <w:autoSpaceDN w:val="0"/>
        <w:adjustRightInd w:val="0"/>
        <w:jc w:val="both"/>
        <w:rPr>
          <w:b/>
          <w:bCs/>
        </w:rPr>
      </w:pPr>
      <w:r w:rsidRPr="009D22D0">
        <w:rPr>
          <w:b/>
          <w:bCs/>
        </w:rPr>
        <w:t>K bodu 3</w:t>
      </w:r>
    </w:p>
    <w:p w:rsidR="009D22D0" w:rsidRDefault="009D22D0" w:rsidP="00D3381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Legislatívno-technická úprava poznámky pod čiarou v súvislosti s novým zákonom o liekoch a zdravotníckych pomôckach.</w:t>
      </w:r>
    </w:p>
    <w:p w:rsidR="002D28D3" w:rsidRPr="002D28D3" w:rsidRDefault="002D28D3" w:rsidP="00D33815">
      <w:pPr>
        <w:autoSpaceDE w:val="0"/>
        <w:autoSpaceDN w:val="0"/>
        <w:adjustRightInd w:val="0"/>
        <w:jc w:val="both"/>
        <w:rPr>
          <w:bCs/>
        </w:rPr>
      </w:pPr>
    </w:p>
    <w:p w:rsidR="002D28D3" w:rsidRDefault="002D28D3" w:rsidP="002D28D3">
      <w:pPr>
        <w:autoSpaceDE w:val="0"/>
        <w:autoSpaceDN w:val="0"/>
        <w:adjustRightInd w:val="0"/>
        <w:jc w:val="both"/>
        <w:rPr>
          <w:b/>
          <w:bCs/>
        </w:rPr>
      </w:pPr>
      <w:r w:rsidRPr="0006283B">
        <w:rPr>
          <w:b/>
          <w:bCs/>
        </w:rPr>
        <w:t>K</w:t>
      </w:r>
      <w:r>
        <w:rPr>
          <w:b/>
          <w:bCs/>
        </w:rPr>
        <w:t> </w:t>
      </w:r>
      <w:r w:rsidRPr="0006283B">
        <w:rPr>
          <w:b/>
          <w:bCs/>
        </w:rPr>
        <w:t>bod</w:t>
      </w:r>
      <w:r w:rsidR="009D22D0">
        <w:rPr>
          <w:b/>
          <w:bCs/>
        </w:rPr>
        <w:t>u 4</w:t>
      </w:r>
    </w:p>
    <w:p w:rsidR="00446BD8" w:rsidRDefault="002D28D3" w:rsidP="00182332">
      <w:pPr>
        <w:jc w:val="both"/>
        <w:rPr>
          <w:bCs/>
        </w:rPr>
      </w:pPr>
      <w:r>
        <w:rPr>
          <w:bCs/>
        </w:rPr>
        <w:tab/>
      </w:r>
      <w:r w:rsidR="009D22D0">
        <w:rPr>
          <w:bCs/>
        </w:rPr>
        <w:t>Navrhovaná zmena predstavuje rozšírenie</w:t>
      </w:r>
      <w:r>
        <w:rPr>
          <w:bCs/>
        </w:rPr>
        <w:t xml:space="preserve"> predmetu dane o</w:t>
      </w:r>
      <w:r w:rsidR="009D22D0">
        <w:rPr>
          <w:bCs/>
        </w:rPr>
        <w:t> všetky neharmonizované predmety dane, ktorými sú tabaková surovina,</w:t>
      </w:r>
      <w:r>
        <w:rPr>
          <w:bCs/>
        </w:rPr>
        <w:t> bezdymový tabakový výrobok a o výrobok súvisiaci s tabakovými výrobkami.</w:t>
      </w:r>
    </w:p>
    <w:p w:rsidR="002D28D3" w:rsidRDefault="002D28D3" w:rsidP="00182332">
      <w:pPr>
        <w:jc w:val="both"/>
        <w:rPr>
          <w:bCs/>
        </w:rPr>
      </w:pPr>
    </w:p>
    <w:p w:rsidR="002D28D3" w:rsidRDefault="002D28D3" w:rsidP="002D28D3">
      <w:pPr>
        <w:autoSpaceDE w:val="0"/>
        <w:autoSpaceDN w:val="0"/>
        <w:adjustRightInd w:val="0"/>
        <w:jc w:val="both"/>
        <w:rPr>
          <w:b/>
          <w:bCs/>
        </w:rPr>
      </w:pPr>
      <w:r w:rsidRPr="0006283B">
        <w:rPr>
          <w:b/>
          <w:bCs/>
        </w:rPr>
        <w:t>K</w:t>
      </w:r>
      <w:r>
        <w:rPr>
          <w:b/>
          <w:bCs/>
        </w:rPr>
        <w:t> </w:t>
      </w:r>
      <w:r w:rsidRPr="0006283B">
        <w:rPr>
          <w:b/>
          <w:bCs/>
        </w:rPr>
        <w:t>bod</w:t>
      </w:r>
      <w:r w:rsidR="009D22D0">
        <w:rPr>
          <w:b/>
          <w:bCs/>
        </w:rPr>
        <w:t>u 5</w:t>
      </w:r>
    </w:p>
    <w:p w:rsidR="002D28D3" w:rsidRDefault="00CB343A" w:rsidP="009D22D0">
      <w:pPr>
        <w:tabs>
          <w:tab w:val="left" w:pos="567"/>
        </w:tabs>
        <w:ind w:firstLine="567"/>
        <w:jc w:val="both"/>
        <w:rPr>
          <w:bCs/>
        </w:rPr>
      </w:pPr>
      <w:r w:rsidRPr="00EB10B5">
        <w:rPr>
          <w:bCs/>
        </w:rPr>
        <w:t xml:space="preserve">Navrhovanou úpravou sa </w:t>
      </w:r>
      <w:r w:rsidR="003C005B">
        <w:rPr>
          <w:bCs/>
        </w:rPr>
        <w:t xml:space="preserve">v rámci daňového kalendára </w:t>
      </w:r>
      <w:r w:rsidRPr="00EB10B5">
        <w:rPr>
          <w:bCs/>
        </w:rPr>
        <w:t xml:space="preserve">upravuje sadzba dane </w:t>
      </w:r>
      <w:r>
        <w:rPr>
          <w:bCs/>
        </w:rPr>
        <w:t>z</w:t>
      </w:r>
      <w:r w:rsidRPr="00EB10B5">
        <w:rPr>
          <w:bCs/>
        </w:rPr>
        <w:t xml:space="preserve"> tabak</w:t>
      </w:r>
      <w:r>
        <w:rPr>
          <w:bCs/>
        </w:rPr>
        <w:t>u,</w:t>
      </w:r>
      <w:r w:rsidRPr="00EB10B5">
        <w:rPr>
          <w:bCs/>
        </w:rPr>
        <w:t xml:space="preserve"> špecifická časť kombinovanej sadzby dane </w:t>
      </w:r>
      <w:r>
        <w:rPr>
          <w:bCs/>
        </w:rPr>
        <w:t>z</w:t>
      </w:r>
      <w:r w:rsidR="009F05AD">
        <w:rPr>
          <w:bCs/>
        </w:rPr>
        <w:t> </w:t>
      </w:r>
      <w:r w:rsidRPr="00EB10B5">
        <w:rPr>
          <w:bCs/>
        </w:rPr>
        <w:t>cigar</w:t>
      </w:r>
      <w:r>
        <w:rPr>
          <w:bCs/>
        </w:rPr>
        <w:t>i</w:t>
      </w:r>
      <w:r w:rsidR="009F05AD">
        <w:rPr>
          <w:bCs/>
        </w:rPr>
        <w:t xml:space="preserve">et a </w:t>
      </w:r>
      <w:r w:rsidRPr="00EB10B5">
        <w:rPr>
          <w:bCs/>
        </w:rPr>
        <w:t>mi</w:t>
      </w:r>
      <w:r>
        <w:rPr>
          <w:bCs/>
        </w:rPr>
        <w:t>nimálna sadzba dane z cigariet</w:t>
      </w:r>
      <w:r w:rsidRPr="00EB10B5">
        <w:rPr>
          <w:bCs/>
        </w:rPr>
        <w:t>, a to s účinnosťou od 1. februára 202</w:t>
      </w:r>
      <w:r>
        <w:rPr>
          <w:bCs/>
        </w:rPr>
        <w:t>8</w:t>
      </w:r>
      <w:r w:rsidR="009D22D0">
        <w:rPr>
          <w:bCs/>
        </w:rPr>
        <w:t>.</w:t>
      </w:r>
    </w:p>
    <w:p w:rsidR="009D22D0" w:rsidRDefault="009D22D0" w:rsidP="009D22D0">
      <w:pPr>
        <w:tabs>
          <w:tab w:val="left" w:pos="567"/>
        </w:tabs>
        <w:ind w:firstLine="567"/>
        <w:jc w:val="both"/>
        <w:rPr>
          <w:bCs/>
        </w:rPr>
      </w:pPr>
    </w:p>
    <w:p w:rsidR="003C005B" w:rsidRDefault="003C005B" w:rsidP="003C005B">
      <w:pPr>
        <w:autoSpaceDE w:val="0"/>
        <w:autoSpaceDN w:val="0"/>
        <w:adjustRightInd w:val="0"/>
        <w:jc w:val="both"/>
        <w:rPr>
          <w:b/>
          <w:bCs/>
        </w:rPr>
      </w:pPr>
      <w:r w:rsidRPr="0006283B">
        <w:rPr>
          <w:b/>
          <w:bCs/>
        </w:rPr>
        <w:t>K</w:t>
      </w:r>
      <w:r>
        <w:rPr>
          <w:b/>
          <w:bCs/>
        </w:rPr>
        <w:t> </w:t>
      </w:r>
      <w:r w:rsidRPr="0006283B">
        <w:rPr>
          <w:b/>
          <w:bCs/>
        </w:rPr>
        <w:t>bod</w:t>
      </w:r>
      <w:r w:rsidR="009D22D0">
        <w:rPr>
          <w:b/>
          <w:bCs/>
        </w:rPr>
        <w:t>u 6</w:t>
      </w:r>
    </w:p>
    <w:p w:rsidR="002D28D3" w:rsidRDefault="003C005B" w:rsidP="003C005B">
      <w:pPr>
        <w:ind w:firstLine="567"/>
        <w:jc w:val="both"/>
        <w:rPr>
          <w:bCs/>
        </w:rPr>
      </w:pPr>
      <w:r w:rsidRPr="002D28D3">
        <w:rPr>
          <w:bCs/>
        </w:rPr>
        <w:t xml:space="preserve">Legislatívno-technická </w:t>
      </w:r>
      <w:r>
        <w:rPr>
          <w:bCs/>
        </w:rPr>
        <w:t>úprava znaku platnosti sa</w:t>
      </w:r>
      <w:r w:rsidR="009F05AD">
        <w:rPr>
          <w:bCs/>
        </w:rPr>
        <w:t>dzby dane súvisiaca s doterajšou</w:t>
      </w:r>
      <w:r>
        <w:rPr>
          <w:bCs/>
        </w:rPr>
        <w:t xml:space="preserve"> zdaňovaním bezdymového taba</w:t>
      </w:r>
      <w:r w:rsidR="00C249DA">
        <w:rPr>
          <w:bCs/>
        </w:rPr>
        <w:t>kového výrobku a</w:t>
      </w:r>
      <w:r w:rsidR="009F05AD">
        <w:rPr>
          <w:bCs/>
        </w:rPr>
        <w:t xml:space="preserve"> zavedením zdaňovania </w:t>
      </w:r>
      <w:r w:rsidR="00C249DA">
        <w:rPr>
          <w:bCs/>
        </w:rPr>
        <w:t xml:space="preserve">výrobkov súvisiacich </w:t>
      </w:r>
      <w:r>
        <w:rPr>
          <w:bCs/>
        </w:rPr>
        <w:t>s tabakovými výrobkami.</w:t>
      </w:r>
    </w:p>
    <w:p w:rsidR="002D28D3" w:rsidRDefault="002D28D3" w:rsidP="00182332">
      <w:pPr>
        <w:jc w:val="both"/>
        <w:rPr>
          <w:bCs/>
        </w:rPr>
      </w:pPr>
    </w:p>
    <w:p w:rsidR="00E71289" w:rsidRDefault="00E71289" w:rsidP="00E71289">
      <w:pPr>
        <w:autoSpaceDE w:val="0"/>
        <w:autoSpaceDN w:val="0"/>
        <w:adjustRightInd w:val="0"/>
        <w:jc w:val="both"/>
        <w:rPr>
          <w:b/>
          <w:bCs/>
        </w:rPr>
      </w:pPr>
      <w:r w:rsidRPr="0006283B">
        <w:rPr>
          <w:b/>
          <w:bCs/>
        </w:rPr>
        <w:t>K</w:t>
      </w:r>
      <w:r>
        <w:rPr>
          <w:b/>
          <w:bCs/>
        </w:rPr>
        <w:t> </w:t>
      </w:r>
      <w:r w:rsidRPr="0006283B">
        <w:rPr>
          <w:b/>
          <w:bCs/>
        </w:rPr>
        <w:t>bod</w:t>
      </w:r>
      <w:r w:rsidR="009D22D0">
        <w:rPr>
          <w:b/>
          <w:bCs/>
        </w:rPr>
        <w:t>u 7</w:t>
      </w:r>
    </w:p>
    <w:p w:rsidR="00806434" w:rsidRDefault="00E71289" w:rsidP="00806434">
      <w:pPr>
        <w:jc w:val="both"/>
        <w:rPr>
          <w:bCs/>
        </w:rPr>
      </w:pPr>
      <w:r>
        <w:rPr>
          <w:bCs/>
        </w:rPr>
        <w:tab/>
      </w:r>
      <w:r w:rsidR="00C249DA">
        <w:rPr>
          <w:bCs/>
        </w:rPr>
        <w:t>Navrhovanou úpravou sa rozširuje</w:t>
      </w:r>
      <w:r w:rsidR="009F05AD">
        <w:rPr>
          <w:bCs/>
        </w:rPr>
        <w:t>, resp. mení</w:t>
      </w:r>
      <w:r w:rsidR="00C249DA">
        <w:rPr>
          <w:bCs/>
        </w:rPr>
        <w:t xml:space="preserve"> okruh</w:t>
      </w:r>
      <w:r>
        <w:rPr>
          <w:bCs/>
        </w:rPr>
        <w:t xml:space="preserve"> odberateľov kontrolných známok na označovanie spotrebiteľského balenia bezdymového tabakového výrobku a výrobku súvisiaceho s tabakovými výrobkami o distribútora bezdymového tabakového výrobku a distribútora výrobku súvisiaceho s tabakovými výrobkami, ktorí v rámci podnikania na daňovom území môžu </w:t>
      </w:r>
      <w:r w:rsidR="00C249DA">
        <w:rPr>
          <w:bCs/>
        </w:rPr>
        <w:t xml:space="preserve">tieto výrobky </w:t>
      </w:r>
      <w:r>
        <w:rPr>
          <w:bCs/>
        </w:rPr>
        <w:t xml:space="preserve">dovážať z územia tretích štátov alebo </w:t>
      </w:r>
      <w:r w:rsidR="00C249DA">
        <w:rPr>
          <w:bCs/>
        </w:rPr>
        <w:t xml:space="preserve">ich </w:t>
      </w:r>
      <w:r w:rsidR="00806434">
        <w:rPr>
          <w:bCs/>
        </w:rPr>
        <w:t>prijímať</w:t>
      </w:r>
      <w:r>
        <w:rPr>
          <w:bCs/>
        </w:rPr>
        <w:t xml:space="preserve"> z územia iného členského štátu Eur</w:t>
      </w:r>
      <w:r w:rsidR="00806434">
        <w:rPr>
          <w:bCs/>
        </w:rPr>
        <w:t>ópskej únie.</w:t>
      </w:r>
    </w:p>
    <w:p w:rsidR="009D22D0" w:rsidRDefault="009D22D0" w:rsidP="00806434">
      <w:pPr>
        <w:jc w:val="both"/>
        <w:rPr>
          <w:bCs/>
        </w:rPr>
      </w:pPr>
    </w:p>
    <w:p w:rsidR="009D22D0" w:rsidRDefault="009D22D0" w:rsidP="00806434">
      <w:pPr>
        <w:jc w:val="both"/>
        <w:rPr>
          <w:b/>
          <w:bCs/>
        </w:rPr>
      </w:pPr>
      <w:r w:rsidRPr="009D22D0">
        <w:rPr>
          <w:b/>
          <w:bCs/>
        </w:rPr>
        <w:t>K bodu 8</w:t>
      </w:r>
    </w:p>
    <w:p w:rsidR="00A857C8" w:rsidRPr="007F3FC7" w:rsidRDefault="009D22D0" w:rsidP="00806434">
      <w:pPr>
        <w:jc w:val="both"/>
        <w:rPr>
          <w:bCs/>
        </w:rPr>
      </w:pPr>
      <w:r>
        <w:rPr>
          <w:b/>
          <w:bCs/>
        </w:rPr>
        <w:tab/>
      </w:r>
      <w:r w:rsidRPr="009D22D0">
        <w:rPr>
          <w:bCs/>
        </w:rPr>
        <w:t>Stanovuje</w:t>
      </w:r>
      <w:r>
        <w:rPr>
          <w:bCs/>
        </w:rPr>
        <w:t xml:space="preserve"> sa a dopĺňa sa množstvo bezdymového tabakového výrobku a výrobku súvisiaceho s tabakovými výrobkami, na ktoré sa nevzťahuje povinnosť označovania kontrolnou známkou, ak je zaslané fyzickou osobou z tretích štátov fyzickej osobe na daňové územie v príležitostných malých </w:t>
      </w:r>
      <w:r w:rsidR="00074D31">
        <w:rPr>
          <w:bCs/>
        </w:rPr>
        <w:t>zásielkach neobchodného charakteru a je určené na jej osobnú spotrebu.</w:t>
      </w:r>
    </w:p>
    <w:p w:rsidR="001F3326" w:rsidRDefault="001F3326" w:rsidP="00806434">
      <w:pPr>
        <w:jc w:val="both"/>
        <w:rPr>
          <w:b/>
          <w:bCs/>
        </w:rPr>
      </w:pPr>
    </w:p>
    <w:p w:rsidR="00806434" w:rsidRPr="00806434" w:rsidRDefault="00806434" w:rsidP="00806434">
      <w:pPr>
        <w:jc w:val="both"/>
        <w:rPr>
          <w:bCs/>
        </w:rPr>
      </w:pPr>
      <w:r w:rsidRPr="0006283B">
        <w:rPr>
          <w:b/>
          <w:bCs/>
        </w:rPr>
        <w:lastRenderedPageBreak/>
        <w:t>K</w:t>
      </w:r>
      <w:r>
        <w:rPr>
          <w:b/>
          <w:bCs/>
        </w:rPr>
        <w:t> </w:t>
      </w:r>
      <w:r w:rsidRPr="0006283B">
        <w:rPr>
          <w:b/>
          <w:bCs/>
        </w:rPr>
        <w:t>bod</w:t>
      </w:r>
      <w:r w:rsidR="00C249DA">
        <w:rPr>
          <w:b/>
          <w:bCs/>
        </w:rPr>
        <w:t>om</w:t>
      </w:r>
      <w:r w:rsidR="009D22D0">
        <w:rPr>
          <w:b/>
          <w:bCs/>
        </w:rPr>
        <w:t xml:space="preserve"> 9 a 10</w:t>
      </w:r>
    </w:p>
    <w:p w:rsidR="00A211D7" w:rsidRDefault="00806434" w:rsidP="00182332">
      <w:pPr>
        <w:jc w:val="both"/>
        <w:rPr>
          <w:bCs/>
          <w:shd w:val="clear" w:color="auto" w:fill="FFFFFF"/>
        </w:rPr>
      </w:pPr>
      <w:r w:rsidRPr="007E14BF">
        <w:rPr>
          <w:bCs/>
        </w:rPr>
        <w:tab/>
        <w:t>Požiadavka na legislatívnu zmenu vyplývajúca z aplikačnej praxe.</w:t>
      </w:r>
      <w:r w:rsidR="005770DF" w:rsidRPr="007E14BF">
        <w:rPr>
          <w:bCs/>
        </w:rPr>
        <w:t xml:space="preserve"> V minulosti sa vyskytli prípady, keď sa tabaková surovina zničila držiteľom povolenia na obchodovanie s tabakovou surovinou ako oslobodená od da</w:t>
      </w:r>
      <w:r w:rsidR="003F71B4" w:rsidRPr="007E14BF">
        <w:rPr>
          <w:bCs/>
        </w:rPr>
        <w:t>ne</w:t>
      </w:r>
      <w:r w:rsidR="008242A1">
        <w:rPr>
          <w:bCs/>
        </w:rPr>
        <w:t>, a to</w:t>
      </w:r>
      <w:r w:rsidR="003F71B4" w:rsidRPr="007E14BF">
        <w:rPr>
          <w:bCs/>
        </w:rPr>
        <w:t xml:space="preserve"> bez prítomnosti správcu dane, pričom toto nebolo možné overiť a tým existovalo riziko, že takáto surovina nebola v skutočnosti zničená. Doterajšie znenie zákona neumožňovalo vyrubenie dane zo zisteného chýbajúceho množstva tabakovej suroviny</w:t>
      </w:r>
      <w:r w:rsidR="00C249DA">
        <w:rPr>
          <w:bCs/>
        </w:rPr>
        <w:t>. Predmetná situácia vytvárala</w:t>
      </w:r>
      <w:r w:rsidR="007E14BF" w:rsidRPr="007E14BF">
        <w:rPr>
          <w:bCs/>
        </w:rPr>
        <w:t xml:space="preserve"> v aplikačnej praxi</w:t>
      </w:r>
      <w:r w:rsidR="003F71B4" w:rsidRPr="007E14BF">
        <w:rPr>
          <w:bCs/>
          <w:shd w:val="clear" w:color="auto" w:fill="FFFFFF"/>
        </w:rPr>
        <w:t xml:space="preserve"> (aj vzhľadom na odhaľovanie nelegálnych výrobní tabakových výrobkov na daňovom území orgánmi finančnej správy) neželaný prece</w:t>
      </w:r>
      <w:r w:rsidR="008242A1">
        <w:rPr>
          <w:bCs/>
          <w:shd w:val="clear" w:color="auto" w:fill="FFFFFF"/>
        </w:rPr>
        <w:t xml:space="preserve">dens, keďže chýbajúce množstvo </w:t>
      </w:r>
      <w:r w:rsidR="003F71B4" w:rsidRPr="007E14BF">
        <w:rPr>
          <w:bCs/>
          <w:shd w:val="clear" w:color="auto" w:fill="FFFFFF"/>
        </w:rPr>
        <w:t>nezdanenej tabakovej suroviny, ktorá sa na daňovom území preukázateľne nachádzala,</w:t>
      </w:r>
      <w:r w:rsidR="00C249DA">
        <w:rPr>
          <w:bCs/>
          <w:shd w:val="clear" w:color="auto" w:fill="FFFFFF"/>
        </w:rPr>
        <w:t xml:space="preserve"> mohla</w:t>
      </w:r>
      <w:r w:rsidR="007E14BF" w:rsidRPr="007E14BF">
        <w:rPr>
          <w:bCs/>
          <w:shd w:val="clear" w:color="auto" w:fill="FFFFFF"/>
        </w:rPr>
        <w:t xml:space="preserve"> byť </w:t>
      </w:r>
      <w:r w:rsidR="003F71B4" w:rsidRPr="007E14BF">
        <w:rPr>
          <w:bCs/>
          <w:shd w:val="clear" w:color="auto" w:fill="FFFFFF"/>
        </w:rPr>
        <w:t>p</w:t>
      </w:r>
      <w:r w:rsidR="007E14BF" w:rsidRPr="007E14BF">
        <w:rPr>
          <w:bCs/>
          <w:shd w:val="clear" w:color="auto" w:fill="FFFFFF"/>
        </w:rPr>
        <w:t>oužit</w:t>
      </w:r>
      <w:r w:rsidR="00C249DA">
        <w:rPr>
          <w:bCs/>
          <w:shd w:val="clear" w:color="auto" w:fill="FFFFFF"/>
        </w:rPr>
        <w:t>á</w:t>
      </w:r>
      <w:r w:rsidR="003F71B4" w:rsidRPr="007E14BF">
        <w:rPr>
          <w:bCs/>
          <w:shd w:val="clear" w:color="auto" w:fill="FFFFFF"/>
        </w:rPr>
        <w:t xml:space="preserve"> na nelegálnu výrobu tabakových výrobkov.</w:t>
      </w:r>
    </w:p>
    <w:p w:rsidR="00074D31" w:rsidRDefault="00074D31" w:rsidP="00182332">
      <w:pPr>
        <w:jc w:val="both"/>
        <w:rPr>
          <w:bCs/>
          <w:shd w:val="clear" w:color="auto" w:fill="FFFFFF"/>
        </w:rPr>
      </w:pPr>
    </w:p>
    <w:p w:rsidR="00A211D7" w:rsidRPr="00806434" w:rsidRDefault="00A211D7" w:rsidP="00A211D7">
      <w:pPr>
        <w:jc w:val="both"/>
        <w:rPr>
          <w:bCs/>
        </w:rPr>
      </w:pPr>
      <w:r w:rsidRPr="0006283B">
        <w:rPr>
          <w:b/>
          <w:bCs/>
        </w:rPr>
        <w:t>K</w:t>
      </w:r>
      <w:r>
        <w:rPr>
          <w:b/>
          <w:bCs/>
        </w:rPr>
        <w:t> </w:t>
      </w:r>
      <w:r w:rsidRPr="0006283B">
        <w:rPr>
          <w:b/>
          <w:bCs/>
        </w:rPr>
        <w:t>bod</w:t>
      </w:r>
      <w:r>
        <w:rPr>
          <w:b/>
          <w:bCs/>
        </w:rPr>
        <w:t xml:space="preserve">u </w:t>
      </w:r>
      <w:r w:rsidR="00074D31">
        <w:rPr>
          <w:b/>
          <w:bCs/>
        </w:rPr>
        <w:t>11</w:t>
      </w:r>
    </w:p>
    <w:p w:rsidR="00A211D7" w:rsidRPr="007E14BF" w:rsidRDefault="00F267DB" w:rsidP="00F267DB">
      <w:pPr>
        <w:ind w:firstLine="708"/>
        <w:jc w:val="both"/>
        <w:rPr>
          <w:bCs/>
        </w:rPr>
      </w:pPr>
      <w:r w:rsidRPr="002D28D3">
        <w:rPr>
          <w:bCs/>
        </w:rPr>
        <w:t xml:space="preserve">Legislatívno-technická </w:t>
      </w:r>
      <w:r>
        <w:rPr>
          <w:bCs/>
        </w:rPr>
        <w:t>úprava súvisiaca s tým, že v nie každom členskom štáte Európskej únie je tabaková surovina predmetom dane.</w:t>
      </w:r>
    </w:p>
    <w:p w:rsidR="002D28D3" w:rsidRDefault="002D28D3" w:rsidP="00182332">
      <w:pPr>
        <w:jc w:val="both"/>
        <w:rPr>
          <w:bCs/>
        </w:rPr>
      </w:pPr>
    </w:p>
    <w:p w:rsidR="00F267DB" w:rsidRPr="00806434" w:rsidRDefault="00F267DB" w:rsidP="00F267DB">
      <w:pPr>
        <w:jc w:val="both"/>
        <w:rPr>
          <w:bCs/>
        </w:rPr>
      </w:pPr>
      <w:r w:rsidRPr="0006283B">
        <w:rPr>
          <w:b/>
          <w:bCs/>
        </w:rPr>
        <w:t>K</w:t>
      </w:r>
      <w:r>
        <w:rPr>
          <w:b/>
          <w:bCs/>
        </w:rPr>
        <w:t> </w:t>
      </w:r>
      <w:r w:rsidRPr="0006283B">
        <w:rPr>
          <w:b/>
          <w:bCs/>
        </w:rPr>
        <w:t>bod</w:t>
      </w:r>
      <w:r w:rsidR="00074D31">
        <w:rPr>
          <w:b/>
          <w:bCs/>
        </w:rPr>
        <w:t>u 12</w:t>
      </w:r>
    </w:p>
    <w:p w:rsidR="002D28D3" w:rsidRDefault="00F267DB" w:rsidP="00F267DB">
      <w:pPr>
        <w:ind w:firstLine="708"/>
        <w:jc w:val="both"/>
        <w:rPr>
          <w:bCs/>
        </w:rPr>
      </w:pPr>
      <w:r w:rsidRPr="002D28D3">
        <w:rPr>
          <w:bCs/>
        </w:rPr>
        <w:t xml:space="preserve">Legislatívno-technická </w:t>
      </w:r>
      <w:r>
        <w:rPr>
          <w:bCs/>
        </w:rPr>
        <w:t>úprava</w:t>
      </w:r>
      <w:r w:rsidR="003D7DC6">
        <w:rPr>
          <w:bCs/>
        </w:rPr>
        <w:t xml:space="preserve"> ustanovenia.</w:t>
      </w:r>
    </w:p>
    <w:p w:rsidR="002D28D3" w:rsidRDefault="002D28D3" w:rsidP="00182332">
      <w:pPr>
        <w:jc w:val="both"/>
        <w:rPr>
          <w:bCs/>
        </w:rPr>
      </w:pPr>
    </w:p>
    <w:p w:rsidR="003D7DC6" w:rsidRPr="00806434" w:rsidRDefault="003D7DC6" w:rsidP="003D7DC6">
      <w:pPr>
        <w:jc w:val="both"/>
        <w:rPr>
          <w:bCs/>
        </w:rPr>
      </w:pPr>
      <w:r w:rsidRPr="0006283B">
        <w:rPr>
          <w:b/>
          <w:bCs/>
        </w:rPr>
        <w:t>K</w:t>
      </w:r>
      <w:r>
        <w:rPr>
          <w:b/>
          <w:bCs/>
        </w:rPr>
        <w:t> </w:t>
      </w:r>
      <w:r w:rsidRPr="0006283B">
        <w:rPr>
          <w:b/>
          <w:bCs/>
        </w:rPr>
        <w:t>bod</w:t>
      </w:r>
      <w:r w:rsidR="00C249DA">
        <w:rPr>
          <w:b/>
          <w:bCs/>
        </w:rPr>
        <w:t>om</w:t>
      </w:r>
      <w:r>
        <w:rPr>
          <w:b/>
          <w:bCs/>
        </w:rPr>
        <w:t xml:space="preserve"> 1</w:t>
      </w:r>
      <w:r w:rsidR="00074D31">
        <w:rPr>
          <w:b/>
          <w:bCs/>
        </w:rPr>
        <w:t>3 a 14</w:t>
      </w:r>
    </w:p>
    <w:p w:rsidR="004413F1" w:rsidRPr="00522314" w:rsidRDefault="003D7DC6" w:rsidP="00DC5A51">
      <w:pPr>
        <w:jc w:val="both"/>
        <w:rPr>
          <w:bCs/>
        </w:rPr>
      </w:pPr>
      <w:r>
        <w:rPr>
          <w:bCs/>
        </w:rPr>
        <w:tab/>
      </w:r>
      <w:r w:rsidR="0015465C" w:rsidRPr="0015465C">
        <w:rPr>
          <w:color w:val="000000"/>
        </w:rPr>
        <w:t>Rozšírenie predmetu dane o výrobky súvisiace s tabakový</w:t>
      </w:r>
      <w:r w:rsidR="0015465C">
        <w:rPr>
          <w:color w:val="000000"/>
        </w:rPr>
        <w:t xml:space="preserve">mi výrobkami je neharmonizovaná úprava. </w:t>
      </w:r>
      <w:r w:rsidR="0015465C" w:rsidRPr="0015465C">
        <w:rPr>
          <w:color w:val="000000"/>
        </w:rPr>
        <w:t>Spotreba týchto tzv. nových, inovatívnych, výrobkov každým rokom na našom daňovom území narastá, pričom alarmujúcim faktom je, že je tomu tak v čoraz mladších vekových skupinách</w:t>
      </w:r>
      <w:r w:rsidR="0015465C">
        <w:rPr>
          <w:color w:val="000000"/>
        </w:rPr>
        <w:t>.</w:t>
      </w:r>
      <w:r w:rsidR="0015465C" w:rsidRPr="0015465C">
        <w:rPr>
          <w:color w:val="000000"/>
        </w:rPr>
        <w:t xml:space="preserve"> Ich narastajúca spotreba znamená, že sa stávajú </w:t>
      </w:r>
      <w:proofErr w:type="spellStart"/>
      <w:r w:rsidR="0015465C" w:rsidRPr="0015465C">
        <w:rPr>
          <w:color w:val="000000"/>
        </w:rPr>
        <w:t>substitútmi</w:t>
      </w:r>
      <w:proofErr w:type="spellEnd"/>
      <w:r w:rsidR="0015465C" w:rsidRPr="0015465C">
        <w:rPr>
          <w:color w:val="000000"/>
        </w:rPr>
        <w:t xml:space="preserve"> klasických tabakových výrobkov.</w:t>
      </w:r>
      <w:r w:rsidR="0015465C">
        <w:rPr>
          <w:color w:val="000000"/>
        </w:rPr>
        <w:t xml:space="preserve"> U</w:t>
      </w:r>
      <w:r w:rsidR="0015465C" w:rsidRPr="0015465C">
        <w:rPr>
          <w:color w:val="000000"/>
        </w:rPr>
        <w:t>žívanie</w:t>
      </w:r>
      <w:r w:rsidR="0015465C">
        <w:rPr>
          <w:color w:val="000000"/>
        </w:rPr>
        <w:t xml:space="preserve"> týchto produktov</w:t>
      </w:r>
      <w:r w:rsidR="0015465C" w:rsidRPr="0015465C">
        <w:rPr>
          <w:color w:val="000000"/>
        </w:rPr>
        <w:t xml:space="preserve"> nie je často spojené s vedomím potencionálne existujúcich zdravotných rizík v širokej verejnosti. Obaly týchto produktov môžu byť</w:t>
      </w:r>
      <w:r w:rsidR="0015465C">
        <w:rPr>
          <w:color w:val="000000"/>
        </w:rPr>
        <w:t xml:space="preserve"> niekedy</w:t>
      </w:r>
      <w:r w:rsidR="0015465C" w:rsidRPr="0015465C">
        <w:rPr>
          <w:color w:val="000000"/>
        </w:rPr>
        <w:t xml:space="preserve"> ľahko zameniteľné s produkt</w:t>
      </w:r>
      <w:r w:rsidR="0015465C">
        <w:rPr>
          <w:color w:val="000000"/>
        </w:rPr>
        <w:t>a</w:t>
      </w:r>
      <w:r w:rsidR="0015465C" w:rsidRPr="0015465C">
        <w:rPr>
          <w:color w:val="000000"/>
        </w:rPr>
        <w:t>mi ako napr. žuvačky. Ochutené príchute takýchto výrobkov sú pre podstatnú časť užívateľov atraktívnym a rozhodujúcim faktorom pre ich užívanie.</w:t>
      </w:r>
      <w:r w:rsidR="0015465C">
        <w:rPr>
          <w:bCs/>
        </w:rPr>
        <w:t xml:space="preserve"> </w:t>
      </w:r>
      <w:r w:rsidR="00C249DA">
        <w:rPr>
          <w:bCs/>
        </w:rPr>
        <w:t xml:space="preserve">Navrhovaná úprava </w:t>
      </w:r>
      <w:r w:rsidR="0015465C">
        <w:rPr>
          <w:bCs/>
        </w:rPr>
        <w:t xml:space="preserve">vzhľadom na uvedené, </w:t>
      </w:r>
      <w:r w:rsidR="00C249DA">
        <w:rPr>
          <w:bCs/>
        </w:rPr>
        <w:t>zavádza</w:t>
      </w:r>
      <w:r w:rsidR="004B3A70" w:rsidRPr="004B3A70">
        <w:rPr>
          <w:color w:val="000000"/>
        </w:rPr>
        <w:t xml:space="preserve"> </w:t>
      </w:r>
      <w:r w:rsidR="004B3A70">
        <w:rPr>
          <w:color w:val="000000"/>
        </w:rPr>
        <w:t>kontrolu</w:t>
      </w:r>
      <w:r w:rsidR="004B3A70" w:rsidRPr="004B3A70">
        <w:rPr>
          <w:color w:val="000000"/>
        </w:rPr>
        <w:t xml:space="preserve"> pohybu výrobkov súvisiacich s ta</w:t>
      </w:r>
      <w:r w:rsidR="004B3A70">
        <w:rPr>
          <w:color w:val="000000"/>
        </w:rPr>
        <w:t>bakovými výrobkami a </w:t>
      </w:r>
      <w:r w:rsidR="004B3A70" w:rsidRPr="00522314">
        <w:rPr>
          <w:color w:val="000000"/>
        </w:rPr>
        <w:t xml:space="preserve">bezdymových tabakových </w:t>
      </w:r>
      <w:r w:rsidR="00DC5A51" w:rsidRPr="00522314">
        <w:rPr>
          <w:color w:val="000000"/>
        </w:rPr>
        <w:t>výrobkov</w:t>
      </w:r>
      <w:r w:rsidR="00DC5A51" w:rsidRPr="00522314">
        <w:rPr>
          <w:bCs/>
        </w:rPr>
        <w:t xml:space="preserve"> prostredníctvom</w:t>
      </w:r>
      <w:r w:rsidR="00C249DA" w:rsidRPr="00522314">
        <w:rPr>
          <w:bCs/>
        </w:rPr>
        <w:t xml:space="preserve"> systém</w:t>
      </w:r>
      <w:r w:rsidR="00DC5A51" w:rsidRPr="00522314">
        <w:rPr>
          <w:bCs/>
        </w:rPr>
        <w:t>u</w:t>
      </w:r>
      <w:r w:rsidR="009D7AFC" w:rsidRPr="00522314">
        <w:rPr>
          <w:bCs/>
        </w:rPr>
        <w:t xml:space="preserve"> povolení na obchodovanie</w:t>
      </w:r>
      <w:r w:rsidR="00DC5A51" w:rsidRPr="00522314">
        <w:rPr>
          <w:color w:val="000000"/>
        </w:rPr>
        <w:t>, resp. evidencii obchodníkov – predajcov a distribútorov – platiteľov dane</w:t>
      </w:r>
      <w:r w:rsidR="00DC5A51" w:rsidRPr="00522314">
        <w:rPr>
          <w:bCs/>
        </w:rPr>
        <w:t xml:space="preserve"> </w:t>
      </w:r>
      <w:r w:rsidR="009D7AFC" w:rsidRPr="00522314">
        <w:rPr>
          <w:bCs/>
        </w:rPr>
        <w:t>s bezdymovým tabakovým výrobkom a výrobkom súvisiacim s tabakovými výrobkami (</w:t>
      </w:r>
      <w:r w:rsidR="00A857C8" w:rsidRPr="00522314">
        <w:rPr>
          <w:bCs/>
        </w:rPr>
        <w:t>ktorým</w:t>
      </w:r>
      <w:r w:rsidR="004413F1" w:rsidRPr="00522314">
        <w:rPr>
          <w:bCs/>
        </w:rPr>
        <w:t xml:space="preserve"> </w:t>
      </w:r>
      <w:r w:rsidR="00A857C8" w:rsidRPr="00522314">
        <w:rPr>
          <w:bCs/>
        </w:rPr>
        <w:t xml:space="preserve">sa rozumie </w:t>
      </w:r>
      <w:r w:rsidR="009D7AFC" w:rsidRPr="00522314">
        <w:rPr>
          <w:bCs/>
        </w:rPr>
        <w:t>náplň do elektronicke</w:t>
      </w:r>
      <w:r w:rsidR="00C249DA" w:rsidRPr="00522314">
        <w:rPr>
          <w:bCs/>
        </w:rPr>
        <w:t>j cigarety</w:t>
      </w:r>
      <w:r w:rsidR="00891EC2" w:rsidRPr="00522314">
        <w:rPr>
          <w:bCs/>
        </w:rPr>
        <w:t>,</w:t>
      </w:r>
      <w:r w:rsidR="00891EC2" w:rsidRPr="00522314">
        <w:rPr>
          <w:rFonts w:ascii="Times" w:hAnsi="Times" w:cs="Times"/>
        </w:rPr>
        <w:t xml:space="preserve"> vrátane jednorazovej elektronickej cigarety</w:t>
      </w:r>
      <w:r w:rsidR="00C249DA" w:rsidRPr="00522314">
        <w:rPr>
          <w:bCs/>
        </w:rPr>
        <w:t>, nikotínové vrecúško alebo</w:t>
      </w:r>
      <w:r w:rsidR="009D7AFC" w:rsidRPr="00522314">
        <w:rPr>
          <w:bCs/>
        </w:rPr>
        <w:t xml:space="preserve"> iný nikotínový výrobok)</w:t>
      </w:r>
      <w:r w:rsidR="00B82D83" w:rsidRPr="00522314">
        <w:rPr>
          <w:bCs/>
        </w:rPr>
        <w:t>. Súčasťou</w:t>
      </w:r>
      <w:r w:rsidR="00C249DA" w:rsidRPr="00522314">
        <w:rPr>
          <w:bCs/>
        </w:rPr>
        <w:t xml:space="preserve"> navrhovaných</w:t>
      </w:r>
      <w:r w:rsidR="00B82D83" w:rsidRPr="00522314">
        <w:rPr>
          <w:bCs/>
        </w:rPr>
        <w:t xml:space="preserve"> ustanovení</w:t>
      </w:r>
      <w:r w:rsidR="00A857C8" w:rsidRPr="00522314">
        <w:rPr>
          <w:bCs/>
        </w:rPr>
        <w:t xml:space="preserve"> je definícia bezdymového tabakového výrobku a výrobku súvisiaceho s tabakovými výrobkami na účely zákona o spotrebnej dani z tabakových výrobkov</w:t>
      </w:r>
      <w:r w:rsidR="004413F1" w:rsidRPr="00522314">
        <w:rPr>
          <w:bCs/>
        </w:rPr>
        <w:t xml:space="preserve"> a zároveň us</w:t>
      </w:r>
      <w:r w:rsidR="00DC5A51" w:rsidRPr="00522314">
        <w:rPr>
          <w:bCs/>
        </w:rPr>
        <w:t xml:space="preserve">tanovenie toho, čo sa za bezdymový tabakový </w:t>
      </w:r>
      <w:r w:rsidR="004413F1" w:rsidRPr="00522314">
        <w:rPr>
          <w:bCs/>
        </w:rPr>
        <w:t>výrobok nepovažuje</w:t>
      </w:r>
      <w:r w:rsidR="00A857C8" w:rsidRPr="00522314">
        <w:rPr>
          <w:bCs/>
        </w:rPr>
        <w:t>.</w:t>
      </w:r>
      <w:r w:rsidR="007960FD" w:rsidRPr="00522314">
        <w:rPr>
          <w:bCs/>
        </w:rPr>
        <w:t xml:space="preserve"> O povolenie na obchodovanie alebo o povolenie na distribúciu s týmito výrobkami, ak sú určené na účely podľa osobitného predpisu na základe potvrdenia Štátneho ústavu pre kontrolu liečiv, ako napr. nikotínové žuvačky alebo nikotínové </w:t>
      </w:r>
      <w:proofErr w:type="spellStart"/>
      <w:r w:rsidR="007960FD" w:rsidRPr="00522314">
        <w:rPr>
          <w:bCs/>
        </w:rPr>
        <w:t>náplaste</w:t>
      </w:r>
      <w:proofErr w:type="spellEnd"/>
      <w:r w:rsidR="00A02916" w:rsidRPr="00522314">
        <w:rPr>
          <w:bCs/>
        </w:rPr>
        <w:t>,</w:t>
      </w:r>
      <w:r w:rsidR="007960FD" w:rsidRPr="00522314">
        <w:rPr>
          <w:bCs/>
        </w:rPr>
        <w:t xml:space="preserve"> nebude povinná požiadať napr. lekáreň.</w:t>
      </w:r>
      <w:r w:rsidR="00661008" w:rsidRPr="00522314">
        <w:rPr>
          <w:bCs/>
        </w:rPr>
        <w:t xml:space="preserve"> Zavádza sa pojem obchodovanie </w:t>
      </w:r>
      <w:r w:rsidR="007960FD" w:rsidRPr="00522314">
        <w:rPr>
          <w:bCs/>
        </w:rPr>
        <w:t>s bezdymovým tabakovým výrobkom, resp. s výrobkom súvisiacim s taba</w:t>
      </w:r>
      <w:r w:rsidR="004413F1" w:rsidRPr="00522314">
        <w:rPr>
          <w:bCs/>
        </w:rPr>
        <w:t>kovými výrobkami, predaj prostredníctvom prostriedkov komunikácie na diaľku a  čo sa považuje za distribúciu</w:t>
      </w:r>
      <w:r w:rsidR="007960FD" w:rsidRPr="00522314">
        <w:rPr>
          <w:bCs/>
        </w:rPr>
        <w:t xml:space="preserve"> </w:t>
      </w:r>
      <w:r w:rsidR="00A02916" w:rsidRPr="00522314">
        <w:rPr>
          <w:bCs/>
        </w:rPr>
        <w:t xml:space="preserve">bezdymového tabakového výrobku </w:t>
      </w:r>
      <w:r w:rsidR="007960FD" w:rsidRPr="00522314">
        <w:rPr>
          <w:bCs/>
        </w:rPr>
        <w:t>a</w:t>
      </w:r>
      <w:r w:rsidR="004413F1" w:rsidRPr="00522314">
        <w:rPr>
          <w:bCs/>
        </w:rPr>
        <w:t xml:space="preserve"> distribúciu </w:t>
      </w:r>
      <w:r w:rsidR="00A02916" w:rsidRPr="00522314">
        <w:rPr>
          <w:bCs/>
        </w:rPr>
        <w:t>výrobku súvisiaceho</w:t>
      </w:r>
      <w:r w:rsidR="007960FD" w:rsidRPr="00522314">
        <w:rPr>
          <w:bCs/>
        </w:rPr>
        <w:t xml:space="preserve"> s t</w:t>
      </w:r>
      <w:r w:rsidR="00B82D83" w:rsidRPr="00522314">
        <w:rPr>
          <w:bCs/>
        </w:rPr>
        <w:t>abakovými výrobkami.</w:t>
      </w:r>
    </w:p>
    <w:p w:rsidR="00F56C93" w:rsidRPr="00522314" w:rsidRDefault="00B82D83" w:rsidP="00AE5C84">
      <w:pPr>
        <w:ind w:firstLine="708"/>
        <w:jc w:val="both"/>
        <w:rPr>
          <w:bCs/>
        </w:rPr>
      </w:pPr>
      <w:r w:rsidRPr="00522314">
        <w:rPr>
          <w:bCs/>
        </w:rPr>
        <w:t xml:space="preserve"> Ustanovenia stanovujú</w:t>
      </w:r>
      <w:r w:rsidR="007960FD" w:rsidRPr="00522314">
        <w:rPr>
          <w:bCs/>
        </w:rPr>
        <w:t xml:space="preserve"> </w:t>
      </w:r>
      <w:r w:rsidR="006E2FD7" w:rsidRPr="00522314">
        <w:rPr>
          <w:bCs/>
        </w:rPr>
        <w:t>náležitosti žiadosti</w:t>
      </w:r>
      <w:r w:rsidR="007960FD" w:rsidRPr="00522314">
        <w:rPr>
          <w:bCs/>
        </w:rPr>
        <w:t xml:space="preserve"> o povolenie na obchodovanie a povolenie na distribúciu, </w:t>
      </w:r>
      <w:r w:rsidR="006E2FD7" w:rsidRPr="00522314">
        <w:rPr>
          <w:bCs/>
        </w:rPr>
        <w:t>prílohu</w:t>
      </w:r>
      <w:r w:rsidR="007960FD" w:rsidRPr="00522314">
        <w:rPr>
          <w:bCs/>
        </w:rPr>
        <w:t xml:space="preserve"> k žiadosti a aké podmienky má spĺňať žiadateľ o vydanie povolenia.</w:t>
      </w:r>
      <w:r w:rsidR="00661008" w:rsidRPr="00522314">
        <w:rPr>
          <w:bCs/>
        </w:rPr>
        <w:t xml:space="preserve"> </w:t>
      </w:r>
    </w:p>
    <w:p w:rsidR="00AE5C84" w:rsidRPr="00522314" w:rsidRDefault="00661008" w:rsidP="00AE5C84">
      <w:pPr>
        <w:ind w:firstLine="708"/>
        <w:jc w:val="both"/>
        <w:rPr>
          <w:bCs/>
        </w:rPr>
      </w:pPr>
      <w:r w:rsidRPr="00522314">
        <w:rPr>
          <w:bCs/>
        </w:rPr>
        <w:t xml:space="preserve">V prípade, že žiadateľ je už v zmysle zákona registrovaný alebo evidovaný ako daňový subjekt a je teda pod dohľadom a správou colného úradu, podá si len žiadosť, pričom k žiadosti nemusí priložiť prílohu a ani dokladovanie podmienok stanovených zákonom pre tento druh evidencie. Ak žiadateľ žiada o povolenie na obchodovanie s bezdymovým tabakovým </w:t>
      </w:r>
      <w:r w:rsidRPr="00522314">
        <w:rPr>
          <w:bCs/>
        </w:rPr>
        <w:lastRenderedPageBreak/>
        <w:t xml:space="preserve">výrobkom a zároveň aj </w:t>
      </w:r>
      <w:r w:rsidR="006E2FD7" w:rsidRPr="00522314">
        <w:rPr>
          <w:bCs/>
        </w:rPr>
        <w:t xml:space="preserve">o </w:t>
      </w:r>
      <w:r w:rsidRPr="00522314">
        <w:rPr>
          <w:bCs/>
        </w:rPr>
        <w:t>povolenie na obchodovanie s výrobkom súvisiacim s tabakovými výrobkami</w:t>
      </w:r>
      <w:r w:rsidR="004413F1" w:rsidRPr="00522314">
        <w:rPr>
          <w:bCs/>
        </w:rPr>
        <w:t xml:space="preserve"> (čo platí rovnako </w:t>
      </w:r>
      <w:r w:rsidR="006E2FD7" w:rsidRPr="00522314">
        <w:rPr>
          <w:bCs/>
        </w:rPr>
        <w:t>aj</w:t>
      </w:r>
      <w:r w:rsidRPr="00522314">
        <w:rPr>
          <w:bCs/>
        </w:rPr>
        <w:t xml:space="preserve"> pre povolenie na distribúciu</w:t>
      </w:r>
      <w:r w:rsidR="006E2FD7" w:rsidRPr="00522314">
        <w:rPr>
          <w:bCs/>
        </w:rPr>
        <w:t>)</w:t>
      </w:r>
      <w:r w:rsidRPr="00522314">
        <w:rPr>
          <w:bCs/>
        </w:rPr>
        <w:t>, pod</w:t>
      </w:r>
      <w:r w:rsidR="006E2FD7" w:rsidRPr="00522314">
        <w:rPr>
          <w:bCs/>
        </w:rPr>
        <w:t>á si dve žiadosti, avšak prílohu</w:t>
      </w:r>
      <w:r w:rsidRPr="00522314">
        <w:rPr>
          <w:bCs/>
        </w:rPr>
        <w:t xml:space="preserve"> k žiadosti a dokladovanie splnenia zákonom stanovených podmieno</w:t>
      </w:r>
      <w:r w:rsidR="00B82D83" w:rsidRPr="00522314">
        <w:rPr>
          <w:bCs/>
        </w:rPr>
        <w:t>k dokladuje len raz.</w:t>
      </w:r>
      <w:r w:rsidR="00AE5C84" w:rsidRPr="00522314">
        <w:rPr>
          <w:bCs/>
        </w:rPr>
        <w:t xml:space="preserve"> </w:t>
      </w:r>
      <w:r w:rsidR="00AE5C84" w:rsidRPr="00522314">
        <w:rPr>
          <w:rFonts w:ascii="Times" w:hAnsi="Times" w:cs="Times"/>
          <w:bCs/>
        </w:rPr>
        <w:t>Ak osoba, ktorá chce v rámci podnikania na daňovom území obchodovať s bezdymovým tabakovým výrobkom alebo obchodovať s výrobkom súvisiacim s tabakovými výrobkami, má nejaké prevádzkarne, kde sa budú tieto výrobky predávať na konečnú spotrebu alebo skladovať, zaregistruje ich všetky jednou podanou žiadosťou a rovnako tak plní za tieto všetky prevádzkarne aj oznamovacie povinnosti. Ak ide o samostatné právnické osoby, žiadosť sa podáva za každú z nich samostatne. Rovnaký postup sa uplatní aj pri žiadosti o distribúciu bezdymového tabakového výrobku alebo pri žiadosti o distribúciu výrobku súvisiaceho s tabakovými výrobkami.</w:t>
      </w:r>
    </w:p>
    <w:p w:rsidR="002D28D3" w:rsidRPr="00522314" w:rsidRDefault="00B82D83" w:rsidP="00891EC2">
      <w:pPr>
        <w:ind w:firstLine="708"/>
        <w:jc w:val="both"/>
        <w:rPr>
          <w:bCs/>
        </w:rPr>
      </w:pPr>
      <w:r w:rsidRPr="00522314">
        <w:rPr>
          <w:bCs/>
        </w:rPr>
        <w:t>Ustanovenia</w:t>
      </w:r>
      <w:r w:rsidR="00661008" w:rsidRPr="00522314">
        <w:rPr>
          <w:bCs/>
        </w:rPr>
        <w:t xml:space="preserve"> upravuj</w:t>
      </w:r>
      <w:r w:rsidRPr="00522314">
        <w:rPr>
          <w:bCs/>
        </w:rPr>
        <w:t>ú</w:t>
      </w:r>
      <w:r w:rsidR="00661008" w:rsidRPr="00522314">
        <w:rPr>
          <w:bCs/>
        </w:rPr>
        <w:t xml:space="preserve"> aj oznamovaciu povinnosť, zánik a odňatie povolenia</w:t>
      </w:r>
      <w:r w:rsidR="008D6B3D" w:rsidRPr="00522314">
        <w:rPr>
          <w:bCs/>
        </w:rPr>
        <w:t xml:space="preserve"> na obchodovanie a distribúciu, povinnosti distribútora, základ a sadzbu dane bezdymového tabakového výrobku a výrobku súvisiaceho s tabakovými výrobkami, vznik daňovej povinnosti a platiteľa dane, podanie daňového priznania, vrátenie dane, oslobodenie od dane a</w:t>
      </w:r>
      <w:r w:rsidRPr="00522314">
        <w:rPr>
          <w:bCs/>
        </w:rPr>
        <w:t> </w:t>
      </w:r>
      <w:r w:rsidR="008D6B3D" w:rsidRPr="00522314">
        <w:rPr>
          <w:bCs/>
        </w:rPr>
        <w:t>dovoz</w:t>
      </w:r>
      <w:r w:rsidRPr="00522314">
        <w:rPr>
          <w:bCs/>
        </w:rPr>
        <w:t xml:space="preserve">. </w:t>
      </w:r>
      <w:r w:rsidR="00DC5A51" w:rsidRPr="00522314">
        <w:rPr>
          <w:bCs/>
        </w:rPr>
        <w:t>Tieto inštitúty vychádzajú z obdobných inštitútov používaných pri správe klasických tabakových výrobkov z dôvodu, že sú zaužívané a daňovým subjektom známe.</w:t>
      </w:r>
    </w:p>
    <w:p w:rsidR="00891EC2" w:rsidRPr="00522314" w:rsidRDefault="000C04AB" w:rsidP="00182332">
      <w:pPr>
        <w:jc w:val="both"/>
        <w:rPr>
          <w:bCs/>
        </w:rPr>
      </w:pPr>
      <w:r w:rsidRPr="00522314">
        <w:rPr>
          <w:bCs/>
        </w:rPr>
        <w:tab/>
      </w:r>
      <w:r w:rsidR="00AE423E" w:rsidRPr="00522314">
        <w:rPr>
          <w:bCs/>
        </w:rPr>
        <w:t xml:space="preserve">Navrhuje sa tiež ustanoviť </w:t>
      </w:r>
      <w:r w:rsidRPr="00522314">
        <w:rPr>
          <w:bCs/>
        </w:rPr>
        <w:t>sadzb</w:t>
      </w:r>
      <w:r w:rsidR="00AE423E" w:rsidRPr="00522314">
        <w:rPr>
          <w:bCs/>
        </w:rPr>
        <w:t>u</w:t>
      </w:r>
      <w:r w:rsidRPr="00522314">
        <w:rPr>
          <w:bCs/>
        </w:rPr>
        <w:t xml:space="preserve"> dane z b</w:t>
      </w:r>
      <w:r w:rsidR="00D05B5E" w:rsidRPr="00522314">
        <w:rPr>
          <w:bCs/>
        </w:rPr>
        <w:t xml:space="preserve">ezdymového tabakového výrobku k </w:t>
      </w:r>
      <w:r w:rsidR="00AE423E" w:rsidRPr="00522314">
        <w:rPr>
          <w:bCs/>
        </w:rPr>
        <w:t>1. februáru 2028 a sadzbu</w:t>
      </w:r>
      <w:r w:rsidRPr="00522314">
        <w:rPr>
          <w:bCs/>
        </w:rPr>
        <w:t xml:space="preserve"> dane z bezdymového tabakového výrobku, ktorým je žuvací tabak a šnupavý tabak, k 1. februáru 2027. </w:t>
      </w:r>
      <w:r w:rsidR="006E2FD7" w:rsidRPr="00522314">
        <w:rPr>
          <w:bCs/>
        </w:rPr>
        <w:t>Súčasne</w:t>
      </w:r>
      <w:r w:rsidRPr="00522314">
        <w:rPr>
          <w:bCs/>
        </w:rPr>
        <w:t xml:space="preserve"> sa navrhuje</w:t>
      </w:r>
      <w:r w:rsidR="00AE423E" w:rsidRPr="00522314">
        <w:rPr>
          <w:bCs/>
        </w:rPr>
        <w:t xml:space="preserve"> zaviesť</w:t>
      </w:r>
      <w:r w:rsidRPr="00522314">
        <w:rPr>
          <w:bCs/>
        </w:rPr>
        <w:t xml:space="preserve"> </w:t>
      </w:r>
      <w:r w:rsidR="006E2FD7" w:rsidRPr="00522314">
        <w:rPr>
          <w:bCs/>
        </w:rPr>
        <w:t xml:space="preserve">aj </w:t>
      </w:r>
      <w:r w:rsidR="00AE423E" w:rsidRPr="00522314">
        <w:rPr>
          <w:bCs/>
        </w:rPr>
        <w:t>sadzbu</w:t>
      </w:r>
      <w:r w:rsidRPr="00522314">
        <w:rPr>
          <w:bCs/>
        </w:rPr>
        <w:t xml:space="preserve"> dane pre výrobky súvisiace s tabakov</w:t>
      </w:r>
      <w:r w:rsidR="0089792A" w:rsidRPr="00522314">
        <w:rPr>
          <w:bCs/>
        </w:rPr>
        <w:t>ými výrobkami k 1. februáru 2027</w:t>
      </w:r>
      <w:r w:rsidRPr="00522314">
        <w:rPr>
          <w:bCs/>
        </w:rPr>
        <w:t xml:space="preserve"> ako súčasť daňového kalendára.</w:t>
      </w:r>
    </w:p>
    <w:p w:rsidR="00891EC2" w:rsidRPr="00522314" w:rsidRDefault="00891EC2" w:rsidP="00182332">
      <w:pPr>
        <w:jc w:val="both"/>
        <w:rPr>
          <w:bCs/>
        </w:rPr>
      </w:pPr>
    </w:p>
    <w:p w:rsidR="007815FB" w:rsidRPr="00522314" w:rsidRDefault="007815FB" w:rsidP="00182332">
      <w:pPr>
        <w:jc w:val="both"/>
        <w:rPr>
          <w:b/>
          <w:bCs/>
        </w:rPr>
      </w:pPr>
      <w:r w:rsidRPr="00522314">
        <w:rPr>
          <w:b/>
          <w:bCs/>
        </w:rPr>
        <w:t>K bodu 15</w:t>
      </w:r>
    </w:p>
    <w:p w:rsidR="007815FB" w:rsidRPr="00522314" w:rsidRDefault="007815FB" w:rsidP="00182332">
      <w:pPr>
        <w:jc w:val="both"/>
        <w:rPr>
          <w:bCs/>
        </w:rPr>
      </w:pPr>
      <w:r w:rsidRPr="00522314">
        <w:rPr>
          <w:bCs/>
        </w:rPr>
        <w:tab/>
        <w:t>Zosúladenie ustanovenia s rovnakým ustanovením v ostatných zákonoch o spotrebných daniach. Navrhuje sa upraviť zánik povolenia doplnením, že povolenie prijímať tabakové výrobky z iného členského štátu v pozastavení dane zaniká, ak oprávnený príjemca prijme celé množstvo tabakových výrobkov, ktoré má uvedené v povolení prijímať tabakové výrobky z iného členského štátu v pozastavení dane.</w:t>
      </w:r>
    </w:p>
    <w:p w:rsidR="007815FB" w:rsidRPr="00522314" w:rsidRDefault="007815FB" w:rsidP="00182332">
      <w:pPr>
        <w:jc w:val="both"/>
        <w:rPr>
          <w:b/>
          <w:bCs/>
        </w:rPr>
      </w:pPr>
    </w:p>
    <w:p w:rsidR="008D6B3D" w:rsidRPr="00522314" w:rsidRDefault="006E2FD7" w:rsidP="00182332">
      <w:pPr>
        <w:jc w:val="both"/>
        <w:rPr>
          <w:b/>
          <w:bCs/>
        </w:rPr>
      </w:pPr>
      <w:r w:rsidRPr="00522314">
        <w:rPr>
          <w:b/>
          <w:bCs/>
        </w:rPr>
        <w:t>K bodom</w:t>
      </w:r>
      <w:r w:rsidR="00074D31" w:rsidRPr="00522314">
        <w:rPr>
          <w:b/>
          <w:bCs/>
        </w:rPr>
        <w:t xml:space="preserve"> 1</w:t>
      </w:r>
      <w:r w:rsidR="007815FB" w:rsidRPr="00522314">
        <w:rPr>
          <w:b/>
          <w:bCs/>
        </w:rPr>
        <w:t>6 až 18</w:t>
      </w:r>
    </w:p>
    <w:p w:rsidR="002D28D3" w:rsidRPr="00522314" w:rsidRDefault="008D6B3D" w:rsidP="00182332">
      <w:pPr>
        <w:jc w:val="both"/>
        <w:rPr>
          <w:bCs/>
        </w:rPr>
      </w:pPr>
      <w:r w:rsidRPr="00522314">
        <w:rPr>
          <w:b/>
          <w:bCs/>
        </w:rPr>
        <w:tab/>
      </w:r>
      <w:proofErr w:type="spellStart"/>
      <w:r w:rsidRPr="00522314">
        <w:rPr>
          <w:bCs/>
        </w:rPr>
        <w:t>Legislatívno</w:t>
      </w:r>
      <w:proofErr w:type="spellEnd"/>
      <w:r w:rsidRPr="00522314">
        <w:rPr>
          <w:bCs/>
        </w:rPr>
        <w:t xml:space="preserve"> – technická úprava súvisiaca s novým predmetom dane – výrobkom súvisiacim s tabakovými výrobkami.</w:t>
      </w:r>
    </w:p>
    <w:p w:rsidR="008D6B3D" w:rsidRPr="00522314" w:rsidRDefault="008D6B3D" w:rsidP="00182332">
      <w:pPr>
        <w:jc w:val="both"/>
        <w:rPr>
          <w:bCs/>
        </w:rPr>
      </w:pPr>
    </w:p>
    <w:p w:rsidR="008D6B3D" w:rsidRPr="00522314" w:rsidRDefault="006E2FD7" w:rsidP="00182332">
      <w:pPr>
        <w:jc w:val="both"/>
        <w:rPr>
          <w:b/>
          <w:bCs/>
        </w:rPr>
      </w:pPr>
      <w:r w:rsidRPr="00522314">
        <w:rPr>
          <w:b/>
          <w:bCs/>
        </w:rPr>
        <w:t>K</w:t>
      </w:r>
      <w:r w:rsidR="007F3FC7" w:rsidRPr="00522314">
        <w:rPr>
          <w:b/>
          <w:bCs/>
        </w:rPr>
        <w:t> </w:t>
      </w:r>
      <w:r w:rsidRPr="00522314">
        <w:rPr>
          <w:b/>
          <w:bCs/>
        </w:rPr>
        <w:t>bodom</w:t>
      </w:r>
      <w:r w:rsidR="007F3FC7" w:rsidRPr="00522314">
        <w:rPr>
          <w:b/>
          <w:bCs/>
        </w:rPr>
        <w:t xml:space="preserve"> </w:t>
      </w:r>
      <w:r w:rsidR="00074D31" w:rsidRPr="00522314">
        <w:rPr>
          <w:b/>
          <w:bCs/>
        </w:rPr>
        <w:t>1</w:t>
      </w:r>
      <w:r w:rsidR="007815FB" w:rsidRPr="00522314">
        <w:rPr>
          <w:b/>
          <w:bCs/>
        </w:rPr>
        <w:t>9 a 20</w:t>
      </w:r>
    </w:p>
    <w:p w:rsidR="002D28D3" w:rsidRPr="00522314" w:rsidRDefault="008D6B3D" w:rsidP="00182332">
      <w:pPr>
        <w:jc w:val="both"/>
        <w:rPr>
          <w:bCs/>
        </w:rPr>
      </w:pPr>
      <w:r w:rsidRPr="00522314">
        <w:rPr>
          <w:b/>
          <w:bCs/>
        </w:rPr>
        <w:tab/>
      </w:r>
      <w:r w:rsidRPr="00522314">
        <w:rPr>
          <w:bCs/>
        </w:rPr>
        <w:t>Legislatívno-technická úprava súvisiaca s novým systémom povolení na obchodovanie a distribúciu bezdymového tabakového výrobku a výrobku súvisiaceho s tabakovými výrobkami.</w:t>
      </w:r>
    </w:p>
    <w:p w:rsidR="002D28D3" w:rsidRPr="00522314" w:rsidRDefault="002D28D3" w:rsidP="00182332">
      <w:pPr>
        <w:jc w:val="both"/>
        <w:rPr>
          <w:bCs/>
        </w:rPr>
      </w:pPr>
    </w:p>
    <w:p w:rsidR="00474ACB" w:rsidRPr="00522314" w:rsidRDefault="00474ACB" w:rsidP="00182332">
      <w:pPr>
        <w:jc w:val="both"/>
        <w:rPr>
          <w:b/>
          <w:bCs/>
        </w:rPr>
      </w:pPr>
      <w:r w:rsidRPr="00522314">
        <w:rPr>
          <w:b/>
          <w:bCs/>
        </w:rPr>
        <w:t>K bodu 21</w:t>
      </w:r>
    </w:p>
    <w:p w:rsidR="001F3326" w:rsidRPr="00522314" w:rsidRDefault="00474ACB" w:rsidP="00182332">
      <w:pPr>
        <w:jc w:val="both"/>
        <w:rPr>
          <w:bCs/>
        </w:rPr>
      </w:pPr>
      <w:r w:rsidRPr="00522314">
        <w:rPr>
          <w:b/>
          <w:bCs/>
        </w:rPr>
        <w:tab/>
      </w:r>
      <w:r w:rsidRPr="00522314">
        <w:rPr>
          <w:bCs/>
        </w:rPr>
        <w:t>V súvislosti so zavádzanou úpravou je nutné upraviť aj skutkovú podstatu správneho deliktu</w:t>
      </w:r>
      <w:r w:rsidR="009D4558" w:rsidRPr="00522314">
        <w:rPr>
          <w:bCs/>
        </w:rPr>
        <w:t xml:space="preserve"> za porušenie zákazu predaja bezdymového tabakového výrobku alebo výrobku súvisiaceho s tabakovými výrobkami za cenu nižšiu ako je výška dane pripadajúca na množstvo základu dane v takom výrobku predávanom na konečnú spotrebu a dane z pridanej hodnoty pripadajúcej na toto množstvo základu dane, podmienky kúpy podobného výrobku alebo iného tovaru alebo z otvoreného spotrebiteľského balenia alebo mimo tohto balenia po kusoch.</w:t>
      </w:r>
    </w:p>
    <w:p w:rsidR="00F56C93" w:rsidRPr="00522314" w:rsidRDefault="00F56C93" w:rsidP="00182332">
      <w:pPr>
        <w:jc w:val="both"/>
        <w:rPr>
          <w:bCs/>
        </w:rPr>
      </w:pPr>
    </w:p>
    <w:p w:rsidR="001B01C8" w:rsidRPr="00522314" w:rsidRDefault="006E2FD7" w:rsidP="00182332">
      <w:pPr>
        <w:jc w:val="both"/>
        <w:rPr>
          <w:b/>
          <w:bCs/>
        </w:rPr>
      </w:pPr>
      <w:r w:rsidRPr="00522314">
        <w:rPr>
          <w:b/>
          <w:bCs/>
        </w:rPr>
        <w:t>K bodom</w:t>
      </w:r>
      <w:r w:rsidR="00474ACB" w:rsidRPr="00522314">
        <w:rPr>
          <w:b/>
          <w:bCs/>
        </w:rPr>
        <w:t xml:space="preserve"> 22</w:t>
      </w:r>
      <w:r w:rsidR="001B01C8" w:rsidRPr="00522314">
        <w:rPr>
          <w:b/>
          <w:bCs/>
        </w:rPr>
        <w:t xml:space="preserve"> a </w:t>
      </w:r>
      <w:r w:rsidR="00474ACB" w:rsidRPr="00522314">
        <w:rPr>
          <w:b/>
          <w:bCs/>
        </w:rPr>
        <w:t>23</w:t>
      </w:r>
    </w:p>
    <w:p w:rsidR="007F3FC7" w:rsidRPr="00522314" w:rsidRDefault="001B01C8" w:rsidP="000C04AB">
      <w:pPr>
        <w:jc w:val="both"/>
        <w:rPr>
          <w:bCs/>
        </w:rPr>
      </w:pPr>
      <w:r w:rsidRPr="00522314">
        <w:rPr>
          <w:b/>
          <w:bCs/>
        </w:rPr>
        <w:tab/>
      </w:r>
      <w:r w:rsidRPr="00522314">
        <w:rPr>
          <w:bCs/>
        </w:rPr>
        <w:t>Zavádza sa nová skutková podstata, správny delikt a sankcia až do výšky 50 000 eur za obchodovanie alebo distribúciu bezdymového tabakového výrobku a výrobku súvisiaceho s tabakovými výrobkami bez povolenia na obchodovanie alebo bez povolenie na distribúciu.</w:t>
      </w:r>
    </w:p>
    <w:p w:rsidR="007F3FC7" w:rsidRPr="00522314" w:rsidRDefault="007F3FC7" w:rsidP="000C04AB">
      <w:pPr>
        <w:jc w:val="both"/>
        <w:rPr>
          <w:b/>
          <w:bCs/>
        </w:rPr>
      </w:pPr>
      <w:r w:rsidRPr="00522314">
        <w:rPr>
          <w:b/>
          <w:bCs/>
        </w:rPr>
        <w:lastRenderedPageBreak/>
        <w:t>K bodu 24</w:t>
      </w:r>
    </w:p>
    <w:p w:rsidR="00B016B5" w:rsidRPr="00522314" w:rsidRDefault="00B016B5" w:rsidP="00B826E4">
      <w:pPr>
        <w:ind w:firstLine="708"/>
        <w:jc w:val="both"/>
        <w:rPr>
          <w:b/>
          <w:bCs/>
        </w:rPr>
      </w:pPr>
      <w:r w:rsidRPr="00522314">
        <w:rPr>
          <w:bCs/>
        </w:rPr>
        <w:t>V súvislosti so zavádzanou úpravou je nutné upraviť aj skutkovú podstatu priestupku za použitie</w:t>
      </w:r>
      <w:r w:rsidR="00D40F47" w:rsidRPr="00522314">
        <w:rPr>
          <w:bCs/>
        </w:rPr>
        <w:t xml:space="preserve"> bezdymového tabakového výrobku alebo výrobku súvisiaceho s tabakovými výrobkami oslobodeného od dane v rámci neobchodného dovozu na daňové územie z územia tretích štátov a prepravy z iného členského štátu na daňové územie fyzickou osobou na svoju osobnú spotrebu na iný ako určený účel.</w:t>
      </w:r>
    </w:p>
    <w:p w:rsidR="00B016B5" w:rsidRPr="00522314" w:rsidRDefault="00B016B5" w:rsidP="000C04AB">
      <w:pPr>
        <w:jc w:val="both"/>
        <w:rPr>
          <w:b/>
          <w:bCs/>
        </w:rPr>
      </w:pPr>
    </w:p>
    <w:p w:rsidR="00B016B5" w:rsidRPr="00522314" w:rsidRDefault="00D40F47" w:rsidP="000C04AB">
      <w:pPr>
        <w:jc w:val="both"/>
        <w:rPr>
          <w:b/>
          <w:bCs/>
        </w:rPr>
      </w:pPr>
      <w:r w:rsidRPr="00522314">
        <w:rPr>
          <w:b/>
          <w:bCs/>
        </w:rPr>
        <w:t>K bodu 25</w:t>
      </w:r>
    </w:p>
    <w:p w:rsidR="00B016B5" w:rsidRPr="00522314" w:rsidRDefault="00D77123" w:rsidP="00D77123">
      <w:pPr>
        <w:ind w:firstLine="708"/>
        <w:jc w:val="both"/>
        <w:rPr>
          <w:b/>
          <w:bCs/>
        </w:rPr>
      </w:pPr>
      <w:proofErr w:type="spellStart"/>
      <w:r w:rsidRPr="00522314">
        <w:rPr>
          <w:bCs/>
        </w:rPr>
        <w:t>Legislatívno</w:t>
      </w:r>
      <w:proofErr w:type="spellEnd"/>
      <w:r w:rsidRPr="00522314">
        <w:rPr>
          <w:bCs/>
        </w:rPr>
        <w:t xml:space="preserve"> – technická úprava súvisiaca s novou úpravou,  týkajúca sa postupu colného úradu pri zaradení do evidencie, na ktorý sa použijú ustanovenia osobitného predpisu o registračnom konaní.</w:t>
      </w:r>
    </w:p>
    <w:p w:rsidR="00B016B5" w:rsidRPr="00522314" w:rsidRDefault="00B016B5" w:rsidP="000C04AB">
      <w:pPr>
        <w:jc w:val="both"/>
        <w:rPr>
          <w:b/>
          <w:bCs/>
        </w:rPr>
      </w:pPr>
    </w:p>
    <w:p w:rsidR="00B016B5" w:rsidRPr="00522314" w:rsidRDefault="00D77123" w:rsidP="000C04AB">
      <w:pPr>
        <w:jc w:val="both"/>
        <w:rPr>
          <w:b/>
          <w:bCs/>
        </w:rPr>
      </w:pPr>
      <w:r w:rsidRPr="00522314">
        <w:rPr>
          <w:b/>
          <w:bCs/>
        </w:rPr>
        <w:t>K bodu 26</w:t>
      </w:r>
    </w:p>
    <w:p w:rsidR="007F3FC7" w:rsidRPr="00522314" w:rsidRDefault="007F3FC7" w:rsidP="000C04AB">
      <w:pPr>
        <w:jc w:val="both"/>
        <w:rPr>
          <w:bCs/>
        </w:rPr>
      </w:pPr>
      <w:r w:rsidRPr="00522314">
        <w:rPr>
          <w:b/>
          <w:bCs/>
        </w:rPr>
        <w:tab/>
      </w:r>
      <w:r w:rsidRPr="00522314">
        <w:rPr>
          <w:bCs/>
        </w:rPr>
        <w:t>Ustanovenie, ktoré upravuje, proti akým rozhodnutiam colného úradu nemožno podať odvolanie sa rozširuje o vydanie povolenia na obchodovanie s bezdymovým tabakovým výrobkom aj výrobkom súvisiacim s tabakovými výrobkami a aj o povolenia na distribúciu bezdymového tabakového výrobku a povolenie na distribúciu výrobku súvisiaceho s tabakovými výrobkami.</w:t>
      </w:r>
    </w:p>
    <w:p w:rsidR="006E2FD7" w:rsidRPr="00522314" w:rsidRDefault="006E2FD7" w:rsidP="004A2735">
      <w:pPr>
        <w:autoSpaceDE w:val="0"/>
        <w:autoSpaceDN w:val="0"/>
        <w:adjustRightInd w:val="0"/>
        <w:jc w:val="both"/>
        <w:rPr>
          <w:b/>
          <w:bCs/>
        </w:rPr>
      </w:pPr>
    </w:p>
    <w:p w:rsidR="00446BD8" w:rsidRPr="00522314" w:rsidRDefault="00CB343A" w:rsidP="004A2735">
      <w:pPr>
        <w:autoSpaceDE w:val="0"/>
        <w:autoSpaceDN w:val="0"/>
        <w:adjustRightInd w:val="0"/>
        <w:jc w:val="both"/>
        <w:rPr>
          <w:b/>
          <w:bCs/>
        </w:rPr>
      </w:pPr>
      <w:r w:rsidRPr="00522314">
        <w:rPr>
          <w:b/>
          <w:bCs/>
        </w:rPr>
        <w:t xml:space="preserve">K bodu </w:t>
      </w:r>
      <w:r w:rsidR="00474ACB" w:rsidRPr="00522314">
        <w:rPr>
          <w:b/>
          <w:bCs/>
        </w:rPr>
        <w:t>27</w:t>
      </w:r>
    </w:p>
    <w:p w:rsidR="00AE5C84" w:rsidRPr="00522314" w:rsidRDefault="000F3092" w:rsidP="00B826E4">
      <w:pPr>
        <w:ind w:firstLine="708"/>
        <w:jc w:val="both"/>
        <w:rPr>
          <w:color w:val="000000"/>
        </w:rPr>
      </w:pPr>
      <w:r w:rsidRPr="00522314">
        <w:rPr>
          <w:bCs/>
        </w:rPr>
        <w:t>V súvislosti s navrhovanými</w:t>
      </w:r>
      <w:r w:rsidR="001B01C8" w:rsidRPr="00522314">
        <w:rPr>
          <w:bCs/>
        </w:rPr>
        <w:t xml:space="preserve"> zmenami </w:t>
      </w:r>
      <w:r w:rsidRPr="00522314">
        <w:rPr>
          <w:bCs/>
        </w:rPr>
        <w:t xml:space="preserve">sa </w:t>
      </w:r>
      <w:r w:rsidR="004C0F39" w:rsidRPr="00522314">
        <w:rPr>
          <w:bCs/>
        </w:rPr>
        <w:t>upravujú</w:t>
      </w:r>
      <w:r w:rsidRPr="00522314">
        <w:rPr>
          <w:bCs/>
        </w:rPr>
        <w:t xml:space="preserve"> prechodné ustanovenia. </w:t>
      </w:r>
      <w:r w:rsidR="001B01C8" w:rsidRPr="00522314">
        <w:rPr>
          <w:bCs/>
        </w:rPr>
        <w:t>V záujme toho</w:t>
      </w:r>
      <w:r w:rsidR="00EE4CB5" w:rsidRPr="00522314">
        <w:rPr>
          <w:color w:val="000000"/>
        </w:rPr>
        <w:t xml:space="preserve">, aby bol vytvorený dostatočný </w:t>
      </w:r>
      <w:r w:rsidR="00103904" w:rsidRPr="00522314">
        <w:rPr>
          <w:color w:val="000000"/>
        </w:rPr>
        <w:t>časový rámec</w:t>
      </w:r>
      <w:r w:rsidR="00B826E4" w:rsidRPr="00522314">
        <w:rPr>
          <w:color w:val="000000"/>
        </w:rPr>
        <w:t xml:space="preserve"> tak</w:t>
      </w:r>
      <w:r w:rsidR="00AE5C84" w:rsidRPr="00522314">
        <w:rPr>
          <w:color w:val="000000"/>
        </w:rPr>
        <w:t xml:space="preserve"> pre colné úrady</w:t>
      </w:r>
      <w:r w:rsidR="00103904" w:rsidRPr="00522314">
        <w:rPr>
          <w:color w:val="000000"/>
        </w:rPr>
        <w:t xml:space="preserve">, </w:t>
      </w:r>
      <w:r w:rsidR="00B826E4" w:rsidRPr="00522314">
        <w:rPr>
          <w:color w:val="000000"/>
        </w:rPr>
        <w:t xml:space="preserve">ako aj </w:t>
      </w:r>
      <w:r w:rsidR="00AE5C84" w:rsidRPr="00522314">
        <w:rPr>
          <w:color w:val="000000"/>
        </w:rPr>
        <w:t xml:space="preserve">pre podnikateľov obchodujúcich </w:t>
      </w:r>
      <w:r w:rsidR="00103904" w:rsidRPr="00522314">
        <w:rPr>
          <w:color w:val="000000"/>
        </w:rPr>
        <w:t>s bezdymovým tabakovým výrobkom alebo s výrobkom súvisiacim s tabakovými výrobkami, ktorí budú naďalej chcieť obchodovať s predmetnými výrobkami, resp. distribuo</w:t>
      </w:r>
      <w:r w:rsidR="00EE4CB5" w:rsidRPr="00522314">
        <w:rPr>
          <w:color w:val="000000"/>
        </w:rPr>
        <w:t xml:space="preserve">vať tieto výrobky </w:t>
      </w:r>
      <w:r w:rsidR="00AE5C84" w:rsidRPr="00522314">
        <w:rPr>
          <w:color w:val="000000"/>
        </w:rPr>
        <w:t xml:space="preserve">už </w:t>
      </w:r>
      <w:r w:rsidR="00EE4CB5" w:rsidRPr="00522314">
        <w:rPr>
          <w:color w:val="000000"/>
        </w:rPr>
        <w:t xml:space="preserve">od 1. februára </w:t>
      </w:r>
      <w:r w:rsidR="00103904" w:rsidRPr="00522314">
        <w:rPr>
          <w:color w:val="000000"/>
        </w:rPr>
        <w:t>2025, požiadať</w:t>
      </w:r>
      <w:r w:rsidR="00AE5C84" w:rsidRPr="00522314">
        <w:rPr>
          <w:color w:val="000000"/>
        </w:rPr>
        <w:t xml:space="preserve"> do 31. decembra </w:t>
      </w:r>
      <w:r w:rsidR="00103904" w:rsidRPr="00522314">
        <w:rPr>
          <w:color w:val="000000"/>
        </w:rPr>
        <w:t xml:space="preserve"> colný úrad o vydanie povolenia.</w:t>
      </w:r>
    </w:p>
    <w:p w:rsidR="00AE5C84" w:rsidRPr="00522314" w:rsidRDefault="00AE5C84" w:rsidP="00B826E4">
      <w:pPr>
        <w:ind w:firstLine="708"/>
        <w:jc w:val="both"/>
        <w:rPr>
          <w:color w:val="000000"/>
        </w:rPr>
      </w:pPr>
      <w:r w:rsidRPr="00522314">
        <w:rPr>
          <w:bCs/>
        </w:rPr>
        <w:t xml:space="preserve">V prípade, že žiadateľ je už v zmysle zákona registrovaný alebo evidovaný ako daňový subjekt a je teda pod dohľadom a správou colného úradu, podá si len žiadosť, pričom k žiadosti nemusí priložiť prílohu a ani dokladovanie podmienok stanovených zákonom pre tento druh evidencie. Ak žiadateľ žiada o povolenie na obchodovanie s bezdymovým tabakovým výrobkom a zároveň aj o povolenie na obchodovanie s výrobkom súvisiacim s tabakovými výrobkami (čo platí rovnako aj pre povolenie na distribúciu), podá si dve žiadosti, avšak prílohu k žiadosti a dokladovanie splnenia zákonom stanovených podmienok dokladuje len raz. </w:t>
      </w:r>
      <w:r w:rsidRPr="00522314">
        <w:rPr>
          <w:rFonts w:ascii="Times" w:hAnsi="Times" w:cs="Times"/>
          <w:bCs/>
        </w:rPr>
        <w:t>Ak osoba, ktorá chce v rámci podnikania na daňovom území obchodovať s bezdymovým tabakovým výrobkom alebo obchodovať s výrobkom súvisiacim s tabakovými výrobkami, má nejaké prevádzkarne, kde sa budú tieto výrobky predávať na konečnú spotrebu alebo skladovať, zaregistruje ich všetky jednou podanou žiadosťou a rovnako tak plní za tieto všetky prevádzkarne aj oznamovacie povinnosti. Ak ide o samostatné právnické osoby, žiadosť sa podáva za každú z nich samostatne. Rovnaký postup sa uplatní aj pri žiadosti o distribúciu bezdymového tabakového výrobku alebo pri žiadosti o distribúciu výrobku súvisiaceho s tabakovými výrobkami.</w:t>
      </w:r>
    </w:p>
    <w:p w:rsidR="00F53409" w:rsidRPr="00522314" w:rsidRDefault="00F53409" w:rsidP="00B826E4">
      <w:pPr>
        <w:ind w:firstLine="708"/>
        <w:jc w:val="both"/>
        <w:rPr>
          <w:color w:val="000000"/>
        </w:rPr>
      </w:pPr>
      <w:r w:rsidRPr="00522314">
        <w:rPr>
          <w:color w:val="000000"/>
        </w:rPr>
        <w:t xml:space="preserve">Rovnako sa ustanovuje lehota na nahlásenie stavu zásob a presné označenie </w:t>
      </w:r>
      <w:r w:rsidR="00B826E4" w:rsidRPr="00522314">
        <w:rPr>
          <w:color w:val="000000"/>
        </w:rPr>
        <w:t xml:space="preserve">bezdymového tabakového výrobku, ktorým je žuvací tabak alebo šnupavý tabak a </w:t>
      </w:r>
      <w:r w:rsidRPr="00522314">
        <w:rPr>
          <w:color w:val="000000"/>
        </w:rPr>
        <w:t>výrobku súvisiaceho s tabakovými výrobkami na sklade budúci</w:t>
      </w:r>
      <w:r w:rsidR="007815FB" w:rsidRPr="00522314">
        <w:rPr>
          <w:color w:val="000000"/>
        </w:rPr>
        <w:t xml:space="preserve">m obchodníkom a distribútorom k </w:t>
      </w:r>
      <w:r w:rsidR="00EE4CB5" w:rsidRPr="00522314">
        <w:rPr>
          <w:color w:val="000000"/>
        </w:rPr>
        <w:t>3</w:t>
      </w:r>
      <w:r w:rsidRPr="00522314">
        <w:rPr>
          <w:color w:val="000000"/>
        </w:rPr>
        <w:t>1. januáru 20</w:t>
      </w:r>
      <w:r w:rsidR="00EE4CB5" w:rsidRPr="00522314">
        <w:rPr>
          <w:color w:val="000000"/>
        </w:rPr>
        <w:t>25, a to v lehote do 15. februára</w:t>
      </w:r>
      <w:r w:rsidRPr="00522314">
        <w:rPr>
          <w:color w:val="000000"/>
        </w:rPr>
        <w:t xml:space="preserve"> 2025.</w:t>
      </w:r>
    </w:p>
    <w:p w:rsidR="00F53409" w:rsidRPr="00522314" w:rsidRDefault="00B82D83" w:rsidP="00B826E4">
      <w:pPr>
        <w:ind w:firstLine="708"/>
        <w:jc w:val="both"/>
        <w:rPr>
          <w:color w:val="000000"/>
        </w:rPr>
      </w:pPr>
      <w:r w:rsidRPr="00522314">
        <w:rPr>
          <w:color w:val="000000"/>
        </w:rPr>
        <w:t>L</w:t>
      </w:r>
      <w:r w:rsidR="00F53409" w:rsidRPr="00522314">
        <w:rPr>
          <w:color w:val="000000"/>
        </w:rPr>
        <w:t>eh</w:t>
      </w:r>
      <w:r w:rsidR="00B826E4" w:rsidRPr="00522314">
        <w:rPr>
          <w:color w:val="000000"/>
        </w:rPr>
        <w:t>ota na dopredaj spotrebiteľského balenia</w:t>
      </w:r>
      <w:r w:rsidR="00F53409" w:rsidRPr="00522314">
        <w:rPr>
          <w:color w:val="000000"/>
        </w:rPr>
        <w:t xml:space="preserve"> bezdymového tabakového výrobku</w:t>
      </w:r>
      <w:r w:rsidR="00B826E4" w:rsidRPr="00522314">
        <w:rPr>
          <w:color w:val="000000"/>
        </w:rPr>
        <w:t>, ktorý pozostáva výlučne alebo čiastočne z inej náplne ako tabak</w:t>
      </w:r>
      <w:r w:rsidR="00F53409" w:rsidRPr="00522314">
        <w:rPr>
          <w:color w:val="000000"/>
        </w:rPr>
        <w:t>,</w:t>
      </w:r>
      <w:r w:rsidR="00B826E4" w:rsidRPr="00522314">
        <w:rPr>
          <w:color w:val="000000"/>
        </w:rPr>
        <w:t xml:space="preserve"> bezdymového tabakového výrobku</w:t>
      </w:r>
      <w:r w:rsidR="00F53409" w:rsidRPr="00522314">
        <w:rPr>
          <w:color w:val="000000"/>
        </w:rPr>
        <w:t xml:space="preserve"> ktorým je žuvací a šnupavý tabak a</w:t>
      </w:r>
      <w:r w:rsidR="00B826E4" w:rsidRPr="00522314">
        <w:rPr>
          <w:color w:val="000000"/>
        </w:rPr>
        <w:t> spotrebiteľského balenia výrobku</w:t>
      </w:r>
      <w:r w:rsidR="00F53409" w:rsidRPr="00522314">
        <w:rPr>
          <w:color w:val="000000"/>
        </w:rPr>
        <w:t xml:space="preserve"> </w:t>
      </w:r>
      <w:r w:rsidR="00B826E4" w:rsidRPr="00522314">
        <w:rPr>
          <w:color w:val="000000"/>
        </w:rPr>
        <w:t xml:space="preserve">súvisiaceho </w:t>
      </w:r>
      <w:r w:rsidR="00F53409" w:rsidRPr="00522314">
        <w:rPr>
          <w:color w:val="000000"/>
        </w:rPr>
        <w:t>s tabakovými výrobkami neoznačených kontrolnou známkou</w:t>
      </w:r>
      <w:r w:rsidR="00B826E4" w:rsidRPr="00522314">
        <w:rPr>
          <w:color w:val="000000"/>
        </w:rPr>
        <w:t xml:space="preserve"> a prijatých, dodaných alebo dovozených na daňové územie pred 1. februárom 2025 </w:t>
      </w:r>
      <w:r w:rsidRPr="00522314">
        <w:rPr>
          <w:color w:val="000000"/>
        </w:rPr>
        <w:t>je</w:t>
      </w:r>
      <w:r w:rsidR="00F53409" w:rsidRPr="00522314">
        <w:rPr>
          <w:color w:val="000000"/>
        </w:rPr>
        <w:t xml:space="preserve"> do 30. júna 2025</w:t>
      </w:r>
      <w:r w:rsidRPr="00522314">
        <w:rPr>
          <w:color w:val="000000"/>
        </w:rPr>
        <w:t>.</w:t>
      </w:r>
    </w:p>
    <w:p w:rsidR="00F53409" w:rsidRPr="00522314" w:rsidRDefault="000F3092" w:rsidP="00B82D83">
      <w:pPr>
        <w:ind w:firstLine="708"/>
        <w:jc w:val="both"/>
        <w:rPr>
          <w:bCs/>
        </w:rPr>
      </w:pPr>
      <w:r w:rsidRPr="00522314">
        <w:rPr>
          <w:bCs/>
        </w:rPr>
        <w:lastRenderedPageBreak/>
        <w:t xml:space="preserve">Súčasne sa </w:t>
      </w:r>
      <w:r w:rsidR="00E8747F" w:rsidRPr="00522314">
        <w:rPr>
          <w:bCs/>
        </w:rPr>
        <w:t>k 1. február</w:t>
      </w:r>
      <w:r w:rsidR="00B82D83" w:rsidRPr="00522314">
        <w:rPr>
          <w:bCs/>
        </w:rPr>
        <w:t>u</w:t>
      </w:r>
      <w:r w:rsidR="00E8747F" w:rsidRPr="00522314">
        <w:rPr>
          <w:bCs/>
        </w:rPr>
        <w:t xml:space="preserve"> 2026 </w:t>
      </w:r>
      <w:r w:rsidR="00DB2EB0" w:rsidRPr="00522314">
        <w:rPr>
          <w:bCs/>
        </w:rPr>
        <w:t xml:space="preserve">do 31. januára 2028 </w:t>
      </w:r>
      <w:r w:rsidR="004C0F39" w:rsidRPr="00522314">
        <w:rPr>
          <w:bCs/>
        </w:rPr>
        <w:t xml:space="preserve">navrhuje upraviť </w:t>
      </w:r>
      <w:r w:rsidR="00E8471A" w:rsidRPr="00522314">
        <w:rPr>
          <w:bCs/>
        </w:rPr>
        <w:t xml:space="preserve">sadzbu dane z tabaku, </w:t>
      </w:r>
      <w:r w:rsidR="00173622" w:rsidRPr="00522314">
        <w:rPr>
          <w:bCs/>
        </w:rPr>
        <w:t>špecifick</w:t>
      </w:r>
      <w:r w:rsidR="00DB2EB0" w:rsidRPr="00522314">
        <w:rPr>
          <w:bCs/>
        </w:rPr>
        <w:t xml:space="preserve">ú </w:t>
      </w:r>
      <w:r w:rsidR="00173622" w:rsidRPr="00522314">
        <w:rPr>
          <w:bCs/>
        </w:rPr>
        <w:t xml:space="preserve">časť kombinovanej sadzby dane z cigariet, </w:t>
      </w:r>
      <w:r w:rsidRPr="00522314">
        <w:rPr>
          <w:bCs/>
        </w:rPr>
        <w:t>minimáln</w:t>
      </w:r>
      <w:r w:rsidR="00173622" w:rsidRPr="00522314">
        <w:rPr>
          <w:bCs/>
        </w:rPr>
        <w:t>u</w:t>
      </w:r>
      <w:r w:rsidRPr="00522314">
        <w:rPr>
          <w:bCs/>
        </w:rPr>
        <w:t xml:space="preserve"> sadzb</w:t>
      </w:r>
      <w:r w:rsidR="00173622" w:rsidRPr="00522314">
        <w:rPr>
          <w:bCs/>
        </w:rPr>
        <w:t>u</w:t>
      </w:r>
      <w:r w:rsidRPr="00522314">
        <w:rPr>
          <w:bCs/>
        </w:rPr>
        <w:t xml:space="preserve"> dane </w:t>
      </w:r>
      <w:r w:rsidR="00173622" w:rsidRPr="00522314">
        <w:rPr>
          <w:bCs/>
        </w:rPr>
        <w:t>z</w:t>
      </w:r>
      <w:r w:rsidRPr="00522314">
        <w:rPr>
          <w:bCs/>
        </w:rPr>
        <w:t xml:space="preserve"> cigar</w:t>
      </w:r>
      <w:r w:rsidR="00173622" w:rsidRPr="00522314">
        <w:rPr>
          <w:bCs/>
        </w:rPr>
        <w:t>i</w:t>
      </w:r>
      <w:r w:rsidRPr="00522314">
        <w:rPr>
          <w:bCs/>
        </w:rPr>
        <w:t xml:space="preserve">et a  </w:t>
      </w:r>
      <w:r w:rsidR="00173622" w:rsidRPr="00522314">
        <w:rPr>
          <w:bCs/>
        </w:rPr>
        <w:t>sadzbu dane z tabaku v </w:t>
      </w:r>
      <w:r w:rsidR="00DB2EB0" w:rsidRPr="00522314">
        <w:rPr>
          <w:bCs/>
        </w:rPr>
        <w:t>bezdymovom tabakovom výrobku</w:t>
      </w:r>
      <w:r w:rsidR="00173622" w:rsidRPr="00522314">
        <w:rPr>
          <w:bCs/>
        </w:rPr>
        <w:t xml:space="preserve">. </w:t>
      </w:r>
      <w:r w:rsidR="00B82D83" w:rsidRPr="00522314">
        <w:rPr>
          <w:bCs/>
        </w:rPr>
        <w:t>K 1. februáru 2025 do 31. januára 2027 sa navrhuje zaviesť sadzbu dane pre náplň do elektronickej cigarety, nikotínového vrecúška a iného nikotínového výrobku a zároveň sa zavádza sadzba dane pre bezdymový tabakový výrobok, ktorým je žuvací tabak a šnupavý tabak.</w:t>
      </w:r>
    </w:p>
    <w:p w:rsidR="00E312B2" w:rsidRDefault="00173622" w:rsidP="00DC5A51">
      <w:pPr>
        <w:ind w:firstLine="708"/>
        <w:jc w:val="both"/>
        <w:rPr>
          <w:bCs/>
        </w:rPr>
      </w:pPr>
      <w:r w:rsidRPr="00522314">
        <w:rPr>
          <w:bCs/>
        </w:rPr>
        <w:t>Zároveň sa</w:t>
      </w:r>
      <w:r w:rsidR="000F3092" w:rsidRPr="00522314">
        <w:rPr>
          <w:bCs/>
        </w:rPr>
        <w:t xml:space="preserve"> </w:t>
      </w:r>
      <w:r w:rsidR="006E2FD7" w:rsidRPr="00522314">
        <w:rPr>
          <w:bCs/>
        </w:rPr>
        <w:t>u</w:t>
      </w:r>
      <w:r w:rsidR="000F3092" w:rsidRPr="00522314">
        <w:rPr>
          <w:bCs/>
        </w:rPr>
        <w:t>stanovuj</w:t>
      </w:r>
      <w:r w:rsidRPr="00522314">
        <w:rPr>
          <w:bCs/>
        </w:rPr>
        <w:t>ú</w:t>
      </w:r>
      <w:r w:rsidR="000F3092" w:rsidRPr="00522314">
        <w:rPr>
          <w:bCs/>
        </w:rPr>
        <w:t xml:space="preserve"> znak</w:t>
      </w:r>
      <w:r w:rsidRPr="00522314">
        <w:rPr>
          <w:bCs/>
        </w:rPr>
        <w:t>y</w:t>
      </w:r>
      <w:r w:rsidR="000F3092" w:rsidRPr="00522314">
        <w:rPr>
          <w:bCs/>
        </w:rPr>
        <w:t xml:space="preserve"> pre </w:t>
      </w:r>
      <w:r w:rsidRPr="00522314">
        <w:rPr>
          <w:bCs/>
        </w:rPr>
        <w:t xml:space="preserve">príslušnú </w:t>
      </w:r>
      <w:r w:rsidR="000F3092" w:rsidRPr="00522314">
        <w:rPr>
          <w:bCs/>
        </w:rPr>
        <w:t xml:space="preserve">sadzbu dane a upravujú sa lehoty na </w:t>
      </w:r>
      <w:r w:rsidR="00B82D83" w:rsidRPr="00522314">
        <w:rPr>
          <w:bCs/>
        </w:rPr>
        <w:t>do</w:t>
      </w:r>
      <w:r w:rsidR="000F3092" w:rsidRPr="00522314">
        <w:rPr>
          <w:bCs/>
        </w:rPr>
        <w:t>predaj zdanen</w:t>
      </w:r>
      <w:r w:rsidRPr="00522314">
        <w:rPr>
          <w:bCs/>
        </w:rPr>
        <w:t xml:space="preserve">ých </w:t>
      </w:r>
      <w:r w:rsidR="002F74E9" w:rsidRPr="00522314">
        <w:rPr>
          <w:bCs/>
        </w:rPr>
        <w:t>tabakových výrobkov</w:t>
      </w:r>
      <w:r w:rsidR="00693556" w:rsidRPr="00522314">
        <w:rPr>
          <w:bCs/>
        </w:rPr>
        <w:t xml:space="preserve"> </w:t>
      </w:r>
      <w:r w:rsidR="00B82D83" w:rsidRPr="00522314">
        <w:rPr>
          <w:bCs/>
        </w:rPr>
        <w:t>a výrobkov súvisiacich s tabakovými výrobkami</w:t>
      </w:r>
      <w:r w:rsidR="002F74E9" w:rsidRPr="00522314">
        <w:rPr>
          <w:bCs/>
        </w:rPr>
        <w:t xml:space="preserve"> pri zmene sadzby dane.</w:t>
      </w:r>
    </w:p>
    <w:p w:rsidR="001F3326" w:rsidRDefault="001F3326" w:rsidP="0028584A">
      <w:pPr>
        <w:jc w:val="both"/>
        <w:rPr>
          <w:b/>
          <w:bCs/>
        </w:rPr>
      </w:pPr>
    </w:p>
    <w:p w:rsidR="0028584A" w:rsidRPr="0028584A" w:rsidRDefault="00F624A4" w:rsidP="0028584A">
      <w:pPr>
        <w:jc w:val="both"/>
        <w:rPr>
          <w:b/>
          <w:bCs/>
        </w:rPr>
      </w:pPr>
      <w:r w:rsidRPr="00E163DF">
        <w:rPr>
          <w:b/>
          <w:bCs/>
        </w:rPr>
        <w:t>K článku II</w:t>
      </w:r>
    </w:p>
    <w:p w:rsidR="00F97CA3" w:rsidRPr="000337B8" w:rsidRDefault="00F97CA3" w:rsidP="00F97CA3">
      <w:pPr>
        <w:jc w:val="both"/>
      </w:pPr>
      <w:r w:rsidRPr="000337B8">
        <w:t xml:space="preserve">Tento zákon nadobúda účinnosť 1. novembra 2024 okrem čl. I bodu 8, § 19aa ods. 1 až 34 prvej až tretej vety v bode 13 a § 19aa ods. 35 až 48 v bode 13, § 19ab ods. 1 až 30 prvej až tretej vety v bode 14 a § 19ab ods. 31 až 51 v bode 14, bodov 16 až 26, </w:t>
      </w:r>
      <w:r>
        <w:t xml:space="preserve">ktoré nadobúdajú účinnosť 1. februára 2025, </w:t>
      </w:r>
      <w:r w:rsidRPr="000337B8">
        <w:t>§ 19aa ods. 34 štvrtej až siedmej vety v bode 13 a § 19ab ods. 30 štvrtej až siedmej vety v bode 14, ktoré nadobúdajú účinnosť 1. januára 2026.</w:t>
      </w:r>
    </w:p>
    <w:p w:rsidR="00257E3A" w:rsidRDefault="00257E3A" w:rsidP="00C83786">
      <w:pPr>
        <w:jc w:val="both"/>
        <w:rPr>
          <w:color w:val="000000"/>
        </w:rPr>
      </w:pPr>
      <w:bookmarkStart w:id="0" w:name="_GoBack"/>
      <w:bookmarkEnd w:id="0"/>
    </w:p>
    <w:p w:rsidR="006C5C00" w:rsidRDefault="00683C4F" w:rsidP="00683C4F">
      <w:pPr>
        <w:jc w:val="both"/>
      </w:pPr>
      <w:r w:rsidRPr="006C5C00">
        <w:rPr>
          <w:color w:val="000000"/>
        </w:rPr>
        <w:t>Účinnosť ustanovení</w:t>
      </w:r>
      <w:r w:rsidR="006C5C00" w:rsidRPr="006C5C00">
        <w:rPr>
          <w:color w:val="000000"/>
        </w:rPr>
        <w:t xml:space="preserve"> týkajúca sa neharmonizovaných predmetov zákona, ktorými sú bezdymový tabakový výrobok,</w:t>
      </w:r>
      <w:r w:rsidRPr="006C5C00">
        <w:rPr>
          <w:color w:val="000000"/>
        </w:rPr>
        <w:t xml:space="preserve"> vrátane žuvacieho tabaku a šnupavého tabaku</w:t>
      </w:r>
      <w:r w:rsidR="006C5C00" w:rsidRPr="006C5C00">
        <w:rPr>
          <w:color w:val="000000"/>
        </w:rPr>
        <w:t>,</w:t>
      </w:r>
      <w:r w:rsidRPr="006C5C00">
        <w:rPr>
          <w:color w:val="000000"/>
        </w:rPr>
        <w:t xml:space="preserve"> a</w:t>
      </w:r>
      <w:r w:rsidR="006C5C00" w:rsidRPr="006C5C00">
        <w:rPr>
          <w:color w:val="000000"/>
        </w:rPr>
        <w:t xml:space="preserve"> výrobok súvisiaci</w:t>
      </w:r>
      <w:r w:rsidRPr="006C5C00">
        <w:rPr>
          <w:color w:val="000000"/>
        </w:rPr>
        <w:t xml:space="preserve"> s tabakovými výrobkami sa navrhuje 1. februára 2025 najmä z dôvodu </w:t>
      </w:r>
      <w:r w:rsidRPr="006C5C00">
        <w:t xml:space="preserve">jednotnej účinnosti sadzieb dane s tabakovými výrobkami, ktoré sa od roku 2017 upravujú </w:t>
      </w:r>
      <w:r w:rsidR="00D05B5E">
        <w:t xml:space="preserve">vždy k </w:t>
      </w:r>
      <w:r w:rsidR="006C5C00" w:rsidRPr="006C5C00">
        <w:t xml:space="preserve">1. februáru navrhovaného obdobia prostredníctvom transparentného a predvídateľného </w:t>
      </w:r>
      <w:r w:rsidRPr="006C5C00">
        <w:t xml:space="preserve"> daňového kalendára. </w:t>
      </w:r>
      <w:r w:rsidR="006C5C00">
        <w:t>Zmena sadzieb k 1. februáru navrhovaného obdobia z</w:t>
      </w:r>
      <w:r w:rsidRPr="006C5C00">
        <w:t>abezpeč</w:t>
      </w:r>
      <w:r w:rsidR="006C5C00" w:rsidRPr="006C5C00">
        <w:t>í vyhnutie sa technickým a  administratívnym problémom</w:t>
      </w:r>
      <w:r w:rsidR="006C5C00">
        <w:t xml:space="preserve"> na strane p</w:t>
      </w:r>
      <w:r w:rsidR="00A865D4">
        <w:t>odnikateľskej verejnosti spojených</w:t>
      </w:r>
      <w:r w:rsidR="006C5C00">
        <w:t xml:space="preserve"> so začiatkom kalendárneho roka</w:t>
      </w:r>
      <w:r w:rsidRPr="006C5C00">
        <w:t>. Pri diskusiách s podnikateľským subjektami</w:t>
      </w:r>
      <w:r w:rsidR="00A865D4">
        <w:t xml:space="preserve"> v rámci legislatívneho procesu bola vznesená nutná</w:t>
      </w:r>
      <w:r w:rsidRPr="006C5C00">
        <w:t xml:space="preserve"> potreba zákonnej úpravy týchto výrobkov tak, aby sadzba dane bola účinná rovnako ako </w:t>
      </w:r>
      <w:r w:rsidR="00A865D4">
        <w:t>tomu je p</w:t>
      </w:r>
      <w:r w:rsidRPr="006C5C00">
        <w:t>ri tabakových výrobkoch.</w:t>
      </w:r>
      <w:r w:rsidR="00AE3B1A">
        <w:t xml:space="preserve"> Úprava súvisiaca</w:t>
      </w:r>
      <w:r w:rsidR="009A3F95">
        <w:t xml:space="preserve"> s centrali</w:t>
      </w:r>
      <w:r w:rsidR="00AE3B1A">
        <w:t>zovaným colným konaním nadobudne</w:t>
      </w:r>
      <w:r w:rsidR="009A3F95">
        <w:t xml:space="preserve"> účinnosť 1. januára 2026.</w:t>
      </w:r>
    </w:p>
    <w:p w:rsidR="006C5C00" w:rsidRPr="006C5C00" w:rsidRDefault="006C5C00" w:rsidP="006C5C00"/>
    <w:p w:rsidR="006C5C00" w:rsidRPr="006C5C00" w:rsidRDefault="006C5C00" w:rsidP="006C5C00"/>
    <w:p w:rsidR="006C5C00" w:rsidRPr="006C5C00" w:rsidRDefault="006C5C00" w:rsidP="006C5C00"/>
    <w:p w:rsidR="00683C4F" w:rsidRPr="006C5C00" w:rsidRDefault="00683C4F" w:rsidP="006C5C00"/>
    <w:sectPr w:rsidR="00683C4F" w:rsidRPr="006C5C00" w:rsidSect="005811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BE" w:rsidRDefault="00137BBE" w:rsidP="0094136A">
      <w:r>
        <w:separator/>
      </w:r>
    </w:p>
  </w:endnote>
  <w:endnote w:type="continuationSeparator" w:id="0">
    <w:p w:rsidR="00137BBE" w:rsidRDefault="00137BBE" w:rsidP="0094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Gadugi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4A" w:rsidRPr="00CE4AEB" w:rsidRDefault="000E0FCB" w:rsidP="00CE4AEB">
    <w:pPr>
      <w:pStyle w:val="Pta"/>
      <w:jc w:val="center"/>
      <w:rPr>
        <w:sz w:val="20"/>
        <w:szCs w:val="20"/>
      </w:rPr>
    </w:pPr>
    <w:r w:rsidRPr="00CE4AEB">
      <w:rPr>
        <w:sz w:val="20"/>
        <w:szCs w:val="20"/>
      </w:rPr>
      <w:fldChar w:fldCharType="begin"/>
    </w:r>
    <w:r w:rsidRPr="00CE4AEB">
      <w:rPr>
        <w:sz w:val="20"/>
        <w:szCs w:val="20"/>
      </w:rPr>
      <w:instrText>PAGE   \* MERGEFORMAT</w:instrText>
    </w:r>
    <w:r w:rsidRPr="00CE4AEB">
      <w:rPr>
        <w:sz w:val="20"/>
        <w:szCs w:val="20"/>
      </w:rPr>
      <w:fldChar w:fldCharType="separate"/>
    </w:r>
    <w:r w:rsidR="00F97CA3">
      <w:rPr>
        <w:noProof/>
        <w:sz w:val="20"/>
        <w:szCs w:val="20"/>
      </w:rPr>
      <w:t>2</w:t>
    </w:r>
    <w:r w:rsidRPr="00CE4AE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BE" w:rsidRDefault="00137BBE" w:rsidP="0094136A">
      <w:r>
        <w:separator/>
      </w:r>
    </w:p>
  </w:footnote>
  <w:footnote w:type="continuationSeparator" w:id="0">
    <w:p w:rsidR="00137BBE" w:rsidRDefault="00137BBE" w:rsidP="0094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AB9"/>
    <w:multiLevelType w:val="hybridMultilevel"/>
    <w:tmpl w:val="1BDAE9C8"/>
    <w:lvl w:ilvl="0" w:tplc="041B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05C32B79"/>
    <w:multiLevelType w:val="hybridMultilevel"/>
    <w:tmpl w:val="EA1CC516"/>
    <w:lvl w:ilvl="0" w:tplc="4EA685C2">
      <w:start w:val="1"/>
      <w:numFmt w:val="decimal"/>
      <w:lvlText w:val="(%1)"/>
      <w:lvlJc w:val="left"/>
      <w:pPr>
        <w:ind w:left="105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 w15:restartNumberingAfterBreak="0">
    <w:nsid w:val="08F30BF5"/>
    <w:multiLevelType w:val="hybridMultilevel"/>
    <w:tmpl w:val="30E6695E"/>
    <w:lvl w:ilvl="0" w:tplc="6DD2AAFC">
      <w:numFmt w:val="bullet"/>
      <w:lvlText w:val="−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6482C"/>
    <w:multiLevelType w:val="hybridMultilevel"/>
    <w:tmpl w:val="138C3AC6"/>
    <w:lvl w:ilvl="0" w:tplc="056EA108">
      <w:start w:val="226"/>
      <w:numFmt w:val="bullet"/>
      <w:lvlText w:val="-"/>
      <w:lvlJc w:val="left"/>
      <w:pPr>
        <w:ind w:left="720" w:hanging="360"/>
      </w:pPr>
      <w:rPr>
        <w:rFonts w:ascii="Vrinda" w:eastAsia="Times New Roman" w:hAnsi="Vrind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135B"/>
    <w:multiLevelType w:val="hybridMultilevel"/>
    <w:tmpl w:val="89E242D8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30F73F5C"/>
    <w:multiLevelType w:val="hybridMultilevel"/>
    <w:tmpl w:val="CF904E76"/>
    <w:lvl w:ilvl="0" w:tplc="3CA62474">
      <w:start w:val="1"/>
      <w:numFmt w:val="decimal"/>
      <w:lvlText w:val="(%1)"/>
      <w:lvlJc w:val="left"/>
      <w:pPr>
        <w:ind w:left="617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689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761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833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05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977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049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121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1933" w:hanging="180"/>
      </w:pPr>
      <w:rPr>
        <w:rFonts w:cs="Times New Roman"/>
      </w:rPr>
    </w:lvl>
  </w:abstractNum>
  <w:abstractNum w:abstractNumId="6" w15:restartNumberingAfterBreak="0">
    <w:nsid w:val="364128E5"/>
    <w:multiLevelType w:val="hybridMultilevel"/>
    <w:tmpl w:val="FB4C1828"/>
    <w:lvl w:ilvl="0" w:tplc="36F244A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388F1604"/>
    <w:multiLevelType w:val="hybridMultilevel"/>
    <w:tmpl w:val="8160D0CC"/>
    <w:lvl w:ilvl="0" w:tplc="EC285C2C">
      <w:numFmt w:val="bullet"/>
      <w:lvlText w:val="–"/>
      <w:lvlJc w:val="left"/>
      <w:pPr>
        <w:ind w:left="3763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8" w15:restartNumberingAfterBreak="0">
    <w:nsid w:val="3E417E08"/>
    <w:multiLevelType w:val="hybridMultilevel"/>
    <w:tmpl w:val="0AC6B568"/>
    <w:lvl w:ilvl="0" w:tplc="6DD2AAFC">
      <w:numFmt w:val="bullet"/>
      <w:lvlText w:val="−"/>
      <w:lvlJc w:val="left"/>
      <w:pPr>
        <w:ind w:left="1287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A47193"/>
    <w:multiLevelType w:val="hybridMultilevel"/>
    <w:tmpl w:val="C902F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895623"/>
    <w:multiLevelType w:val="hybridMultilevel"/>
    <w:tmpl w:val="6DACDD50"/>
    <w:lvl w:ilvl="0" w:tplc="D45EB1E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144AB"/>
    <w:multiLevelType w:val="hybridMultilevel"/>
    <w:tmpl w:val="15CCB5F0"/>
    <w:lvl w:ilvl="0" w:tplc="70F4AA6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07080D"/>
    <w:multiLevelType w:val="hybridMultilevel"/>
    <w:tmpl w:val="2DAA3168"/>
    <w:lvl w:ilvl="0" w:tplc="ED70A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AB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6C1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F02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4E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C0A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380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FE0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3AB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6D93AF5"/>
    <w:multiLevelType w:val="hybridMultilevel"/>
    <w:tmpl w:val="103E7B1A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791734C7"/>
    <w:multiLevelType w:val="hybridMultilevel"/>
    <w:tmpl w:val="DC705080"/>
    <w:lvl w:ilvl="0" w:tplc="C3CACD2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8A"/>
    <w:rsid w:val="000030BF"/>
    <w:rsid w:val="000050B5"/>
    <w:rsid w:val="00005280"/>
    <w:rsid w:val="00005457"/>
    <w:rsid w:val="00006BE5"/>
    <w:rsid w:val="000079BC"/>
    <w:rsid w:val="000110C4"/>
    <w:rsid w:val="000113C4"/>
    <w:rsid w:val="00014991"/>
    <w:rsid w:val="00015243"/>
    <w:rsid w:val="00017364"/>
    <w:rsid w:val="00023D5D"/>
    <w:rsid w:val="000264A7"/>
    <w:rsid w:val="00033ABA"/>
    <w:rsid w:val="00034D48"/>
    <w:rsid w:val="000367E1"/>
    <w:rsid w:val="00040B96"/>
    <w:rsid w:val="00042AD7"/>
    <w:rsid w:val="00044191"/>
    <w:rsid w:val="000474F7"/>
    <w:rsid w:val="00051B2A"/>
    <w:rsid w:val="0005451A"/>
    <w:rsid w:val="00057E01"/>
    <w:rsid w:val="0006283B"/>
    <w:rsid w:val="00062A37"/>
    <w:rsid w:val="00063081"/>
    <w:rsid w:val="00064AC3"/>
    <w:rsid w:val="00067121"/>
    <w:rsid w:val="000736FC"/>
    <w:rsid w:val="00074D31"/>
    <w:rsid w:val="000759EF"/>
    <w:rsid w:val="00076F29"/>
    <w:rsid w:val="000834F1"/>
    <w:rsid w:val="000842CF"/>
    <w:rsid w:val="000859FD"/>
    <w:rsid w:val="00091773"/>
    <w:rsid w:val="00091A17"/>
    <w:rsid w:val="00093627"/>
    <w:rsid w:val="00095BCE"/>
    <w:rsid w:val="0009684D"/>
    <w:rsid w:val="000A28F0"/>
    <w:rsid w:val="000A3434"/>
    <w:rsid w:val="000A5BBB"/>
    <w:rsid w:val="000B0BB1"/>
    <w:rsid w:val="000B5EB1"/>
    <w:rsid w:val="000C04AB"/>
    <w:rsid w:val="000C1566"/>
    <w:rsid w:val="000C454A"/>
    <w:rsid w:val="000C5CF0"/>
    <w:rsid w:val="000D087D"/>
    <w:rsid w:val="000D15A3"/>
    <w:rsid w:val="000D1679"/>
    <w:rsid w:val="000D1AEC"/>
    <w:rsid w:val="000D3C05"/>
    <w:rsid w:val="000D53FA"/>
    <w:rsid w:val="000D59C7"/>
    <w:rsid w:val="000D5E1D"/>
    <w:rsid w:val="000D67C9"/>
    <w:rsid w:val="000D75A1"/>
    <w:rsid w:val="000E0FCB"/>
    <w:rsid w:val="000E46B5"/>
    <w:rsid w:val="000E46D7"/>
    <w:rsid w:val="000E56B8"/>
    <w:rsid w:val="000E5BC6"/>
    <w:rsid w:val="000E6F95"/>
    <w:rsid w:val="000E7A37"/>
    <w:rsid w:val="000F3092"/>
    <w:rsid w:val="0010122E"/>
    <w:rsid w:val="00101ABF"/>
    <w:rsid w:val="00103904"/>
    <w:rsid w:val="00103D38"/>
    <w:rsid w:val="00107DC0"/>
    <w:rsid w:val="00135312"/>
    <w:rsid w:val="00137BBE"/>
    <w:rsid w:val="00137F68"/>
    <w:rsid w:val="00140504"/>
    <w:rsid w:val="001444A6"/>
    <w:rsid w:val="00144F56"/>
    <w:rsid w:val="00150137"/>
    <w:rsid w:val="0015465C"/>
    <w:rsid w:val="00164DFD"/>
    <w:rsid w:val="0016612B"/>
    <w:rsid w:val="001704AC"/>
    <w:rsid w:val="00170D15"/>
    <w:rsid w:val="00171AE6"/>
    <w:rsid w:val="00173622"/>
    <w:rsid w:val="001756E5"/>
    <w:rsid w:val="00182332"/>
    <w:rsid w:val="001A14E6"/>
    <w:rsid w:val="001A4E2E"/>
    <w:rsid w:val="001B01C8"/>
    <w:rsid w:val="001B0893"/>
    <w:rsid w:val="001B3B86"/>
    <w:rsid w:val="001C1152"/>
    <w:rsid w:val="001C1AD3"/>
    <w:rsid w:val="001C1D6C"/>
    <w:rsid w:val="001C216D"/>
    <w:rsid w:val="001C4AD5"/>
    <w:rsid w:val="001C598F"/>
    <w:rsid w:val="001D2D92"/>
    <w:rsid w:val="001D3D70"/>
    <w:rsid w:val="001D4D8B"/>
    <w:rsid w:val="001D5AFF"/>
    <w:rsid w:val="001D7EA0"/>
    <w:rsid w:val="001E08FA"/>
    <w:rsid w:val="001E143B"/>
    <w:rsid w:val="001E1F69"/>
    <w:rsid w:val="001E2083"/>
    <w:rsid w:val="001E3B22"/>
    <w:rsid w:val="001E5233"/>
    <w:rsid w:val="001F3326"/>
    <w:rsid w:val="001F4E5E"/>
    <w:rsid w:val="001F5AD0"/>
    <w:rsid w:val="00201697"/>
    <w:rsid w:val="00202C07"/>
    <w:rsid w:val="002068FA"/>
    <w:rsid w:val="00211876"/>
    <w:rsid w:val="00212357"/>
    <w:rsid w:val="0021653A"/>
    <w:rsid w:val="002312E0"/>
    <w:rsid w:val="00236402"/>
    <w:rsid w:val="002407EC"/>
    <w:rsid w:val="00240B42"/>
    <w:rsid w:val="002412E0"/>
    <w:rsid w:val="00242EF1"/>
    <w:rsid w:val="00256300"/>
    <w:rsid w:val="00256A5D"/>
    <w:rsid w:val="00257E3A"/>
    <w:rsid w:val="00261A39"/>
    <w:rsid w:val="00271336"/>
    <w:rsid w:val="002757AB"/>
    <w:rsid w:val="00277B88"/>
    <w:rsid w:val="00280C84"/>
    <w:rsid w:val="00282935"/>
    <w:rsid w:val="0028584A"/>
    <w:rsid w:val="0029017E"/>
    <w:rsid w:val="002903FF"/>
    <w:rsid w:val="0029308A"/>
    <w:rsid w:val="002956F6"/>
    <w:rsid w:val="00297953"/>
    <w:rsid w:val="002A44B9"/>
    <w:rsid w:val="002A6FAF"/>
    <w:rsid w:val="002B0336"/>
    <w:rsid w:val="002B3516"/>
    <w:rsid w:val="002B3978"/>
    <w:rsid w:val="002B561E"/>
    <w:rsid w:val="002C080C"/>
    <w:rsid w:val="002C2070"/>
    <w:rsid w:val="002D14BE"/>
    <w:rsid w:val="002D2370"/>
    <w:rsid w:val="002D23FE"/>
    <w:rsid w:val="002D28D3"/>
    <w:rsid w:val="002E48A8"/>
    <w:rsid w:val="002F2C84"/>
    <w:rsid w:val="002F5D11"/>
    <w:rsid w:val="002F60C6"/>
    <w:rsid w:val="002F74E9"/>
    <w:rsid w:val="0030080D"/>
    <w:rsid w:val="00312F6A"/>
    <w:rsid w:val="00314823"/>
    <w:rsid w:val="00314B6E"/>
    <w:rsid w:val="0031629C"/>
    <w:rsid w:val="003179BB"/>
    <w:rsid w:val="00322ED4"/>
    <w:rsid w:val="00326EBF"/>
    <w:rsid w:val="00333B93"/>
    <w:rsid w:val="00334F32"/>
    <w:rsid w:val="003359B9"/>
    <w:rsid w:val="00336124"/>
    <w:rsid w:val="00340AA6"/>
    <w:rsid w:val="0034557F"/>
    <w:rsid w:val="00350EEA"/>
    <w:rsid w:val="003566D1"/>
    <w:rsid w:val="00364E1D"/>
    <w:rsid w:val="00370FAD"/>
    <w:rsid w:val="003716BF"/>
    <w:rsid w:val="003776D2"/>
    <w:rsid w:val="0038251F"/>
    <w:rsid w:val="00383483"/>
    <w:rsid w:val="00383E8D"/>
    <w:rsid w:val="003860D7"/>
    <w:rsid w:val="00393042"/>
    <w:rsid w:val="00396881"/>
    <w:rsid w:val="003A010A"/>
    <w:rsid w:val="003A04F8"/>
    <w:rsid w:val="003A2C43"/>
    <w:rsid w:val="003A4836"/>
    <w:rsid w:val="003A498D"/>
    <w:rsid w:val="003A7A0C"/>
    <w:rsid w:val="003B0357"/>
    <w:rsid w:val="003C005B"/>
    <w:rsid w:val="003C7421"/>
    <w:rsid w:val="003D3397"/>
    <w:rsid w:val="003D5383"/>
    <w:rsid w:val="003D7910"/>
    <w:rsid w:val="003D7DC6"/>
    <w:rsid w:val="003E2F4A"/>
    <w:rsid w:val="003E6073"/>
    <w:rsid w:val="003F05A6"/>
    <w:rsid w:val="003F6374"/>
    <w:rsid w:val="003F71B4"/>
    <w:rsid w:val="00400B97"/>
    <w:rsid w:val="00400DA1"/>
    <w:rsid w:val="00403153"/>
    <w:rsid w:val="004058A1"/>
    <w:rsid w:val="00407C48"/>
    <w:rsid w:val="004103EC"/>
    <w:rsid w:val="0042302C"/>
    <w:rsid w:val="00424739"/>
    <w:rsid w:val="004256D5"/>
    <w:rsid w:val="00426C48"/>
    <w:rsid w:val="004413F1"/>
    <w:rsid w:val="00441F37"/>
    <w:rsid w:val="004450CC"/>
    <w:rsid w:val="00445DF8"/>
    <w:rsid w:val="00446BD8"/>
    <w:rsid w:val="00447A80"/>
    <w:rsid w:val="00450E28"/>
    <w:rsid w:val="004536AF"/>
    <w:rsid w:val="00455031"/>
    <w:rsid w:val="00460C9E"/>
    <w:rsid w:val="00460E15"/>
    <w:rsid w:val="00462D48"/>
    <w:rsid w:val="0046305B"/>
    <w:rsid w:val="00463C13"/>
    <w:rsid w:val="00470BCA"/>
    <w:rsid w:val="00471D22"/>
    <w:rsid w:val="00472062"/>
    <w:rsid w:val="00474650"/>
    <w:rsid w:val="00474ACB"/>
    <w:rsid w:val="00476B26"/>
    <w:rsid w:val="00481174"/>
    <w:rsid w:val="0048263F"/>
    <w:rsid w:val="00482F7B"/>
    <w:rsid w:val="00485A3F"/>
    <w:rsid w:val="00495E9E"/>
    <w:rsid w:val="004968CF"/>
    <w:rsid w:val="004A2735"/>
    <w:rsid w:val="004B0221"/>
    <w:rsid w:val="004B201B"/>
    <w:rsid w:val="004B3A70"/>
    <w:rsid w:val="004B4372"/>
    <w:rsid w:val="004C0F39"/>
    <w:rsid w:val="004C159F"/>
    <w:rsid w:val="004C16EB"/>
    <w:rsid w:val="004C2359"/>
    <w:rsid w:val="004C6879"/>
    <w:rsid w:val="004D3AC4"/>
    <w:rsid w:val="004D45FD"/>
    <w:rsid w:val="004D5909"/>
    <w:rsid w:val="004D6A6A"/>
    <w:rsid w:val="004E325C"/>
    <w:rsid w:val="004E4903"/>
    <w:rsid w:val="004F211C"/>
    <w:rsid w:val="004F27A5"/>
    <w:rsid w:val="004F2C45"/>
    <w:rsid w:val="004F47B1"/>
    <w:rsid w:val="004F51BB"/>
    <w:rsid w:val="005009B6"/>
    <w:rsid w:val="0050196A"/>
    <w:rsid w:val="005053A1"/>
    <w:rsid w:val="0050699B"/>
    <w:rsid w:val="00507293"/>
    <w:rsid w:val="005104E5"/>
    <w:rsid w:val="005117A4"/>
    <w:rsid w:val="00513A59"/>
    <w:rsid w:val="00513AF4"/>
    <w:rsid w:val="00513DA0"/>
    <w:rsid w:val="00515ADE"/>
    <w:rsid w:val="00520C02"/>
    <w:rsid w:val="00522314"/>
    <w:rsid w:val="00525C90"/>
    <w:rsid w:val="005306AE"/>
    <w:rsid w:val="005434E3"/>
    <w:rsid w:val="005476E2"/>
    <w:rsid w:val="00551613"/>
    <w:rsid w:val="005523CD"/>
    <w:rsid w:val="00562064"/>
    <w:rsid w:val="00562711"/>
    <w:rsid w:val="005641FC"/>
    <w:rsid w:val="0057199E"/>
    <w:rsid w:val="00572C06"/>
    <w:rsid w:val="00574D47"/>
    <w:rsid w:val="00575DA6"/>
    <w:rsid w:val="00575E4F"/>
    <w:rsid w:val="005770DF"/>
    <w:rsid w:val="005808DE"/>
    <w:rsid w:val="00581161"/>
    <w:rsid w:val="00585307"/>
    <w:rsid w:val="00586B29"/>
    <w:rsid w:val="005879DC"/>
    <w:rsid w:val="00595438"/>
    <w:rsid w:val="005A052B"/>
    <w:rsid w:val="005A23DE"/>
    <w:rsid w:val="005A3DD5"/>
    <w:rsid w:val="005A6FAB"/>
    <w:rsid w:val="005B37BF"/>
    <w:rsid w:val="005B5A40"/>
    <w:rsid w:val="005C259E"/>
    <w:rsid w:val="005D3FFC"/>
    <w:rsid w:val="005D4B74"/>
    <w:rsid w:val="005D53A9"/>
    <w:rsid w:val="005D77CE"/>
    <w:rsid w:val="005D7B5B"/>
    <w:rsid w:val="005E3567"/>
    <w:rsid w:val="005E44EC"/>
    <w:rsid w:val="005F462F"/>
    <w:rsid w:val="005F520B"/>
    <w:rsid w:val="005F6671"/>
    <w:rsid w:val="00604078"/>
    <w:rsid w:val="00610108"/>
    <w:rsid w:val="00620146"/>
    <w:rsid w:val="00622082"/>
    <w:rsid w:val="00623EA6"/>
    <w:rsid w:val="006254BD"/>
    <w:rsid w:val="00626597"/>
    <w:rsid w:val="00644386"/>
    <w:rsid w:val="006502C6"/>
    <w:rsid w:val="0065060A"/>
    <w:rsid w:val="006526B1"/>
    <w:rsid w:val="00654E62"/>
    <w:rsid w:val="006559A3"/>
    <w:rsid w:val="00657B64"/>
    <w:rsid w:val="00660EE8"/>
    <w:rsid w:val="00661008"/>
    <w:rsid w:val="00667923"/>
    <w:rsid w:val="00672F10"/>
    <w:rsid w:val="00676A16"/>
    <w:rsid w:val="00683C4F"/>
    <w:rsid w:val="00692266"/>
    <w:rsid w:val="00692313"/>
    <w:rsid w:val="00692B7B"/>
    <w:rsid w:val="00693556"/>
    <w:rsid w:val="00697932"/>
    <w:rsid w:val="00697E52"/>
    <w:rsid w:val="006A72DF"/>
    <w:rsid w:val="006B6696"/>
    <w:rsid w:val="006B6DD7"/>
    <w:rsid w:val="006C2CA5"/>
    <w:rsid w:val="006C5530"/>
    <w:rsid w:val="006C5C00"/>
    <w:rsid w:val="006C6783"/>
    <w:rsid w:val="006D2AE0"/>
    <w:rsid w:val="006D42D9"/>
    <w:rsid w:val="006D6D66"/>
    <w:rsid w:val="006D748E"/>
    <w:rsid w:val="006E0411"/>
    <w:rsid w:val="006E2FD7"/>
    <w:rsid w:val="006E7EBB"/>
    <w:rsid w:val="006F0760"/>
    <w:rsid w:val="006F3F9F"/>
    <w:rsid w:val="006F7448"/>
    <w:rsid w:val="006F7555"/>
    <w:rsid w:val="0070131E"/>
    <w:rsid w:val="00706B3A"/>
    <w:rsid w:val="00707057"/>
    <w:rsid w:val="007313CB"/>
    <w:rsid w:val="007375A6"/>
    <w:rsid w:val="0074482E"/>
    <w:rsid w:val="007459BD"/>
    <w:rsid w:val="00754967"/>
    <w:rsid w:val="00757533"/>
    <w:rsid w:val="00757BA3"/>
    <w:rsid w:val="00762015"/>
    <w:rsid w:val="00765B5D"/>
    <w:rsid w:val="00766FFC"/>
    <w:rsid w:val="0077135F"/>
    <w:rsid w:val="007716AE"/>
    <w:rsid w:val="00780262"/>
    <w:rsid w:val="007815FB"/>
    <w:rsid w:val="00787A95"/>
    <w:rsid w:val="007903E7"/>
    <w:rsid w:val="00795C83"/>
    <w:rsid w:val="007960FD"/>
    <w:rsid w:val="00796732"/>
    <w:rsid w:val="007A0F6E"/>
    <w:rsid w:val="007A6ED4"/>
    <w:rsid w:val="007B1755"/>
    <w:rsid w:val="007B24B0"/>
    <w:rsid w:val="007C6A1D"/>
    <w:rsid w:val="007D07C3"/>
    <w:rsid w:val="007D4F58"/>
    <w:rsid w:val="007D517E"/>
    <w:rsid w:val="007D607D"/>
    <w:rsid w:val="007D6B00"/>
    <w:rsid w:val="007E0FF4"/>
    <w:rsid w:val="007E14BF"/>
    <w:rsid w:val="007E1502"/>
    <w:rsid w:val="007F118E"/>
    <w:rsid w:val="007F2446"/>
    <w:rsid w:val="007F3FC7"/>
    <w:rsid w:val="00800656"/>
    <w:rsid w:val="00806434"/>
    <w:rsid w:val="00811E1B"/>
    <w:rsid w:val="008142D8"/>
    <w:rsid w:val="00814440"/>
    <w:rsid w:val="008242A1"/>
    <w:rsid w:val="008258EB"/>
    <w:rsid w:val="00827635"/>
    <w:rsid w:val="00832C06"/>
    <w:rsid w:val="00837E53"/>
    <w:rsid w:val="00837EB1"/>
    <w:rsid w:val="008453C5"/>
    <w:rsid w:val="00845C73"/>
    <w:rsid w:val="00853C02"/>
    <w:rsid w:val="00857F1B"/>
    <w:rsid w:val="00861094"/>
    <w:rsid w:val="00861B8D"/>
    <w:rsid w:val="00867C1F"/>
    <w:rsid w:val="0087069B"/>
    <w:rsid w:val="008707B0"/>
    <w:rsid w:val="00872C54"/>
    <w:rsid w:val="00876522"/>
    <w:rsid w:val="00880D88"/>
    <w:rsid w:val="00884864"/>
    <w:rsid w:val="008902A8"/>
    <w:rsid w:val="00891EC2"/>
    <w:rsid w:val="0089218E"/>
    <w:rsid w:val="00894DCE"/>
    <w:rsid w:val="0089792A"/>
    <w:rsid w:val="00897DAC"/>
    <w:rsid w:val="008B39E6"/>
    <w:rsid w:val="008B45E4"/>
    <w:rsid w:val="008B5722"/>
    <w:rsid w:val="008B6C40"/>
    <w:rsid w:val="008B6DF1"/>
    <w:rsid w:val="008C5E2A"/>
    <w:rsid w:val="008C75EC"/>
    <w:rsid w:val="008C7828"/>
    <w:rsid w:val="008D21F4"/>
    <w:rsid w:val="008D3CB2"/>
    <w:rsid w:val="008D41FD"/>
    <w:rsid w:val="008D570E"/>
    <w:rsid w:val="008D6B3D"/>
    <w:rsid w:val="008D7171"/>
    <w:rsid w:val="008E4B4C"/>
    <w:rsid w:val="008F195C"/>
    <w:rsid w:val="008F35A9"/>
    <w:rsid w:val="008F3892"/>
    <w:rsid w:val="008F4392"/>
    <w:rsid w:val="008F7C6F"/>
    <w:rsid w:val="00900E4B"/>
    <w:rsid w:val="00900EEC"/>
    <w:rsid w:val="0090265A"/>
    <w:rsid w:val="00907539"/>
    <w:rsid w:val="009161EB"/>
    <w:rsid w:val="009237C8"/>
    <w:rsid w:val="009262FD"/>
    <w:rsid w:val="00930B6B"/>
    <w:rsid w:val="0094010B"/>
    <w:rsid w:val="00940B34"/>
    <w:rsid w:val="0094136A"/>
    <w:rsid w:val="00943C78"/>
    <w:rsid w:val="00945D1D"/>
    <w:rsid w:val="00951147"/>
    <w:rsid w:val="00953E94"/>
    <w:rsid w:val="00957FEB"/>
    <w:rsid w:val="009618A5"/>
    <w:rsid w:val="00966BE7"/>
    <w:rsid w:val="009670DC"/>
    <w:rsid w:val="009763CC"/>
    <w:rsid w:val="0097668A"/>
    <w:rsid w:val="009767B0"/>
    <w:rsid w:val="00977F8A"/>
    <w:rsid w:val="00980BFE"/>
    <w:rsid w:val="00980C3A"/>
    <w:rsid w:val="0098468F"/>
    <w:rsid w:val="00986A0F"/>
    <w:rsid w:val="00987E81"/>
    <w:rsid w:val="009952CA"/>
    <w:rsid w:val="009A126E"/>
    <w:rsid w:val="009A3F95"/>
    <w:rsid w:val="009A4030"/>
    <w:rsid w:val="009A7E0E"/>
    <w:rsid w:val="009B1B50"/>
    <w:rsid w:val="009C276A"/>
    <w:rsid w:val="009C4AEE"/>
    <w:rsid w:val="009C5C5F"/>
    <w:rsid w:val="009C7AA8"/>
    <w:rsid w:val="009D22D0"/>
    <w:rsid w:val="009D4558"/>
    <w:rsid w:val="009D7AFC"/>
    <w:rsid w:val="009E0009"/>
    <w:rsid w:val="009E17CE"/>
    <w:rsid w:val="009E2C8F"/>
    <w:rsid w:val="009E398D"/>
    <w:rsid w:val="009F05AD"/>
    <w:rsid w:val="009F06E3"/>
    <w:rsid w:val="009F3423"/>
    <w:rsid w:val="009F6BE4"/>
    <w:rsid w:val="00A02916"/>
    <w:rsid w:val="00A02EEE"/>
    <w:rsid w:val="00A05DF8"/>
    <w:rsid w:val="00A118C2"/>
    <w:rsid w:val="00A11CEC"/>
    <w:rsid w:val="00A174AD"/>
    <w:rsid w:val="00A17D67"/>
    <w:rsid w:val="00A211D7"/>
    <w:rsid w:val="00A2327E"/>
    <w:rsid w:val="00A31513"/>
    <w:rsid w:val="00A32E38"/>
    <w:rsid w:val="00A34049"/>
    <w:rsid w:val="00A35E22"/>
    <w:rsid w:val="00A36751"/>
    <w:rsid w:val="00A412D8"/>
    <w:rsid w:val="00A43C84"/>
    <w:rsid w:val="00A4592E"/>
    <w:rsid w:val="00A51AB2"/>
    <w:rsid w:val="00A54451"/>
    <w:rsid w:val="00A63269"/>
    <w:rsid w:val="00A73B86"/>
    <w:rsid w:val="00A7769C"/>
    <w:rsid w:val="00A77CDC"/>
    <w:rsid w:val="00A80557"/>
    <w:rsid w:val="00A8320D"/>
    <w:rsid w:val="00A84026"/>
    <w:rsid w:val="00A84A07"/>
    <w:rsid w:val="00A857C8"/>
    <w:rsid w:val="00A8630F"/>
    <w:rsid w:val="00A865D4"/>
    <w:rsid w:val="00A91A3E"/>
    <w:rsid w:val="00A92DBD"/>
    <w:rsid w:val="00A9405E"/>
    <w:rsid w:val="00AA3480"/>
    <w:rsid w:val="00AB2560"/>
    <w:rsid w:val="00AB6087"/>
    <w:rsid w:val="00AB663C"/>
    <w:rsid w:val="00AC20D8"/>
    <w:rsid w:val="00AC3CEF"/>
    <w:rsid w:val="00AC45D5"/>
    <w:rsid w:val="00AC6756"/>
    <w:rsid w:val="00AD0510"/>
    <w:rsid w:val="00AD069F"/>
    <w:rsid w:val="00AD0D3B"/>
    <w:rsid w:val="00AD477C"/>
    <w:rsid w:val="00AD51E2"/>
    <w:rsid w:val="00AD5CE2"/>
    <w:rsid w:val="00AD5F8A"/>
    <w:rsid w:val="00AE16B5"/>
    <w:rsid w:val="00AE2FA8"/>
    <w:rsid w:val="00AE3B1A"/>
    <w:rsid w:val="00AE423E"/>
    <w:rsid w:val="00AE5C84"/>
    <w:rsid w:val="00AF48AE"/>
    <w:rsid w:val="00AF71AA"/>
    <w:rsid w:val="00B016B5"/>
    <w:rsid w:val="00B028FB"/>
    <w:rsid w:val="00B162DA"/>
    <w:rsid w:val="00B26DBE"/>
    <w:rsid w:val="00B27F7C"/>
    <w:rsid w:val="00B312B6"/>
    <w:rsid w:val="00B33E3D"/>
    <w:rsid w:val="00B343F3"/>
    <w:rsid w:val="00B35557"/>
    <w:rsid w:val="00B37B47"/>
    <w:rsid w:val="00B41BF7"/>
    <w:rsid w:val="00B44A97"/>
    <w:rsid w:val="00B51258"/>
    <w:rsid w:val="00B531F8"/>
    <w:rsid w:val="00B556B0"/>
    <w:rsid w:val="00B64524"/>
    <w:rsid w:val="00B65076"/>
    <w:rsid w:val="00B6765A"/>
    <w:rsid w:val="00B72B1D"/>
    <w:rsid w:val="00B73C84"/>
    <w:rsid w:val="00B826E4"/>
    <w:rsid w:val="00B8297E"/>
    <w:rsid w:val="00B82D83"/>
    <w:rsid w:val="00B830BF"/>
    <w:rsid w:val="00B83402"/>
    <w:rsid w:val="00B84184"/>
    <w:rsid w:val="00B86DBA"/>
    <w:rsid w:val="00B8735C"/>
    <w:rsid w:val="00B907FD"/>
    <w:rsid w:val="00B94512"/>
    <w:rsid w:val="00B9637B"/>
    <w:rsid w:val="00BA1918"/>
    <w:rsid w:val="00BA1CA0"/>
    <w:rsid w:val="00BA504B"/>
    <w:rsid w:val="00BB3C49"/>
    <w:rsid w:val="00BB673B"/>
    <w:rsid w:val="00BC2D3F"/>
    <w:rsid w:val="00BC6774"/>
    <w:rsid w:val="00BC6CB0"/>
    <w:rsid w:val="00BD76D8"/>
    <w:rsid w:val="00BE1456"/>
    <w:rsid w:val="00BE2D78"/>
    <w:rsid w:val="00BE750C"/>
    <w:rsid w:val="00BF314F"/>
    <w:rsid w:val="00C01746"/>
    <w:rsid w:val="00C02A6A"/>
    <w:rsid w:val="00C04257"/>
    <w:rsid w:val="00C0465E"/>
    <w:rsid w:val="00C227B9"/>
    <w:rsid w:val="00C249DA"/>
    <w:rsid w:val="00C42212"/>
    <w:rsid w:val="00C474C4"/>
    <w:rsid w:val="00C61AC0"/>
    <w:rsid w:val="00C64442"/>
    <w:rsid w:val="00C6572B"/>
    <w:rsid w:val="00C7342C"/>
    <w:rsid w:val="00C75FF3"/>
    <w:rsid w:val="00C83786"/>
    <w:rsid w:val="00C847A8"/>
    <w:rsid w:val="00C877B9"/>
    <w:rsid w:val="00C9106C"/>
    <w:rsid w:val="00C93914"/>
    <w:rsid w:val="00C9568E"/>
    <w:rsid w:val="00CA5307"/>
    <w:rsid w:val="00CA53D4"/>
    <w:rsid w:val="00CA5D92"/>
    <w:rsid w:val="00CB343A"/>
    <w:rsid w:val="00CB4C37"/>
    <w:rsid w:val="00CB6667"/>
    <w:rsid w:val="00CC4896"/>
    <w:rsid w:val="00CD4B5C"/>
    <w:rsid w:val="00CD6B30"/>
    <w:rsid w:val="00CD7BF5"/>
    <w:rsid w:val="00CE037B"/>
    <w:rsid w:val="00CE4AEB"/>
    <w:rsid w:val="00CE6166"/>
    <w:rsid w:val="00CF07BC"/>
    <w:rsid w:val="00CF1356"/>
    <w:rsid w:val="00CF29A5"/>
    <w:rsid w:val="00CF3527"/>
    <w:rsid w:val="00CF7FA1"/>
    <w:rsid w:val="00D0071B"/>
    <w:rsid w:val="00D0092D"/>
    <w:rsid w:val="00D0111C"/>
    <w:rsid w:val="00D03FF0"/>
    <w:rsid w:val="00D04E34"/>
    <w:rsid w:val="00D05B5E"/>
    <w:rsid w:val="00D12300"/>
    <w:rsid w:val="00D13B89"/>
    <w:rsid w:val="00D152B6"/>
    <w:rsid w:val="00D15E2E"/>
    <w:rsid w:val="00D25164"/>
    <w:rsid w:val="00D33815"/>
    <w:rsid w:val="00D34E51"/>
    <w:rsid w:val="00D403ED"/>
    <w:rsid w:val="00D40F47"/>
    <w:rsid w:val="00D43910"/>
    <w:rsid w:val="00D46EF4"/>
    <w:rsid w:val="00D52327"/>
    <w:rsid w:val="00D55912"/>
    <w:rsid w:val="00D60267"/>
    <w:rsid w:val="00D60CA7"/>
    <w:rsid w:val="00D63355"/>
    <w:rsid w:val="00D6427E"/>
    <w:rsid w:val="00D6459E"/>
    <w:rsid w:val="00D7116E"/>
    <w:rsid w:val="00D719AC"/>
    <w:rsid w:val="00D72A78"/>
    <w:rsid w:val="00D76944"/>
    <w:rsid w:val="00D76F52"/>
    <w:rsid w:val="00D77123"/>
    <w:rsid w:val="00D77C28"/>
    <w:rsid w:val="00D8002C"/>
    <w:rsid w:val="00D8368C"/>
    <w:rsid w:val="00D8487B"/>
    <w:rsid w:val="00D86B1D"/>
    <w:rsid w:val="00D924F1"/>
    <w:rsid w:val="00D94E05"/>
    <w:rsid w:val="00D96EFA"/>
    <w:rsid w:val="00DA0C1D"/>
    <w:rsid w:val="00DA1196"/>
    <w:rsid w:val="00DA60FB"/>
    <w:rsid w:val="00DB08D4"/>
    <w:rsid w:val="00DB2EB0"/>
    <w:rsid w:val="00DB3214"/>
    <w:rsid w:val="00DB5F93"/>
    <w:rsid w:val="00DB61D5"/>
    <w:rsid w:val="00DC3A86"/>
    <w:rsid w:val="00DC4988"/>
    <w:rsid w:val="00DC5A51"/>
    <w:rsid w:val="00DD1A2E"/>
    <w:rsid w:val="00DD379F"/>
    <w:rsid w:val="00DD4330"/>
    <w:rsid w:val="00DD5362"/>
    <w:rsid w:val="00DE3ED5"/>
    <w:rsid w:val="00DE5147"/>
    <w:rsid w:val="00DE5346"/>
    <w:rsid w:val="00DE5BE9"/>
    <w:rsid w:val="00DF1DAE"/>
    <w:rsid w:val="00DF3D3C"/>
    <w:rsid w:val="00DF5C64"/>
    <w:rsid w:val="00E0383F"/>
    <w:rsid w:val="00E06DEA"/>
    <w:rsid w:val="00E13266"/>
    <w:rsid w:val="00E14A40"/>
    <w:rsid w:val="00E163DF"/>
    <w:rsid w:val="00E25A3C"/>
    <w:rsid w:val="00E25EA0"/>
    <w:rsid w:val="00E30A08"/>
    <w:rsid w:val="00E312B2"/>
    <w:rsid w:val="00E3175E"/>
    <w:rsid w:val="00E3297C"/>
    <w:rsid w:val="00E32B08"/>
    <w:rsid w:val="00E34A16"/>
    <w:rsid w:val="00E43210"/>
    <w:rsid w:val="00E4460C"/>
    <w:rsid w:val="00E50D08"/>
    <w:rsid w:val="00E52B2A"/>
    <w:rsid w:val="00E533E3"/>
    <w:rsid w:val="00E55EE5"/>
    <w:rsid w:val="00E56B8E"/>
    <w:rsid w:val="00E60312"/>
    <w:rsid w:val="00E60797"/>
    <w:rsid w:val="00E61348"/>
    <w:rsid w:val="00E64CD2"/>
    <w:rsid w:val="00E71289"/>
    <w:rsid w:val="00E719BF"/>
    <w:rsid w:val="00E77D89"/>
    <w:rsid w:val="00E801B1"/>
    <w:rsid w:val="00E80C05"/>
    <w:rsid w:val="00E8276B"/>
    <w:rsid w:val="00E846C6"/>
    <w:rsid w:val="00E8471A"/>
    <w:rsid w:val="00E849A0"/>
    <w:rsid w:val="00E854B8"/>
    <w:rsid w:val="00E8747F"/>
    <w:rsid w:val="00E92EDB"/>
    <w:rsid w:val="00E936B3"/>
    <w:rsid w:val="00E94390"/>
    <w:rsid w:val="00E968D5"/>
    <w:rsid w:val="00EA0772"/>
    <w:rsid w:val="00EA4A2B"/>
    <w:rsid w:val="00EA724A"/>
    <w:rsid w:val="00EA7538"/>
    <w:rsid w:val="00EB06F4"/>
    <w:rsid w:val="00EB10B5"/>
    <w:rsid w:val="00EB248C"/>
    <w:rsid w:val="00EB29E1"/>
    <w:rsid w:val="00EB2C29"/>
    <w:rsid w:val="00EB7356"/>
    <w:rsid w:val="00EC7355"/>
    <w:rsid w:val="00ED31FE"/>
    <w:rsid w:val="00ED6E9C"/>
    <w:rsid w:val="00EE4CB5"/>
    <w:rsid w:val="00EE4E72"/>
    <w:rsid w:val="00EF62B8"/>
    <w:rsid w:val="00F0435B"/>
    <w:rsid w:val="00F129D8"/>
    <w:rsid w:val="00F174B6"/>
    <w:rsid w:val="00F21B29"/>
    <w:rsid w:val="00F22951"/>
    <w:rsid w:val="00F26695"/>
    <w:rsid w:val="00F267DB"/>
    <w:rsid w:val="00F26E95"/>
    <w:rsid w:val="00F309B4"/>
    <w:rsid w:val="00F30AE4"/>
    <w:rsid w:val="00F31D8F"/>
    <w:rsid w:val="00F3262B"/>
    <w:rsid w:val="00F33662"/>
    <w:rsid w:val="00F35506"/>
    <w:rsid w:val="00F45E7D"/>
    <w:rsid w:val="00F51598"/>
    <w:rsid w:val="00F526C6"/>
    <w:rsid w:val="00F53409"/>
    <w:rsid w:val="00F56C93"/>
    <w:rsid w:val="00F624A4"/>
    <w:rsid w:val="00F65991"/>
    <w:rsid w:val="00F65B4D"/>
    <w:rsid w:val="00F6610C"/>
    <w:rsid w:val="00F674BD"/>
    <w:rsid w:val="00F67F6D"/>
    <w:rsid w:val="00F716B8"/>
    <w:rsid w:val="00F740F2"/>
    <w:rsid w:val="00F76A18"/>
    <w:rsid w:val="00F77A0C"/>
    <w:rsid w:val="00F85D9F"/>
    <w:rsid w:val="00F92F49"/>
    <w:rsid w:val="00F96B97"/>
    <w:rsid w:val="00F97CA3"/>
    <w:rsid w:val="00FA23D7"/>
    <w:rsid w:val="00FA2EE2"/>
    <w:rsid w:val="00FB1123"/>
    <w:rsid w:val="00FB2DA1"/>
    <w:rsid w:val="00FB54BF"/>
    <w:rsid w:val="00FB61CE"/>
    <w:rsid w:val="00FC18FB"/>
    <w:rsid w:val="00FC3415"/>
    <w:rsid w:val="00FD1DAC"/>
    <w:rsid w:val="00FD2070"/>
    <w:rsid w:val="00FD5547"/>
    <w:rsid w:val="00FE5BF7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9F49BD-E64A-4ACB-8E2F-974E116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668A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CharChar">
    <w:name w:val="Char Char Char"/>
    <w:basedOn w:val="Normlny"/>
    <w:uiPriority w:val="99"/>
    <w:rsid w:val="0097668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7668A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9413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4136A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413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4136A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1E3B22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5D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75DA6"/>
    <w:rPr>
      <w:rFonts w:ascii="Tahoma" w:hAnsi="Tahoma" w:cs="Tahoma"/>
      <w:sz w:val="16"/>
      <w:szCs w:val="16"/>
    </w:rPr>
  </w:style>
  <w:style w:type="paragraph" w:customStyle="1" w:styleId="Zkladntext">
    <w:name w:val="Základní text"/>
    <w:aliases w:val="Základný text Char Char"/>
    <w:rsid w:val="00B83402"/>
    <w:pPr>
      <w:widowControl w:val="0"/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672F1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2F10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72F10"/>
    <w:rPr>
      <w:rFonts w:cs="Times New Roman"/>
      <w:color w:val="auto"/>
    </w:rPr>
  </w:style>
  <w:style w:type="paragraph" w:customStyle="1" w:styleId="CM19">
    <w:name w:val="CM1+9"/>
    <w:basedOn w:val="Default"/>
    <w:next w:val="Default"/>
    <w:uiPriority w:val="99"/>
    <w:rsid w:val="003E6073"/>
    <w:rPr>
      <w:rFonts w:cs="Times New Roman"/>
      <w:color w:val="auto"/>
    </w:rPr>
  </w:style>
  <w:style w:type="paragraph" w:customStyle="1" w:styleId="CM39">
    <w:name w:val="CM3+9"/>
    <w:basedOn w:val="Default"/>
    <w:next w:val="Default"/>
    <w:uiPriority w:val="99"/>
    <w:rsid w:val="003E6073"/>
    <w:rPr>
      <w:rFonts w:cs="Times New Roman"/>
      <w:color w:val="auto"/>
    </w:rPr>
  </w:style>
  <w:style w:type="paragraph" w:customStyle="1" w:styleId="CM49">
    <w:name w:val="CM4+9"/>
    <w:basedOn w:val="Default"/>
    <w:next w:val="Default"/>
    <w:uiPriority w:val="99"/>
    <w:rsid w:val="003E6073"/>
    <w:rPr>
      <w:rFonts w:cs="Times New Roman"/>
      <w:color w:val="auto"/>
    </w:rPr>
  </w:style>
  <w:style w:type="paragraph" w:styleId="Bezriadkovania">
    <w:name w:val="No Spacing"/>
    <w:uiPriority w:val="1"/>
    <w:qFormat/>
    <w:rsid w:val="003A010A"/>
    <w:rPr>
      <w:rFonts w:cs="Times New Roman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A05DF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30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06273074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73069">
                                  <w:marLeft w:val="0"/>
                                  <w:marRight w:val="18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2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80DF-A2EB-49CB-A3CB-B13025AD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2076</Words>
  <Characters>12440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lmiklusova</dc:creator>
  <cp:keywords/>
  <dc:description/>
  <cp:lastModifiedBy>Celderova Lenka</cp:lastModifiedBy>
  <cp:revision>17</cp:revision>
  <cp:lastPrinted>2024-04-15T05:51:00Z</cp:lastPrinted>
  <dcterms:created xsi:type="dcterms:W3CDTF">2024-05-02T06:13:00Z</dcterms:created>
  <dcterms:modified xsi:type="dcterms:W3CDTF">2024-05-15T09:40:00Z</dcterms:modified>
</cp:coreProperties>
</file>