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9B0B9C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9B0B9C">
              <w:rPr>
                <w:vertAlign w:val="superscript"/>
              </w:rPr>
              <w:t xml:space="preserve"> </w:t>
            </w:r>
            <w:r w:rsidR="009B0B9C">
              <w:t xml:space="preserve">Oznámenie o konzultáciách s  </w:t>
            </w:r>
            <w:r w:rsidR="009B0B9C" w:rsidRPr="009B0B9C">
              <w:t>dotknutými podnikateľskými subjektmi a ich zastupiteľskými organizáciami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5.</w:t>
      </w:r>
      <w:r w:rsidR="009959E0">
        <w:rPr>
          <w:rStyle w:val="Siln"/>
        </w:rPr>
        <w:t xml:space="preserve"> </w:t>
      </w:r>
      <w:r>
        <w:rPr>
          <w:rStyle w:val="Sil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1B5129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lastRenderedPageBreak/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837704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F4044">
              <w:rPr>
                <w:vertAlign w:val="superscript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6.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:rsidTr="00811444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C37" w:rsidRPr="00EB5229" w:rsidRDefault="00A47C37" w:rsidP="001B6BBC">
            <w:pPr>
              <w:pStyle w:val="Normlnywebov"/>
              <w:jc w:val="center"/>
            </w:pP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:rsidTr="004E73FC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704" w:rsidRPr="00837704" w:rsidRDefault="00A47C37" w:rsidP="001B5129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472550">
              <w:t xml:space="preserve"> </w:t>
            </w:r>
            <w:r w:rsidR="004E73FC">
              <w:t>Iné orgány vykonávajúce štátnu štatistiku podľa § 12 ods. 2 zákona č. 540/2001 Z. z.  v znení neskorších predpisov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 xml:space="preserve">7. Okruhy adresne vyzvaných subjektov aktívne zúčastnených na tvorbe právneho </w:t>
      </w:r>
      <w:r w:rsidR="009959E0">
        <w:rPr>
          <w:rStyle w:val="Siln"/>
        </w:rPr>
        <w:t>p</w:t>
      </w:r>
      <w:r>
        <w:rPr>
          <w:rStyle w:val="Sil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0F4044">
            <w:pPr>
              <w:pStyle w:val="Normlnywebov"/>
              <w:jc w:val="center"/>
            </w:pPr>
            <w:r>
              <w:t>-</w:t>
            </w:r>
          </w:p>
        </w:tc>
      </w:tr>
      <w:tr w:rsidR="00A47C37" w:rsidTr="00811444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0F4044">
            <w:pPr>
              <w:pStyle w:val="Normlnywebov"/>
              <w:jc w:val="center"/>
            </w:pPr>
            <w:r>
              <w:t>-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0F4044">
            <w:pPr>
              <w:pStyle w:val="Normlnywebov"/>
              <w:jc w:val="center"/>
            </w:pPr>
            <w:r>
              <w:t>-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0F4044">
            <w:pPr>
              <w:pStyle w:val="Normlnywebov"/>
              <w:jc w:val="center"/>
            </w:pPr>
            <w:r>
              <w:t>-</w:t>
            </w:r>
          </w:p>
        </w:tc>
      </w:tr>
      <w:tr w:rsidR="00A47C37" w:rsidTr="004E73FC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4E73FC">
            <w:pPr>
              <w:pStyle w:val="Normlnywebov"/>
            </w:pPr>
            <w:r w:rsidRPr="00EB5229">
              <w:t>Iné:</w:t>
            </w:r>
            <w:r w:rsidR="001B5129" w:rsidRPr="00EB5229">
              <w:rPr>
                <w:vertAlign w:val="superscript"/>
              </w:rPr>
              <w:t>1</w:t>
            </w:r>
            <w:r w:rsidR="001B5129">
              <w:t xml:space="preserve"> Iné orgány vykonávajúce štátnu štatistiku</w:t>
            </w:r>
            <w:r w:rsidR="000F4044">
              <w:t xml:space="preserve"> </w:t>
            </w:r>
            <w:r w:rsidR="004E73FC">
              <w:t xml:space="preserve">podľa § 12 ods. </w:t>
            </w:r>
            <w:r w:rsidR="00472550">
              <w:t xml:space="preserve">2 zákona č. 540/2001 Z. z. </w:t>
            </w:r>
            <w:r w:rsidR="004E73FC">
              <w:t>v znení neskorších predpisov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8.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0F4044">
            <w:pPr>
              <w:pStyle w:val="Normlnywebov"/>
              <w:jc w:val="center"/>
            </w:pPr>
            <w:r>
              <w:t>-</w:t>
            </w:r>
            <w:r w:rsidR="004E73FC">
              <w:t>-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lastRenderedPageBreak/>
        <w:t>9.</w:t>
      </w:r>
      <w:r w:rsidR="009959E0">
        <w:rPr>
          <w:rStyle w:val="Siln"/>
        </w:rPr>
        <w:t xml:space="preserve"> </w:t>
      </w:r>
      <w:r>
        <w:rPr>
          <w:rStyle w:val="Sil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4E73FC">
            <w:pPr>
              <w:pStyle w:val="Normlnywebov"/>
              <w:jc w:val="center"/>
            </w:pPr>
            <w:r>
              <w:t>--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Tr="004E73FC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4E73FC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Tr="00811444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C37" w:rsidRPr="00EB5229" w:rsidRDefault="001B6BB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B26A9A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9B0B9C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  <w:r w:rsidR="009B0B9C">
              <w:t>....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:rsidR="001B6BBC" w:rsidRDefault="001B6BBC" w:rsidP="001B6BBC">
      <w:pPr>
        <w:spacing w:line="276" w:lineRule="auto"/>
        <w:ind w:firstLine="708"/>
        <w:jc w:val="both"/>
        <w:divId w:val="1065489610"/>
        <w:rPr>
          <w:rFonts w:ascii="Times" w:hAnsi="Times" w:cs="Times"/>
        </w:rPr>
      </w:pPr>
    </w:p>
    <w:p w:rsidR="00B26A9A" w:rsidRPr="00B26A9A" w:rsidRDefault="00B26A9A" w:rsidP="00B26A9A">
      <w:pPr>
        <w:pStyle w:val="Odsekzoznamu"/>
        <w:ind w:left="0"/>
        <w:jc w:val="both"/>
        <w:divId w:val="1065489610"/>
        <w:rPr>
          <w:rFonts w:ascii="Times New Roman" w:hAnsi="Times New Roman" w:cs="Times New Roman"/>
          <w:sz w:val="24"/>
          <w:szCs w:val="24"/>
        </w:rPr>
      </w:pPr>
      <w:r w:rsidRPr="00B26A9A">
        <w:rPr>
          <w:rFonts w:ascii="Times New Roman" w:hAnsi="Times New Roman" w:cs="Times New Roman"/>
          <w:sz w:val="24"/>
          <w:szCs w:val="24"/>
        </w:rPr>
        <w:t>Predbež</w:t>
      </w:r>
      <w:r w:rsidR="00373BFF">
        <w:rPr>
          <w:rFonts w:ascii="Times New Roman" w:hAnsi="Times New Roman" w:cs="Times New Roman"/>
          <w:sz w:val="24"/>
          <w:szCs w:val="24"/>
        </w:rPr>
        <w:t xml:space="preserve">ná informácia k návrhu zákona </w:t>
      </w:r>
      <w:r w:rsidRPr="00B26A9A">
        <w:rPr>
          <w:rFonts w:ascii="Times New Roman" w:hAnsi="Times New Roman" w:cs="Times New Roman"/>
          <w:sz w:val="24"/>
          <w:szCs w:val="24"/>
        </w:rPr>
        <w:t>bola zverejnená</w:t>
      </w:r>
      <w:r w:rsidR="00373BFF">
        <w:rPr>
          <w:rFonts w:ascii="Times New Roman" w:hAnsi="Times New Roman" w:cs="Times New Roman"/>
          <w:sz w:val="24"/>
          <w:szCs w:val="24"/>
        </w:rPr>
        <w:t xml:space="preserve"> od 22. marca do 2. apríla</w:t>
      </w:r>
      <w:r w:rsidRPr="00B26A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EF7" w:rsidRPr="008C5EF7">
        <w:rPr>
          <w:rFonts w:ascii="Times New Roman" w:hAnsi="Times New Roman" w:cs="Times New Roman"/>
          <w:sz w:val="24"/>
          <w:szCs w:val="24"/>
        </w:rPr>
        <w:t xml:space="preserve">Verejnosť </w:t>
      </w:r>
      <w:r w:rsidR="00EF600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C5EF7" w:rsidRPr="008C5EF7">
        <w:rPr>
          <w:rFonts w:ascii="Times New Roman" w:hAnsi="Times New Roman" w:cs="Times New Roman"/>
          <w:sz w:val="24"/>
          <w:szCs w:val="24"/>
        </w:rPr>
        <w:t>a orgány verejnej správy sa nevyjadrili k predbežnej informácii</w:t>
      </w:r>
      <w:r w:rsidR="008C5EF7">
        <w:rPr>
          <w:rFonts w:ascii="Times New Roman" w:hAnsi="Times New Roman" w:cs="Times New Roman"/>
          <w:sz w:val="24"/>
          <w:szCs w:val="24"/>
        </w:rPr>
        <w:t>, ktorá bola zverejnená na portáli Slov-lex pod číslom PI/2024/66.</w:t>
      </w:r>
    </w:p>
    <w:p w:rsidR="00B26A9A" w:rsidRPr="00B26A9A" w:rsidRDefault="00B26A9A" w:rsidP="00B26A9A">
      <w:pPr>
        <w:pStyle w:val="Odsekzoznamu"/>
        <w:ind w:left="0"/>
        <w:jc w:val="both"/>
        <w:divId w:val="1065489610"/>
        <w:rPr>
          <w:rFonts w:ascii="Times New Roman" w:hAnsi="Times New Roman" w:cs="Times New Roman"/>
          <w:sz w:val="24"/>
          <w:szCs w:val="24"/>
        </w:rPr>
      </w:pPr>
    </w:p>
    <w:p w:rsidR="00941F89" w:rsidRDefault="00941F89" w:rsidP="001B6BBC">
      <w:pPr>
        <w:spacing w:line="276" w:lineRule="auto"/>
        <w:jc w:val="both"/>
        <w:divId w:val="1065489610"/>
        <w:rPr>
          <w:rFonts w:eastAsia="Calibri"/>
        </w:rPr>
      </w:pPr>
    </w:p>
    <w:p w:rsidR="00A47C37" w:rsidRDefault="00A47C37" w:rsidP="009959E0">
      <w:pPr>
        <w:pStyle w:val="Normlnywebov"/>
        <w:divId w:val="1065489610"/>
      </w:pPr>
    </w:p>
    <w:p w:rsidR="00AE4C7D" w:rsidRDefault="00AE4C7D" w:rsidP="009959E0">
      <w:pPr>
        <w:pStyle w:val="Normlnywebov"/>
        <w:divId w:val="1065489610"/>
      </w:pPr>
    </w:p>
    <w:sectPr w:rsidR="00AE4C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46" w:rsidRDefault="00E93846" w:rsidP="00476076">
      <w:r>
        <w:separator/>
      </w:r>
    </w:p>
  </w:endnote>
  <w:endnote w:type="continuationSeparator" w:id="0">
    <w:p w:rsidR="00E93846" w:rsidRDefault="00E93846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43781"/>
      <w:docPartObj>
        <w:docPartGallery w:val="Page Numbers (Bottom of Page)"/>
        <w:docPartUnique/>
      </w:docPartObj>
    </w:sdtPr>
    <w:sdtEndPr/>
    <w:sdtContent>
      <w:p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06">
          <w:rPr>
            <w:noProof/>
          </w:rPr>
          <w:t>2</w:t>
        </w:r>
        <w:r>
          <w:fldChar w:fldCharType="end"/>
        </w:r>
      </w:p>
    </w:sdtContent>
  </w:sdt>
  <w:p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46" w:rsidRDefault="00E93846" w:rsidP="00476076">
      <w:r>
        <w:separator/>
      </w:r>
    </w:p>
  </w:footnote>
  <w:footnote w:type="continuationSeparator" w:id="0">
    <w:p w:rsidR="00E93846" w:rsidRDefault="00E93846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2B12F85"/>
    <w:multiLevelType w:val="hybridMultilevel"/>
    <w:tmpl w:val="E6001E6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01732"/>
    <w:rsid w:val="00056621"/>
    <w:rsid w:val="00060AAC"/>
    <w:rsid w:val="00062B62"/>
    <w:rsid w:val="000966B7"/>
    <w:rsid w:val="000A0658"/>
    <w:rsid w:val="000D6E85"/>
    <w:rsid w:val="000E4F08"/>
    <w:rsid w:val="000F4044"/>
    <w:rsid w:val="00142043"/>
    <w:rsid w:val="001533FA"/>
    <w:rsid w:val="001800BE"/>
    <w:rsid w:val="00181754"/>
    <w:rsid w:val="001B5129"/>
    <w:rsid w:val="001B6BBC"/>
    <w:rsid w:val="00212F9A"/>
    <w:rsid w:val="002144B1"/>
    <w:rsid w:val="00222F83"/>
    <w:rsid w:val="00247998"/>
    <w:rsid w:val="002964B8"/>
    <w:rsid w:val="002C7C58"/>
    <w:rsid w:val="00307013"/>
    <w:rsid w:val="00373BFF"/>
    <w:rsid w:val="00395ED0"/>
    <w:rsid w:val="003A23D4"/>
    <w:rsid w:val="003C40E1"/>
    <w:rsid w:val="003D1D57"/>
    <w:rsid w:val="003F7950"/>
    <w:rsid w:val="00470611"/>
    <w:rsid w:val="00472550"/>
    <w:rsid w:val="00476076"/>
    <w:rsid w:val="0049695E"/>
    <w:rsid w:val="004A1531"/>
    <w:rsid w:val="004C2E39"/>
    <w:rsid w:val="004D7A15"/>
    <w:rsid w:val="004E04C3"/>
    <w:rsid w:val="004E73FC"/>
    <w:rsid w:val="005666FA"/>
    <w:rsid w:val="00671910"/>
    <w:rsid w:val="006C5DD0"/>
    <w:rsid w:val="00716D4D"/>
    <w:rsid w:val="007D62CB"/>
    <w:rsid w:val="007D7D04"/>
    <w:rsid w:val="00811444"/>
    <w:rsid w:val="00820C77"/>
    <w:rsid w:val="00837704"/>
    <w:rsid w:val="00842B9B"/>
    <w:rsid w:val="00856250"/>
    <w:rsid w:val="00894FB0"/>
    <w:rsid w:val="008C2127"/>
    <w:rsid w:val="008C5EF7"/>
    <w:rsid w:val="00913F50"/>
    <w:rsid w:val="00941F89"/>
    <w:rsid w:val="00974AE7"/>
    <w:rsid w:val="00977A87"/>
    <w:rsid w:val="009959E0"/>
    <w:rsid w:val="009B0B9C"/>
    <w:rsid w:val="00A42523"/>
    <w:rsid w:val="00A47C37"/>
    <w:rsid w:val="00AA2681"/>
    <w:rsid w:val="00AA762C"/>
    <w:rsid w:val="00AC5107"/>
    <w:rsid w:val="00AE0948"/>
    <w:rsid w:val="00AE4C7D"/>
    <w:rsid w:val="00B21F89"/>
    <w:rsid w:val="00B26A9A"/>
    <w:rsid w:val="00B30A6F"/>
    <w:rsid w:val="00B833A1"/>
    <w:rsid w:val="00BB5425"/>
    <w:rsid w:val="00C15152"/>
    <w:rsid w:val="00C310BA"/>
    <w:rsid w:val="00C55757"/>
    <w:rsid w:val="00C9479C"/>
    <w:rsid w:val="00CD4237"/>
    <w:rsid w:val="00D35FE8"/>
    <w:rsid w:val="00D8599B"/>
    <w:rsid w:val="00D8601B"/>
    <w:rsid w:val="00E266D6"/>
    <w:rsid w:val="00E55392"/>
    <w:rsid w:val="00E93846"/>
    <w:rsid w:val="00EB2494"/>
    <w:rsid w:val="00ED21F7"/>
    <w:rsid w:val="00EF33E8"/>
    <w:rsid w:val="00EF6006"/>
    <w:rsid w:val="00F11D75"/>
    <w:rsid w:val="00F3232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4E1E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001732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PŠŠZ-2024-2026_správa-o-účasti-verejnosti_MPK"/>
    <f:field ref="objsubject" par="" edit="true" text=""/>
    <f:field ref="objcreatedby" par="" text="Blaho, Peter, JUDr."/>
    <f:field ref="objcreatedat" par="" text="4.9.2023 14:26:16"/>
    <f:field ref="objchangedby" par="" text="Administrator, System"/>
    <f:field ref="objmodifiedat" par="" text="4.9.2023 14:2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MIRRI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Galmišová, Anežka</cp:lastModifiedBy>
  <cp:revision>4</cp:revision>
  <dcterms:created xsi:type="dcterms:W3CDTF">2024-03-19T14:12:00Z</dcterms:created>
  <dcterms:modified xsi:type="dcterms:W3CDTF">2024-04-16T13:26:00Z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Štatistiky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Peter Blaho</vt:lpwstr>
  </property>
  <property fmtid="{D5CDD505-2E9C-101B-9397-08002B2CF9AE}" pid="9" name="FSC#SKEDITIONSLOVLEX@103.510:zodppredkladatel">
    <vt:lpwstr>Ing. Peter Peťko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vydáva Program štátnych štatistických zisťovaní na roky 2024 až 2026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Štatistický úrad Slovenskej republiky (Úrad vlády Slovenskej republiky, odbor legislatívy ostatných ústredných orgánov štátnej správy)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podľa § 12 ods. 1 a § 18 ods. 6 zákona č. 540/2001 Z. z. o štátnej štatistike v znení neskorších predpisov</vt:lpwstr>
  </property>
  <property fmtid="{D5CDD505-2E9C-101B-9397-08002B2CF9AE}" pid="17" name="FSC#SKEDITIONSLOVLEX@103.510:plnynazovpredpis">
    <vt:lpwstr> Vyhláška Štatistického úradu Slovenskej republiky, ktorou sa vydáva Program štátnych štatistických zisťovaní na roky 2024 až 2026 </vt:lpwstr>
  </property>
  <property fmtid="{D5CDD505-2E9C-101B-9397-08002B2CF9AE}" pid="18" name="FSC#SKEDITIONSLOVLEX@103.510:rezortcislopredpis">
    <vt:lpwstr>10201-2653/2023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LP/2023/516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Predseda Štatistického úradu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Ing. Peter Peťko_x000d_
Predseda Štatistického úradu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COO.2145.1000.3.5815425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Predsedu Štatistického úradu Slovenskej republiky</vt:lpwstr>
  </property>
  <property fmtid="{D5CDD505-2E9C-101B-9397-08002B2CF9AE}" pid="148" name="FSC#SKEDITIONSLOVLEX@103.510:funkciaZodpPredDativ">
    <vt:lpwstr>Predsedovi Štatistického úradu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4. 9. 2023</vt:lpwstr>
  </property>
</Properties>
</file>