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2F" w:rsidRPr="00520A08" w:rsidRDefault="00D2732F" w:rsidP="00D2732F">
      <w:pPr>
        <w:spacing w:after="4" w:line="276" w:lineRule="auto"/>
        <w:jc w:val="center"/>
        <w:rPr>
          <w:b/>
          <w:caps/>
          <w:spacing w:val="30"/>
        </w:rPr>
      </w:pPr>
      <w:r w:rsidRPr="00520A08">
        <w:rPr>
          <w:b/>
          <w:caps/>
          <w:spacing w:val="30"/>
        </w:rPr>
        <w:t>Dôvodová správa</w:t>
      </w:r>
    </w:p>
    <w:p w:rsidR="00D2732F" w:rsidRPr="00520A08" w:rsidRDefault="00D2732F" w:rsidP="00D2732F">
      <w:pPr>
        <w:spacing w:after="4" w:line="276" w:lineRule="auto"/>
        <w:ind w:left="360" w:hanging="360"/>
        <w:jc w:val="both"/>
        <w:rPr>
          <w:bCs/>
        </w:rPr>
      </w:pPr>
    </w:p>
    <w:p w:rsidR="00D2732F" w:rsidRPr="00520A08" w:rsidRDefault="00D2732F" w:rsidP="00D2732F">
      <w:pPr>
        <w:pStyle w:val="Odsekzoznamu"/>
        <w:numPr>
          <w:ilvl w:val="0"/>
          <w:numId w:val="1"/>
        </w:numPr>
        <w:spacing w:after="4" w:line="276" w:lineRule="auto"/>
        <w:ind w:left="360"/>
        <w:jc w:val="both"/>
        <w:rPr>
          <w:b/>
          <w:bCs/>
        </w:rPr>
      </w:pPr>
      <w:r w:rsidRPr="00520A08">
        <w:rPr>
          <w:b/>
          <w:bCs/>
        </w:rPr>
        <w:t>Všeobecná časť</w:t>
      </w:r>
    </w:p>
    <w:p w:rsidR="00D2732F" w:rsidRPr="00520A08" w:rsidRDefault="00D2732F" w:rsidP="00D2732F">
      <w:pPr>
        <w:spacing w:after="4" w:line="276" w:lineRule="auto"/>
        <w:jc w:val="both"/>
        <w:rPr>
          <w:bCs/>
        </w:rPr>
      </w:pPr>
    </w:p>
    <w:p w:rsidR="00D2732F" w:rsidRPr="00D219C0" w:rsidRDefault="00D2732F" w:rsidP="004F753A">
      <w:pPr>
        <w:spacing w:after="120"/>
        <w:ind w:firstLine="708"/>
        <w:jc w:val="both"/>
      </w:pPr>
      <w:r>
        <w:t>Ministerstvo investícií, regionálneho rozvoja a informatizácie Slovenskej republiky pre</w:t>
      </w:r>
      <w:r w:rsidR="00D05547">
        <w:t>d</w:t>
      </w:r>
      <w:r>
        <w:t>kladá na medzirezortné pripomienkové ko</w:t>
      </w:r>
      <w:r w:rsidR="00D05547">
        <w:t>n</w:t>
      </w:r>
      <w:r>
        <w:t>anie n</w:t>
      </w:r>
      <w:r w:rsidRPr="00520A08">
        <w:t>ávrh zákona</w:t>
      </w:r>
      <w:r>
        <w:t>,</w:t>
      </w:r>
      <w:r w:rsidRPr="00D2732F">
        <w:t xml:space="preserve"> </w:t>
      </w:r>
      <w:r w:rsidR="00D219C0">
        <w:t xml:space="preserve">ktorým sa mení zákon </w:t>
      </w:r>
      <w:r w:rsidR="004F753A">
        <w:br/>
      </w:r>
      <w:r w:rsidR="00D219C0">
        <w:t>č. 325/2022 Z. z.</w:t>
      </w:r>
      <w:r w:rsidR="00D10CBC">
        <w:t>,</w:t>
      </w:r>
      <w:bookmarkStart w:id="0" w:name="_GoBack"/>
      <w:bookmarkEnd w:id="0"/>
      <w:r w:rsidR="00D219C0">
        <w:t xml:space="preserve"> ktorým sa mení a dopĺňa zákon č. 305/2013 Z. z. o elektronickej podobe výkonu pôsobnosti orgánov verejnej moci a o zmene a doplnení niektorých zákonov (zákon </w:t>
      </w:r>
      <w:r w:rsidR="004F753A">
        <w:br/>
      </w:r>
      <w:r w:rsidR="00D219C0">
        <w:t xml:space="preserve">o e-Governmente) v znení neskorších predpisov a ktorým sa menia a dopĺňajú niektoré zákony v znení zákona č. 301/2023 Z. z. </w:t>
      </w:r>
      <w:r w:rsidRPr="00D2732F">
        <w:t xml:space="preserve"> (ďalej len „návrh</w:t>
      </w:r>
      <w:r>
        <w:t xml:space="preserve"> zákona</w:t>
      </w:r>
      <w:r w:rsidRPr="00D2732F">
        <w:t>“)</w:t>
      </w:r>
      <w:r w:rsidRPr="00520A08">
        <w:t xml:space="preserve"> ako iniciatívny materiál</w:t>
      </w:r>
      <w:r w:rsidRPr="00520A08">
        <w:rPr>
          <w:bCs/>
        </w:rPr>
        <w:t>.</w:t>
      </w:r>
    </w:p>
    <w:p w:rsidR="00D2732F" w:rsidRDefault="00D2732F" w:rsidP="004F753A">
      <w:pPr>
        <w:spacing w:after="120"/>
        <w:ind w:firstLine="708"/>
        <w:jc w:val="both"/>
        <w:rPr>
          <w:bCs/>
        </w:rPr>
      </w:pPr>
      <w:r w:rsidRPr="002E5806">
        <w:rPr>
          <w:bCs/>
        </w:rPr>
        <w:t>Výhradným a jediným cieľom pripravovaného návrhu</w:t>
      </w:r>
      <w:r>
        <w:rPr>
          <w:bCs/>
        </w:rPr>
        <w:t xml:space="preserve"> zákona</w:t>
      </w:r>
      <w:r w:rsidRPr="002E5806">
        <w:rPr>
          <w:bCs/>
        </w:rPr>
        <w:t xml:space="preserve"> je posun účinnosti ustanovení o zmenách v zaručenej konverzii zavedených zákonom č. 325/2022 Z. z.</w:t>
      </w:r>
      <w:r w:rsidR="004F753A">
        <w:rPr>
          <w:bCs/>
        </w:rPr>
        <w:t xml:space="preserve">, ktorým sa mení a dopĺňa zákon </w:t>
      </w:r>
      <w:r w:rsidR="004F753A" w:rsidRPr="008A67DA">
        <w:rPr>
          <w:bCs/>
        </w:rPr>
        <w:t>č. 305/2013 Z. z. o elektronickej podobe výkonu pôsobnosti orgánov verejnej moci a o zmene a doplnení niektorých zákonov (zákon o e-Governmente) v znení neskorších predpisov a ktorým sa menia a dopĺňajú niektoré zákony v znení zákona č. 301/2023 Z. z.</w:t>
      </w:r>
      <w:r w:rsidR="004F753A">
        <w:rPr>
          <w:bCs/>
        </w:rPr>
        <w:t xml:space="preserve"> (ďalej len „zákon č. 325/2022 Z. z.“)</w:t>
      </w:r>
      <w:r w:rsidRPr="002E5806">
        <w:rPr>
          <w:bCs/>
        </w:rPr>
        <w:t xml:space="preserve"> </w:t>
      </w:r>
      <w:r w:rsidR="00F9551A">
        <w:rPr>
          <w:bCs/>
        </w:rPr>
        <w:t>z</w:t>
      </w:r>
      <w:r w:rsidRPr="002E5806">
        <w:rPr>
          <w:bCs/>
        </w:rPr>
        <w:t xml:space="preserve"> 1. októbra 2024</w:t>
      </w:r>
      <w:r w:rsidR="00F9551A">
        <w:rPr>
          <w:bCs/>
        </w:rPr>
        <w:t xml:space="preserve"> na 1. októbra 2026, teda o dva roky</w:t>
      </w:r>
      <w:r w:rsidRPr="002E5806">
        <w:rPr>
          <w:bCs/>
        </w:rPr>
        <w:t>.</w:t>
      </w:r>
    </w:p>
    <w:p w:rsidR="00D2732F" w:rsidRPr="004F753A" w:rsidRDefault="00D2732F" w:rsidP="004F753A">
      <w:pPr>
        <w:spacing w:after="120"/>
        <w:ind w:firstLine="708"/>
        <w:jc w:val="both"/>
        <w:rPr>
          <w:bCs/>
        </w:rPr>
      </w:pPr>
      <w:r w:rsidRPr="002E5806">
        <w:rPr>
          <w:bCs/>
        </w:rPr>
        <w:t xml:space="preserve">Zákonom č. 325/2022 Z. z. boli schválené </w:t>
      </w:r>
      <w:r w:rsidRPr="004F753A">
        <w:rPr>
          <w:bCs/>
        </w:rPr>
        <w:t>zmeny v oblasti zaručenej konverzii za účelom zjednodušiť výkon zaručenej konverzie pre osoby, ktoré zaručenú konverziu vykonávajú, a ktorých výsledkom má byť posilnenie dôveryhodnosti výstupov zo zaručenej konverzie. Tieto zmeny si vyžadujú úpravu aktuálneho technického riešenia centrálnej evidencie záznamov o vykonanej zaručenej konverzie, ktorej správcom je Ministerstvo investícií, regionálneho rozvoja a informatizácie Slovenskej republiky.</w:t>
      </w:r>
    </w:p>
    <w:p w:rsidR="00D2732F" w:rsidRPr="004F753A" w:rsidRDefault="00D2732F" w:rsidP="004F753A">
      <w:pPr>
        <w:spacing w:after="120"/>
        <w:ind w:firstLine="708"/>
        <w:jc w:val="both"/>
        <w:rPr>
          <w:bCs/>
        </w:rPr>
      </w:pPr>
      <w:r w:rsidRPr="004F753A">
        <w:rPr>
          <w:bCs/>
        </w:rPr>
        <w:t xml:space="preserve">Vzhľadom na </w:t>
      </w:r>
      <w:r w:rsidR="00915362" w:rsidRPr="004F753A">
        <w:rPr>
          <w:bCs/>
        </w:rPr>
        <w:t>aktuálny stav implementácie týchto zmien sa navrhuje posun účinnosti schválených zmien na 1. októbra 2026.</w:t>
      </w:r>
      <w:r w:rsidRPr="004F753A">
        <w:rPr>
          <w:bCs/>
        </w:rPr>
        <w:t xml:space="preserve"> </w:t>
      </w:r>
      <w:r w:rsidRPr="004F753A" w:rsidDel="00915362">
        <w:rPr>
          <w:bCs/>
        </w:rPr>
        <w:t>Posunutie účinnosti sa navrhuje taktiež z dôvodu zabezpečenia postupného a kontinuálneho nábehu všetkých oprávnených osôb na nový systém centrálnej evidencie záznamov o vykonanej zaručenej konverzie.</w:t>
      </w:r>
    </w:p>
    <w:p w:rsidR="00EC2934" w:rsidRPr="004F753A" w:rsidRDefault="00EC2934" w:rsidP="004F753A">
      <w:pPr>
        <w:spacing w:after="120"/>
        <w:ind w:firstLine="720"/>
        <w:jc w:val="both"/>
      </w:pPr>
      <w:r w:rsidRPr="004F753A">
        <w:t>Návrh zákona nemá žiadny vplyv na rozpočet verejnej správy. Návrh zákona nemá žiadne sociálne vplyvy a nemá vplyvy na podnikateľské prostredie, na životné prostredie, na informatizáciu spoločnosti, na manželstvo, rodičovstvo a rodinu, a na služby verejnej správy pre občana.</w:t>
      </w:r>
    </w:p>
    <w:p w:rsidR="00D2732F" w:rsidRPr="004F753A" w:rsidRDefault="00D2732F" w:rsidP="004F753A">
      <w:pPr>
        <w:spacing w:after="120"/>
        <w:ind w:firstLine="708"/>
        <w:jc w:val="both"/>
        <w:rPr>
          <w:bCs/>
        </w:rPr>
      </w:pPr>
      <w:r w:rsidRPr="004F753A">
        <w:rPr>
          <w:bCs/>
        </w:rPr>
        <w:t>Účinnosť návrhu zákona sa navrhuje od</w:t>
      </w:r>
      <w:r w:rsidR="00915362" w:rsidRPr="004F753A">
        <w:rPr>
          <w:bCs/>
        </w:rPr>
        <w:t xml:space="preserve"> </w:t>
      </w:r>
      <w:r w:rsidR="00713360" w:rsidRPr="004F753A">
        <w:rPr>
          <w:bCs/>
        </w:rPr>
        <w:t>30</w:t>
      </w:r>
      <w:r w:rsidR="00915362" w:rsidRPr="004F753A">
        <w:rPr>
          <w:bCs/>
        </w:rPr>
        <w:t xml:space="preserve">. </w:t>
      </w:r>
      <w:r w:rsidR="00713360" w:rsidRPr="004F753A">
        <w:rPr>
          <w:bCs/>
        </w:rPr>
        <w:t>septembra</w:t>
      </w:r>
      <w:r w:rsidRPr="004F753A">
        <w:rPr>
          <w:bCs/>
        </w:rPr>
        <w:t xml:space="preserve"> 2024</w:t>
      </w:r>
      <w:r w:rsidRPr="004F753A">
        <w:rPr>
          <w:iCs/>
        </w:rPr>
        <w:t>.</w:t>
      </w:r>
    </w:p>
    <w:p w:rsidR="00052116" w:rsidRDefault="00D2732F" w:rsidP="004F753A">
      <w:pPr>
        <w:spacing w:after="120"/>
        <w:ind w:firstLine="708"/>
        <w:jc w:val="both"/>
        <w:rPr>
          <w:bCs/>
        </w:rPr>
      </w:pPr>
      <w:r w:rsidRPr="004F753A">
        <w:rPr>
          <w:bCs/>
        </w:rPr>
        <w:t>Návrh zákona je v súlade s Ústavou Slovenskej republiky, ústavnými zákonmi, nálezmi Ústavného súdu Slovenskej republiky, medzinárodnými zmluvami, ktorými je Slovenská republika viazaná a súčasne je v súlade s právom Európskej únie.</w:t>
      </w:r>
      <w:r w:rsidRPr="00520A08">
        <w:rPr>
          <w:bCs/>
        </w:rPr>
        <w:t xml:space="preserve"> </w:t>
      </w:r>
    </w:p>
    <w:p w:rsidR="004F753A" w:rsidRDefault="004F753A" w:rsidP="004F753A">
      <w:pPr>
        <w:spacing w:after="120"/>
        <w:ind w:firstLine="708"/>
        <w:jc w:val="both"/>
        <w:rPr>
          <w:bCs/>
        </w:rPr>
      </w:pPr>
    </w:p>
    <w:p w:rsidR="00747AC2" w:rsidRDefault="00747AC2" w:rsidP="00EC2934">
      <w:pPr>
        <w:spacing w:after="4" w:line="276" w:lineRule="auto"/>
        <w:ind w:firstLine="708"/>
        <w:jc w:val="both"/>
        <w:rPr>
          <w:bCs/>
        </w:rPr>
      </w:pPr>
    </w:p>
    <w:p w:rsidR="008B13C8" w:rsidRDefault="008B13C8" w:rsidP="00EC2934">
      <w:pPr>
        <w:spacing w:after="4" w:line="276" w:lineRule="auto"/>
        <w:ind w:firstLine="708"/>
        <w:jc w:val="both"/>
        <w:rPr>
          <w:bCs/>
        </w:rPr>
      </w:pPr>
    </w:p>
    <w:p w:rsidR="004F753A" w:rsidRDefault="004F753A" w:rsidP="00EC2934">
      <w:pPr>
        <w:spacing w:after="4" w:line="276" w:lineRule="auto"/>
        <w:ind w:firstLine="708"/>
        <w:jc w:val="both"/>
        <w:rPr>
          <w:bCs/>
        </w:rPr>
      </w:pPr>
    </w:p>
    <w:p w:rsidR="004F753A" w:rsidRDefault="004F753A" w:rsidP="00EC2934">
      <w:pPr>
        <w:spacing w:after="4" w:line="276" w:lineRule="auto"/>
        <w:ind w:firstLine="708"/>
        <w:jc w:val="both"/>
        <w:rPr>
          <w:bCs/>
        </w:rPr>
      </w:pPr>
    </w:p>
    <w:p w:rsidR="004F753A" w:rsidRDefault="004F753A" w:rsidP="00EC2934">
      <w:pPr>
        <w:spacing w:after="4" w:line="276" w:lineRule="auto"/>
        <w:ind w:firstLine="708"/>
        <w:jc w:val="both"/>
        <w:rPr>
          <w:bCs/>
        </w:rPr>
      </w:pPr>
    </w:p>
    <w:p w:rsidR="004F753A" w:rsidRDefault="004F753A" w:rsidP="00EC2934">
      <w:pPr>
        <w:spacing w:after="4" w:line="276" w:lineRule="auto"/>
        <w:ind w:firstLine="708"/>
        <w:jc w:val="both"/>
        <w:rPr>
          <w:bCs/>
        </w:rPr>
      </w:pPr>
    </w:p>
    <w:p w:rsidR="004F753A" w:rsidRDefault="004F753A" w:rsidP="00EC2934">
      <w:pPr>
        <w:spacing w:after="4" w:line="276" w:lineRule="auto"/>
        <w:ind w:firstLine="708"/>
        <w:jc w:val="both"/>
        <w:rPr>
          <w:bCs/>
        </w:rPr>
      </w:pPr>
    </w:p>
    <w:p w:rsidR="004F753A" w:rsidRDefault="004F753A" w:rsidP="00EC2934">
      <w:pPr>
        <w:spacing w:after="4" w:line="276" w:lineRule="auto"/>
        <w:ind w:firstLine="708"/>
        <w:jc w:val="both"/>
        <w:rPr>
          <w:bCs/>
        </w:rPr>
      </w:pPr>
    </w:p>
    <w:p w:rsidR="004F753A" w:rsidRDefault="004F753A" w:rsidP="00EC2934">
      <w:pPr>
        <w:spacing w:after="4" w:line="276" w:lineRule="auto"/>
        <w:ind w:firstLine="708"/>
        <w:jc w:val="both"/>
        <w:rPr>
          <w:bCs/>
        </w:rPr>
      </w:pPr>
    </w:p>
    <w:p w:rsidR="008B13C8" w:rsidRPr="00520A08" w:rsidRDefault="00CF3F99" w:rsidP="008B13C8">
      <w:pPr>
        <w:pStyle w:val="Odsekzoznamu"/>
        <w:numPr>
          <w:ilvl w:val="0"/>
          <w:numId w:val="1"/>
        </w:numPr>
        <w:spacing w:after="4" w:line="276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Osobitná</w:t>
      </w:r>
      <w:r w:rsidR="008B13C8" w:rsidRPr="00520A08">
        <w:rPr>
          <w:b/>
          <w:bCs/>
        </w:rPr>
        <w:t xml:space="preserve"> časť</w:t>
      </w:r>
    </w:p>
    <w:p w:rsidR="008B13C8" w:rsidRDefault="008B13C8" w:rsidP="008B13C8">
      <w:pPr>
        <w:spacing w:after="4" w:line="276" w:lineRule="auto"/>
        <w:jc w:val="both"/>
        <w:rPr>
          <w:bCs/>
        </w:rPr>
      </w:pPr>
    </w:p>
    <w:p w:rsidR="00CF3F99" w:rsidRDefault="00CF3F99" w:rsidP="00CF3F99">
      <w:pPr>
        <w:spacing w:after="4" w:line="276" w:lineRule="auto"/>
        <w:jc w:val="both"/>
        <w:rPr>
          <w:b/>
          <w:bCs/>
        </w:rPr>
      </w:pPr>
      <w:r>
        <w:rPr>
          <w:b/>
          <w:bCs/>
        </w:rPr>
        <w:t>K čl. I</w:t>
      </w:r>
    </w:p>
    <w:p w:rsidR="00836869" w:rsidRPr="00836869" w:rsidRDefault="00836869" w:rsidP="00CF3F99">
      <w:pPr>
        <w:spacing w:after="4" w:line="276" w:lineRule="auto"/>
        <w:jc w:val="both"/>
        <w:rPr>
          <w:b/>
          <w:bCs/>
        </w:rPr>
      </w:pPr>
    </w:p>
    <w:p w:rsidR="00603BC6" w:rsidRPr="004F753A" w:rsidRDefault="004B7108" w:rsidP="00CF3F99">
      <w:pPr>
        <w:spacing w:after="4" w:line="276" w:lineRule="auto"/>
        <w:jc w:val="both"/>
        <w:rPr>
          <w:bCs/>
        </w:rPr>
      </w:pPr>
      <w:r>
        <w:rPr>
          <w:bCs/>
        </w:rPr>
        <w:t>Navrhuje sa posun účinnosti ustanovení o zmenách v zaručenej konverzii z 1. októbra 2024 o dva r</w:t>
      </w:r>
      <w:r w:rsidRPr="004F753A">
        <w:rPr>
          <w:bCs/>
        </w:rPr>
        <w:t>oky, t.j. na 1. októbra 2026.</w:t>
      </w:r>
    </w:p>
    <w:p w:rsidR="00CF75A0" w:rsidRPr="004F753A" w:rsidRDefault="004B7108" w:rsidP="00747AC2">
      <w:pPr>
        <w:spacing w:after="4" w:line="276" w:lineRule="auto"/>
        <w:jc w:val="both"/>
      </w:pPr>
      <w:r w:rsidRPr="004F753A">
        <w:rPr>
          <w:bCs/>
        </w:rPr>
        <w:t xml:space="preserve">Cieľom zmien zavedených zákonom č. 325/2022 Z. z. </w:t>
      </w:r>
      <w:r w:rsidRPr="004F753A">
        <w:t>je najmä posilniť dôveryhodnosť novovzniknutých dokumentov, odbúrať administratívnu náročnosť spojenú s vedením „lokálnych“ evidencií a vytváraním osvedčovacích doložiek a ustanoviť jedno dôveryhodné miesto overenia záznamu o vykonanej konverzii. V praktickej rovine toto riešenie odbúra potrebu autorizácie záznamu o zaručenej konverzii</w:t>
      </w:r>
      <w:r w:rsidR="004F753A" w:rsidRPr="004F753A">
        <w:t>,</w:t>
      </w:r>
      <w:r w:rsidRPr="004F753A">
        <w:t xml:space="preserve"> a tým aj potenciálne problémy v komunikácii a verifikačných procesoch na strane centrálnej evidencie. Z hľadiska procesu výkonu zaručenej konverzie sa pravidlá nemenia, rozdiel bude najmä v postupnosti krokov a vytváraní výsledného novovzniknutého dokumentu. </w:t>
      </w:r>
      <w:r w:rsidR="00563884" w:rsidRPr="004F753A">
        <w:t>V tomto smere je dôležité poznamenať, že záznam bude vytváraný priamo v centrálnej evidencii, pričom po vytvorení záznamu bude do osvedčovacej doložky poskytnutý údaj o jednoznačnom identifikátore</w:t>
      </w:r>
      <w:r w:rsidRPr="004F753A">
        <w:t xml:space="preserve"> záznamu danej zaručenej konverzie. Tým sa v praktickej rovine docieli, že novovzniknutý dokument vznikne až ak bude záznam korektne zaznamenaný v centrálnej evidencii.</w:t>
      </w:r>
    </w:p>
    <w:p w:rsidR="004B7108" w:rsidRPr="004F753A" w:rsidRDefault="004B7108" w:rsidP="00747AC2">
      <w:pPr>
        <w:spacing w:after="4" w:line="276" w:lineRule="auto"/>
        <w:jc w:val="both"/>
      </w:pPr>
      <w:r w:rsidRPr="004F753A">
        <w:t xml:space="preserve">Vzhľadom na </w:t>
      </w:r>
      <w:r w:rsidR="00CF75A0" w:rsidRPr="004F753A">
        <w:t xml:space="preserve">zásadný dopad uvedených zmien a s ohľadom na </w:t>
      </w:r>
      <w:r w:rsidR="00241805" w:rsidRPr="004F753A">
        <w:t xml:space="preserve">aktuálny stav </w:t>
      </w:r>
      <w:r w:rsidR="00915362" w:rsidRPr="004F753A">
        <w:rPr>
          <w:bCs/>
        </w:rPr>
        <w:t>projektu, ktorým sa má zabezpečiť obstaranie nového komplexného technického riešenia, vrátane zabezpečenia jeho zmluvnej podpory a ďalšieho rozvoja</w:t>
      </w:r>
      <w:r w:rsidR="00CF75A0" w:rsidRPr="004F753A">
        <w:rPr>
          <w:bCs/>
        </w:rPr>
        <w:t>,</w:t>
      </w:r>
      <w:r w:rsidR="00915362" w:rsidRPr="004F753A">
        <w:rPr>
          <w:bCs/>
        </w:rPr>
        <w:t xml:space="preserve"> sa navrhuje posunúť účinnosť schválených zmien o dva roky, tzn. na 1. októbra 2026</w:t>
      </w:r>
      <w:r w:rsidR="00CF75A0" w:rsidRPr="004F753A">
        <w:rPr>
          <w:bCs/>
        </w:rPr>
        <w:t>. Dlhší časový priestor je potrebný aj pre oboznámenie sa s novým systémom zo strany osôb oprávnených vykonávať zaručenú konverziu a postupný prechod na využívanie tohto systému v praxi pri vykonávaní zaručenej konverzie.</w:t>
      </w:r>
    </w:p>
    <w:p w:rsidR="00603BC6" w:rsidRDefault="00603BC6" w:rsidP="00CF3F99">
      <w:pPr>
        <w:spacing w:after="4" w:line="276" w:lineRule="auto"/>
        <w:jc w:val="both"/>
        <w:rPr>
          <w:b/>
          <w:bCs/>
        </w:rPr>
      </w:pPr>
    </w:p>
    <w:p w:rsidR="00D82682" w:rsidRPr="004F753A" w:rsidRDefault="00D82682" w:rsidP="00CF3F99">
      <w:pPr>
        <w:spacing w:after="4" w:line="276" w:lineRule="auto"/>
        <w:jc w:val="both"/>
        <w:rPr>
          <w:b/>
          <w:bCs/>
        </w:rPr>
      </w:pPr>
    </w:p>
    <w:p w:rsidR="00603BC6" w:rsidRPr="004F753A" w:rsidRDefault="00603BC6" w:rsidP="00CF3F99">
      <w:pPr>
        <w:spacing w:after="4" w:line="276" w:lineRule="auto"/>
        <w:jc w:val="both"/>
        <w:rPr>
          <w:b/>
          <w:bCs/>
        </w:rPr>
      </w:pPr>
      <w:r w:rsidRPr="004F753A">
        <w:rPr>
          <w:b/>
          <w:bCs/>
        </w:rPr>
        <w:t>K čl. II</w:t>
      </w:r>
    </w:p>
    <w:p w:rsidR="00603BC6" w:rsidRPr="00747AC2" w:rsidRDefault="00603BC6" w:rsidP="00CF3F99">
      <w:pPr>
        <w:spacing w:after="4" w:line="276" w:lineRule="auto"/>
        <w:jc w:val="both"/>
        <w:rPr>
          <w:bCs/>
        </w:rPr>
      </w:pPr>
      <w:r w:rsidRPr="004F753A">
        <w:rPr>
          <w:bCs/>
        </w:rPr>
        <w:t>Účinnosť návrhu zákona</w:t>
      </w:r>
      <w:r w:rsidRPr="00603BC6">
        <w:rPr>
          <w:bCs/>
        </w:rPr>
        <w:t xml:space="preserve"> sa navrhuje </w:t>
      </w:r>
      <w:r w:rsidR="00D219C0">
        <w:rPr>
          <w:bCs/>
        </w:rPr>
        <w:t>30. septembra</w:t>
      </w:r>
      <w:r>
        <w:rPr>
          <w:bCs/>
        </w:rPr>
        <w:t xml:space="preserve"> 2024</w:t>
      </w:r>
      <w:r w:rsidRPr="00603BC6">
        <w:rPr>
          <w:bCs/>
        </w:rPr>
        <w:t>.</w:t>
      </w:r>
    </w:p>
    <w:p w:rsidR="00603BC6" w:rsidRPr="00CF3F99" w:rsidRDefault="00603BC6" w:rsidP="00CF3F99">
      <w:pPr>
        <w:spacing w:after="4" w:line="276" w:lineRule="auto"/>
        <w:jc w:val="both"/>
        <w:rPr>
          <w:b/>
          <w:bCs/>
        </w:rPr>
      </w:pPr>
    </w:p>
    <w:p w:rsidR="008B13C8" w:rsidRPr="00EC2934" w:rsidRDefault="008B13C8" w:rsidP="00CF3F99">
      <w:pPr>
        <w:spacing w:after="4" w:line="276" w:lineRule="auto"/>
        <w:jc w:val="both"/>
        <w:rPr>
          <w:bCs/>
        </w:rPr>
      </w:pPr>
    </w:p>
    <w:sectPr w:rsidR="008B13C8" w:rsidRPr="00EC29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3A" w:rsidRDefault="004F753A" w:rsidP="004F753A">
      <w:r>
        <w:separator/>
      </w:r>
    </w:p>
  </w:endnote>
  <w:endnote w:type="continuationSeparator" w:id="0">
    <w:p w:rsidR="004F753A" w:rsidRDefault="004F753A" w:rsidP="004F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463893"/>
      <w:docPartObj>
        <w:docPartGallery w:val="Page Numbers (Bottom of Page)"/>
        <w:docPartUnique/>
      </w:docPartObj>
    </w:sdtPr>
    <w:sdtEndPr/>
    <w:sdtContent>
      <w:p w:rsidR="004F753A" w:rsidRDefault="004F753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BC">
          <w:t>2</w:t>
        </w:r>
        <w:r>
          <w:fldChar w:fldCharType="end"/>
        </w:r>
      </w:p>
    </w:sdtContent>
  </w:sdt>
  <w:p w:rsidR="004F753A" w:rsidRDefault="004F75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3A" w:rsidRDefault="004F753A" w:rsidP="004F753A">
      <w:r>
        <w:separator/>
      </w:r>
    </w:p>
  </w:footnote>
  <w:footnote w:type="continuationSeparator" w:id="0">
    <w:p w:rsidR="004F753A" w:rsidRDefault="004F753A" w:rsidP="004F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E6966"/>
    <w:multiLevelType w:val="hybridMultilevel"/>
    <w:tmpl w:val="E3523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E3"/>
    <w:rsid w:val="000E66AB"/>
    <w:rsid w:val="0012197F"/>
    <w:rsid w:val="001C4720"/>
    <w:rsid w:val="00241805"/>
    <w:rsid w:val="00312FA2"/>
    <w:rsid w:val="0049775E"/>
    <w:rsid w:val="004B7108"/>
    <w:rsid w:val="004F753A"/>
    <w:rsid w:val="00563884"/>
    <w:rsid w:val="00591CE3"/>
    <w:rsid w:val="005D0597"/>
    <w:rsid w:val="00603BC6"/>
    <w:rsid w:val="00713360"/>
    <w:rsid w:val="00747AC2"/>
    <w:rsid w:val="0076450A"/>
    <w:rsid w:val="008067ED"/>
    <w:rsid w:val="00836869"/>
    <w:rsid w:val="008B13C8"/>
    <w:rsid w:val="00915362"/>
    <w:rsid w:val="009366BF"/>
    <w:rsid w:val="00CF3F99"/>
    <w:rsid w:val="00CF75A0"/>
    <w:rsid w:val="00D05547"/>
    <w:rsid w:val="00D10CBC"/>
    <w:rsid w:val="00D219C0"/>
    <w:rsid w:val="00D2732F"/>
    <w:rsid w:val="00D82682"/>
    <w:rsid w:val="00DD61BE"/>
    <w:rsid w:val="00EC2934"/>
    <w:rsid w:val="00F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43F3"/>
  <w15:chartTrackingRefBased/>
  <w15:docId w15:val="{C9821328-B022-49EA-8702-E17EC60C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732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D2732F"/>
    <w:pPr>
      <w:ind w:left="720"/>
      <w:contextualSpacing/>
    </w:p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D2732F"/>
    <w:rPr>
      <w:rFonts w:ascii="Times New Roman" w:eastAsia="Times New Roman" w:hAnsi="Times New Roman" w:cs="Times New Roman"/>
      <w:noProof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13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13C8"/>
    <w:rPr>
      <w:rFonts w:ascii="Segoe UI" w:eastAsia="Times New Roman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F75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753A"/>
    <w:rPr>
      <w:rFonts w:ascii="Times New Roman" w:eastAsia="Times New Roman" w:hAnsi="Times New Roman" w:cs="Times New Roman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F75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753A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MIRRI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Graňáková, Marcela</dc:creator>
  <cp:keywords/>
  <dc:description/>
  <cp:lastModifiedBy>Graňáková, Marcela</cp:lastModifiedBy>
  <cp:revision>14</cp:revision>
  <dcterms:created xsi:type="dcterms:W3CDTF">2024-04-05T07:21:00Z</dcterms:created>
  <dcterms:modified xsi:type="dcterms:W3CDTF">2024-04-30T08:53:00Z</dcterms:modified>
</cp:coreProperties>
</file>