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CE50E8" w:rsidRDefault="00054C41" w:rsidP="00054C41">
      <w:pPr>
        <w:jc w:val="center"/>
        <w:rPr>
          <w:rFonts w:ascii="Times New Roman" w:eastAsia="Calibri" w:hAnsi="Times New Roman" w:cs="Times New Roman"/>
          <w:b/>
          <w:sz w:val="28"/>
          <w:szCs w:val="28"/>
        </w:rPr>
      </w:pPr>
      <w:r w:rsidRPr="00CE50E8">
        <w:rPr>
          <w:rFonts w:ascii="Times New Roman" w:eastAsia="Calibri" w:hAnsi="Times New Roman" w:cs="Times New Roman"/>
          <w:b/>
          <w:sz w:val="28"/>
          <w:szCs w:val="28"/>
        </w:rPr>
        <w:t>Analýza vplyvov na podnikateľské prostredie</w:t>
      </w:r>
    </w:p>
    <w:p w:rsidR="00054C41" w:rsidRPr="00CE50E8" w:rsidRDefault="00054C41" w:rsidP="00054C41">
      <w:pPr>
        <w:jc w:val="both"/>
        <w:rPr>
          <w:rFonts w:ascii="Times New Roman" w:eastAsia="Calibri" w:hAnsi="Times New Roman" w:cs="Times New Roman"/>
          <w:b/>
          <w:sz w:val="24"/>
          <w:szCs w:val="24"/>
        </w:rPr>
      </w:pPr>
    </w:p>
    <w:p w:rsidR="00054C41" w:rsidRPr="00CE50E8" w:rsidRDefault="00054C41" w:rsidP="00054C41">
      <w:pPr>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Názov materiálu:</w:t>
      </w:r>
    </w:p>
    <w:p w:rsidR="007657AE" w:rsidRPr="00CE50E8" w:rsidRDefault="007657AE" w:rsidP="00054C41">
      <w:pPr>
        <w:jc w:val="both"/>
        <w:rPr>
          <w:rFonts w:ascii="Times New Roman" w:eastAsia="Times New Roman" w:hAnsi="Times New Roman" w:cs="Times New Roman"/>
          <w:sz w:val="20"/>
          <w:szCs w:val="20"/>
          <w:lang w:eastAsia="sk-SK"/>
        </w:rPr>
      </w:pPr>
      <w:r w:rsidRPr="00CE50E8">
        <w:rPr>
          <w:rFonts w:ascii="Times New Roman" w:hAnsi="Times New Roman"/>
          <w:sz w:val="24"/>
          <w:szCs w:val="24"/>
        </w:rPr>
        <w:t>Návrh nariadenia vlády Slovenskej republiky o ochrane zdravia zamestnancov pred rizikami súvisiacimi s expozíciou karcinogénnym</w:t>
      </w:r>
      <w:r w:rsidR="00A0605F" w:rsidRPr="00CE50E8">
        <w:rPr>
          <w:rFonts w:ascii="Times New Roman" w:hAnsi="Times New Roman"/>
          <w:sz w:val="24"/>
          <w:szCs w:val="24"/>
        </w:rPr>
        <w:t xml:space="preserve"> faktorom</w:t>
      </w:r>
      <w:r w:rsidRPr="00CE50E8">
        <w:rPr>
          <w:rFonts w:ascii="Times New Roman" w:hAnsi="Times New Roman"/>
          <w:sz w:val="24"/>
          <w:szCs w:val="24"/>
        </w:rPr>
        <w:t>, mutagénnym</w:t>
      </w:r>
      <w:r w:rsidR="00A0605F" w:rsidRPr="00CE50E8">
        <w:rPr>
          <w:rFonts w:ascii="Times New Roman" w:hAnsi="Times New Roman"/>
          <w:sz w:val="24"/>
          <w:szCs w:val="24"/>
        </w:rPr>
        <w:t xml:space="preserve"> faktorom</w:t>
      </w:r>
      <w:r w:rsidRPr="00CE50E8">
        <w:rPr>
          <w:rFonts w:ascii="Times New Roman" w:hAnsi="Times New Roman"/>
          <w:sz w:val="24"/>
          <w:szCs w:val="24"/>
        </w:rPr>
        <w:t xml:space="preserve"> alebo reprodukčne toxickým faktorom pri práci (ďalej len „návrh nariadenia vlády“).</w:t>
      </w:r>
    </w:p>
    <w:p w:rsidR="00054C41" w:rsidRPr="00CE50E8" w:rsidRDefault="00054C41" w:rsidP="00054C41">
      <w:pPr>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Predkladateľ:</w:t>
      </w:r>
    </w:p>
    <w:p w:rsidR="00054C41" w:rsidRPr="00CE50E8" w:rsidRDefault="007657AE" w:rsidP="00054C41">
      <w:pPr>
        <w:jc w:val="both"/>
        <w:rPr>
          <w:rFonts w:ascii="Times New Roman" w:hAnsi="Times New Roman"/>
          <w:bCs/>
          <w:sz w:val="24"/>
          <w:szCs w:val="24"/>
        </w:rPr>
      </w:pPr>
      <w:r w:rsidRPr="00CE50E8">
        <w:rPr>
          <w:rFonts w:ascii="Times New Roman" w:hAnsi="Times New Roman"/>
          <w:bCs/>
          <w:sz w:val="24"/>
          <w:szCs w:val="24"/>
        </w:rPr>
        <w:t>Ministerstvo zdravotníctva Slovenskej republiky</w:t>
      </w:r>
    </w:p>
    <w:p w:rsidR="00F51F90" w:rsidRPr="00CE50E8" w:rsidRDefault="00F51F90" w:rsidP="00054C41">
      <w:pPr>
        <w:jc w:val="both"/>
        <w:rPr>
          <w:rFonts w:ascii="Times New Roman" w:hAnsi="Times New Roman"/>
          <w:bCs/>
          <w:sz w:val="24"/>
          <w:szCs w:val="24"/>
        </w:rPr>
      </w:pPr>
    </w:p>
    <w:p w:rsidR="00F51F90" w:rsidRPr="00CE50E8" w:rsidRDefault="00F51F90" w:rsidP="000F4746">
      <w:pPr>
        <w:spacing w:after="0" w:line="276" w:lineRule="auto"/>
        <w:jc w:val="both"/>
        <w:rPr>
          <w:rFonts w:ascii="Times New Roman" w:eastAsia="Calibri" w:hAnsi="Times New Roman" w:cs="Times New Roman"/>
          <w:sz w:val="24"/>
          <w:szCs w:val="24"/>
        </w:rPr>
      </w:pPr>
      <w:r w:rsidRPr="00CE50E8">
        <w:rPr>
          <w:rFonts w:ascii="Times New Roman" w:eastAsia="Calibri" w:hAnsi="Times New Roman" w:cs="Times New Roman"/>
          <w:sz w:val="24"/>
          <w:szCs w:val="24"/>
        </w:rPr>
        <w:t>Cieľom predkladaného materiálu je zlepšiť bezpečnosť a ochranu zdravia zamestnancov pri práci tým, že sa zavádzajú revidované najvyššie prípustné expozičné limity v pracovnom ovzduší (ďalej len „NPEL“) pre vybrané karcinogénne faktory pri práci a dopĺňa sa nový zoznam reprodukčne toxických faktorov spolu s ich NPEL. S týmito zmenami sa očakáva zvýšenie nákladov podnikateľského prostredia. Celkov</w:t>
      </w:r>
      <w:r w:rsidR="00D232B9" w:rsidRPr="00CE50E8">
        <w:rPr>
          <w:rFonts w:ascii="Times New Roman" w:eastAsia="Calibri" w:hAnsi="Times New Roman" w:cs="Times New Roman"/>
          <w:sz w:val="24"/>
          <w:szCs w:val="24"/>
        </w:rPr>
        <w:t>ú</w:t>
      </w:r>
      <w:r w:rsidRPr="00CE50E8">
        <w:rPr>
          <w:rFonts w:ascii="Times New Roman" w:eastAsia="Calibri" w:hAnsi="Times New Roman" w:cs="Times New Roman"/>
          <w:sz w:val="24"/>
          <w:szCs w:val="24"/>
        </w:rPr>
        <w:t xml:space="preserve"> suma, o ktorú by sa predloženými opatreniami mohla zvýšiť záťaž na podnikateľské prostredie</w:t>
      </w:r>
      <w:r w:rsidR="00D232B9" w:rsidRPr="00CE50E8">
        <w:rPr>
          <w:rFonts w:ascii="Times New Roman" w:eastAsia="Calibri" w:hAnsi="Times New Roman" w:cs="Times New Roman"/>
          <w:sz w:val="24"/>
          <w:szCs w:val="24"/>
        </w:rPr>
        <w:t xml:space="preserve">, </w:t>
      </w:r>
      <w:r w:rsidRPr="00CE50E8">
        <w:rPr>
          <w:rFonts w:ascii="Times New Roman" w:eastAsia="Calibri" w:hAnsi="Times New Roman" w:cs="Times New Roman"/>
          <w:sz w:val="24"/>
          <w:szCs w:val="24"/>
        </w:rPr>
        <w:t>nie je možné presne vyčísliť z dôvodu chýbajúcich informácií o</w:t>
      </w:r>
      <w:r w:rsidR="00585DC2" w:rsidRPr="00CE50E8">
        <w:rPr>
          <w:rFonts w:ascii="Times New Roman" w:eastAsia="Calibri" w:hAnsi="Times New Roman" w:cs="Times New Roman"/>
          <w:sz w:val="24"/>
          <w:szCs w:val="24"/>
        </w:rPr>
        <w:t> </w:t>
      </w:r>
      <w:r w:rsidRPr="00CE50E8">
        <w:rPr>
          <w:rFonts w:ascii="Times New Roman" w:eastAsia="Calibri" w:hAnsi="Times New Roman" w:cs="Times New Roman"/>
          <w:sz w:val="24"/>
          <w:szCs w:val="24"/>
        </w:rPr>
        <w:t>používaní</w:t>
      </w:r>
      <w:r w:rsidR="00585DC2" w:rsidRPr="00CE50E8">
        <w:rPr>
          <w:rFonts w:ascii="Times New Roman" w:eastAsia="Calibri" w:hAnsi="Times New Roman" w:cs="Times New Roman"/>
          <w:sz w:val="24"/>
          <w:szCs w:val="24"/>
        </w:rPr>
        <w:t xml:space="preserve"> karcinogénnych</w:t>
      </w:r>
      <w:r w:rsidR="00D232B9" w:rsidRPr="00CE50E8">
        <w:rPr>
          <w:rFonts w:ascii="Times New Roman" w:eastAsia="Calibri" w:hAnsi="Times New Roman" w:cs="Times New Roman"/>
          <w:sz w:val="24"/>
          <w:szCs w:val="24"/>
        </w:rPr>
        <w:t xml:space="preserve"> faktorov</w:t>
      </w:r>
      <w:r w:rsidR="00585DC2" w:rsidRPr="00CE50E8">
        <w:rPr>
          <w:rFonts w:ascii="Times New Roman" w:eastAsia="Calibri" w:hAnsi="Times New Roman" w:cs="Times New Roman"/>
          <w:sz w:val="24"/>
          <w:szCs w:val="24"/>
        </w:rPr>
        <w:t>, mutagénnych</w:t>
      </w:r>
      <w:r w:rsidR="00D232B9" w:rsidRPr="00CE50E8">
        <w:rPr>
          <w:rFonts w:ascii="Times New Roman" w:eastAsia="Calibri" w:hAnsi="Times New Roman" w:cs="Times New Roman"/>
          <w:sz w:val="24"/>
          <w:szCs w:val="24"/>
        </w:rPr>
        <w:t xml:space="preserve"> faktorov</w:t>
      </w:r>
      <w:r w:rsidR="00585DC2" w:rsidRPr="00CE50E8">
        <w:rPr>
          <w:rFonts w:ascii="Times New Roman" w:eastAsia="Calibri" w:hAnsi="Times New Roman" w:cs="Times New Roman"/>
          <w:sz w:val="24"/>
          <w:szCs w:val="24"/>
        </w:rPr>
        <w:t xml:space="preserve"> a</w:t>
      </w:r>
      <w:r w:rsidR="00035279" w:rsidRPr="00CE50E8">
        <w:rPr>
          <w:rFonts w:ascii="Times New Roman" w:eastAsia="Calibri" w:hAnsi="Times New Roman" w:cs="Times New Roman"/>
          <w:sz w:val="24"/>
          <w:szCs w:val="24"/>
        </w:rPr>
        <w:t>lebo</w:t>
      </w:r>
      <w:r w:rsidRPr="00CE50E8">
        <w:rPr>
          <w:rFonts w:ascii="Times New Roman" w:eastAsia="Calibri" w:hAnsi="Times New Roman" w:cs="Times New Roman"/>
          <w:sz w:val="24"/>
          <w:szCs w:val="24"/>
        </w:rPr>
        <w:t xml:space="preserve"> reprodukčne toxických faktorov v jednotlivých odvetviach hospodárstva. </w:t>
      </w:r>
    </w:p>
    <w:p w:rsidR="00360193" w:rsidRPr="00CE50E8" w:rsidRDefault="00360193" w:rsidP="00360193">
      <w:pPr>
        <w:spacing w:after="0" w:line="276" w:lineRule="auto"/>
        <w:jc w:val="both"/>
        <w:rPr>
          <w:rFonts w:ascii="Times New Roman" w:eastAsia="Calibri" w:hAnsi="Times New Roman" w:cs="Times New Roman"/>
          <w:sz w:val="24"/>
          <w:szCs w:val="24"/>
        </w:rPr>
      </w:pPr>
    </w:p>
    <w:p w:rsidR="00054C41" w:rsidRPr="00CE50E8" w:rsidRDefault="00054C41" w:rsidP="00054C41">
      <w:pPr>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3.1 Náklady regulácie</w:t>
      </w:r>
    </w:p>
    <w:p w:rsidR="00054C41" w:rsidRPr="00CE50E8" w:rsidRDefault="00054C41" w:rsidP="00C21399">
      <w:pPr>
        <w:tabs>
          <w:tab w:val="left" w:pos="8025"/>
        </w:tabs>
        <w:rPr>
          <w:rFonts w:ascii="Times New Roman" w:eastAsia="Calibri" w:hAnsi="Times New Roman" w:cs="Times New Roman"/>
          <w:bCs/>
          <w:i/>
          <w:iCs/>
          <w:sz w:val="24"/>
          <w:szCs w:val="24"/>
        </w:rPr>
      </w:pPr>
      <w:r w:rsidRPr="00CE50E8">
        <w:rPr>
          <w:rFonts w:ascii="Times New Roman" w:eastAsia="Calibri" w:hAnsi="Times New Roman" w:cs="Times New Roman"/>
          <w:b/>
          <w:i/>
          <w:iCs/>
          <w:sz w:val="24"/>
          <w:szCs w:val="24"/>
        </w:rPr>
        <w:t xml:space="preserve">3.1.1 Súhrnná tabuľka nákladov regulácie </w:t>
      </w:r>
      <w:r w:rsidR="00C21399" w:rsidRPr="00CE50E8">
        <w:rPr>
          <w:rFonts w:ascii="Times New Roman" w:eastAsia="Calibri" w:hAnsi="Times New Roman" w:cs="Times New Roman"/>
          <w:b/>
          <w:i/>
          <w:iCs/>
          <w:sz w:val="24"/>
          <w:szCs w:val="24"/>
        </w:rPr>
        <w:tab/>
      </w:r>
    </w:p>
    <w:p w:rsidR="00054C41" w:rsidRPr="00CE50E8" w:rsidRDefault="00054C41" w:rsidP="00054C41">
      <w:pPr>
        <w:spacing w:after="0"/>
        <w:jc w:val="both"/>
        <w:rPr>
          <w:rFonts w:ascii="Times New Roman" w:eastAsia="Calibri" w:hAnsi="Times New Roman" w:cs="Times New Roman"/>
          <w:b/>
          <w:sz w:val="24"/>
          <w:szCs w:val="24"/>
        </w:rPr>
      </w:pPr>
    </w:p>
    <w:p w:rsidR="00054C41" w:rsidRPr="00CE50E8" w:rsidRDefault="00054C41" w:rsidP="00054C41">
      <w:pPr>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054C41" w:rsidRPr="00CE50E8" w:rsidRDefault="00054C41" w:rsidP="00054C41">
      <w:pPr>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CE50E8">
          <w:rPr>
            <w:rFonts w:ascii="Times New Roman" w:eastAsia="Calibri" w:hAnsi="Times New Roman" w:cs="Times New Roman"/>
            <w:i/>
            <w:sz w:val="24"/>
            <w:szCs w:val="24"/>
            <w:u w:val="single"/>
          </w:rPr>
          <w:t>webovom sídle MH SR</w:t>
        </w:r>
      </w:hyperlink>
      <w:r w:rsidRPr="00CE50E8">
        <w:rPr>
          <w:rFonts w:ascii="Times New Roman" w:eastAsia="Calibri" w:hAnsi="Times New Roman" w:cs="Times New Roman"/>
          <w:i/>
          <w:sz w:val="24"/>
          <w:szCs w:val="24"/>
        </w:rPr>
        <w:t>, (ďalej len „Kalkulačka nákladov“):</w:t>
      </w:r>
    </w:p>
    <w:p w:rsidR="00054C41" w:rsidRPr="00CE50E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CE50E8" w:rsidRPr="00CE50E8" w:rsidTr="00142154">
        <w:tc>
          <w:tcPr>
            <w:tcW w:w="3681" w:type="dxa"/>
          </w:tcPr>
          <w:p w:rsidR="00054C41" w:rsidRPr="00CE50E8" w:rsidRDefault="00054C41" w:rsidP="00142154">
            <w:pPr>
              <w:rPr>
                <w:rFonts w:ascii="Times New Roman" w:eastAsia="Calibri" w:hAnsi="Times New Roman" w:cs="Times New Roman"/>
                <w:b/>
                <w:bCs/>
                <w:i/>
                <w:sz w:val="20"/>
              </w:rPr>
            </w:pPr>
            <w:r w:rsidRPr="00CE50E8">
              <w:rPr>
                <w:rFonts w:ascii="Times New Roman" w:eastAsia="Calibri" w:hAnsi="Times New Roman" w:cs="Times New Roman"/>
                <w:b/>
                <w:bCs/>
                <w:i/>
                <w:sz w:val="20"/>
              </w:rPr>
              <w:t>TYP NÁKLADOV</w:t>
            </w:r>
          </w:p>
        </w:tc>
        <w:tc>
          <w:tcPr>
            <w:tcW w:w="2693" w:type="dxa"/>
            <w:shd w:val="clear" w:color="auto" w:fill="FFC000"/>
          </w:tcPr>
          <w:p w:rsidR="00054C41" w:rsidRPr="00CE50E8" w:rsidRDefault="00054C41" w:rsidP="00142154">
            <w:pPr>
              <w:jc w:val="center"/>
              <w:rPr>
                <w:rFonts w:ascii="Times New Roman" w:eastAsia="Calibri" w:hAnsi="Times New Roman" w:cs="Times New Roman"/>
                <w:i/>
                <w:sz w:val="20"/>
              </w:rPr>
            </w:pPr>
            <w:r w:rsidRPr="00CE50E8">
              <w:rPr>
                <w:rFonts w:ascii="Times New Roman" w:eastAsia="Calibri" w:hAnsi="Times New Roman" w:cs="Times New Roman"/>
                <w:b/>
                <w:bCs/>
                <w:sz w:val="20"/>
              </w:rPr>
              <w:t>Zvýšenie nákladov v € na PP</w:t>
            </w:r>
          </w:p>
        </w:tc>
        <w:tc>
          <w:tcPr>
            <w:tcW w:w="2693" w:type="dxa"/>
            <w:shd w:val="clear" w:color="auto" w:fill="92D050"/>
          </w:tcPr>
          <w:p w:rsidR="00054C41" w:rsidRPr="00CE50E8" w:rsidRDefault="00054C41" w:rsidP="00142154">
            <w:pPr>
              <w:jc w:val="center"/>
              <w:rPr>
                <w:rFonts w:ascii="Times New Roman" w:eastAsia="Calibri" w:hAnsi="Times New Roman" w:cs="Times New Roman"/>
                <w:b/>
                <w:bCs/>
                <w:sz w:val="20"/>
              </w:rPr>
            </w:pPr>
            <w:r w:rsidRPr="00CE50E8">
              <w:rPr>
                <w:rFonts w:ascii="Times New Roman" w:eastAsia="Calibri" w:hAnsi="Times New Roman" w:cs="Times New Roman"/>
                <w:b/>
                <w:bCs/>
                <w:sz w:val="20"/>
              </w:rPr>
              <w:t>Zníženie nákladov v € na PP</w:t>
            </w:r>
          </w:p>
        </w:tc>
      </w:tr>
      <w:tr w:rsidR="00CE50E8" w:rsidRPr="00CE50E8" w:rsidTr="00130752">
        <w:trPr>
          <w:trHeight w:val="227"/>
        </w:trPr>
        <w:tc>
          <w:tcPr>
            <w:tcW w:w="3681" w:type="dxa"/>
          </w:tcPr>
          <w:p w:rsidR="003802B2" w:rsidRPr="00CE50E8" w:rsidRDefault="003802B2" w:rsidP="003802B2">
            <w:pPr>
              <w:rPr>
                <w:rFonts w:ascii="Times New Roman" w:eastAsia="Calibri" w:hAnsi="Times New Roman" w:cs="Times New Roman"/>
                <w:i/>
                <w:iCs/>
                <w:sz w:val="20"/>
              </w:rPr>
            </w:pPr>
            <w:r w:rsidRPr="00CE50E8">
              <w:rPr>
                <w:rFonts w:ascii="Times New Roman" w:eastAsia="Calibri" w:hAnsi="Times New Roman" w:cs="Times New Roman"/>
                <w:i/>
                <w:iCs/>
                <w:sz w:val="20"/>
              </w:rPr>
              <w:t>A. Dane, odvody, clá a poplatky</w:t>
            </w:r>
            <w:r w:rsidRPr="00CE50E8">
              <w:rPr>
                <w:rFonts w:ascii="Times New Roman" w:hAnsi="Times New Roman" w:cs="Times New Roman"/>
                <w:sz w:val="24"/>
                <w:szCs w:val="24"/>
              </w:rPr>
              <w:t>,</w:t>
            </w:r>
            <w:r w:rsidRPr="00CE50E8">
              <w:rPr>
                <w:rFonts w:ascii="Times New Roman" w:hAnsi="Times New Roman" w:cs="Times New Roman"/>
                <w:b/>
                <w:bCs/>
                <w:sz w:val="24"/>
                <w:szCs w:val="24"/>
              </w:rPr>
              <w:t xml:space="preserve"> </w:t>
            </w:r>
            <w:r w:rsidRPr="00CE50E8">
              <w:rPr>
                <w:rFonts w:ascii="Times New Roman" w:eastAsia="Calibri" w:hAnsi="Times New Roman" w:cs="Times New Roman"/>
                <w:i/>
                <w:iCs/>
                <w:sz w:val="20"/>
              </w:rPr>
              <w:t>ktorých cieľom je znižovať negatívne externality</w:t>
            </w:r>
          </w:p>
        </w:tc>
        <w:tc>
          <w:tcPr>
            <w:tcW w:w="2693" w:type="dxa"/>
            <w:shd w:val="clear" w:color="auto" w:fill="FFC000"/>
          </w:tcPr>
          <w:p w:rsidR="003802B2" w:rsidRPr="00CE50E8" w:rsidRDefault="003802B2" w:rsidP="003802B2">
            <w:pPr>
              <w:jc w:val="center"/>
              <w:rPr>
                <w:rFonts w:ascii="Times New Roman" w:eastAsia="Calibri" w:hAnsi="Times New Roman" w:cs="Times New Roman"/>
                <w:i/>
                <w:iCs/>
                <w:sz w:val="20"/>
                <w:szCs w:val="20"/>
              </w:rPr>
            </w:pPr>
            <w:r w:rsidRPr="00CE50E8">
              <w:rPr>
                <w:rFonts w:ascii="Times New Roman" w:hAnsi="Times New Roman" w:cs="Times New Roman"/>
                <w:i/>
                <w:iCs/>
                <w:sz w:val="20"/>
                <w:szCs w:val="20"/>
              </w:rPr>
              <w:t>0</w:t>
            </w:r>
          </w:p>
        </w:tc>
        <w:tc>
          <w:tcPr>
            <w:tcW w:w="2693" w:type="dxa"/>
            <w:shd w:val="clear" w:color="auto" w:fill="92D050"/>
          </w:tcPr>
          <w:p w:rsidR="003802B2" w:rsidRPr="00CE50E8" w:rsidRDefault="003802B2" w:rsidP="003802B2">
            <w:pPr>
              <w:jc w:val="center"/>
              <w:rPr>
                <w:rFonts w:ascii="Times New Roman" w:eastAsia="Calibri" w:hAnsi="Times New Roman" w:cs="Times New Roman"/>
                <w:i/>
                <w:sz w:val="20"/>
              </w:rPr>
            </w:pPr>
            <w:r w:rsidRPr="00CE50E8">
              <w:rPr>
                <w:rFonts w:ascii="Times New Roman" w:eastAsia="Calibri" w:hAnsi="Times New Roman" w:cs="Times New Roman"/>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i/>
                <w:sz w:val="20"/>
              </w:rPr>
            </w:pPr>
            <w:r w:rsidRPr="00CE50E8">
              <w:rPr>
                <w:rFonts w:ascii="Times New Roman" w:eastAsia="Calibri" w:hAnsi="Times New Roman" w:cs="Times New Roman"/>
                <w:i/>
                <w:sz w:val="20"/>
              </w:rPr>
              <w:t>B. Iné poplatky</w:t>
            </w:r>
          </w:p>
        </w:tc>
        <w:tc>
          <w:tcPr>
            <w:tcW w:w="2693" w:type="dxa"/>
            <w:shd w:val="clear" w:color="auto" w:fill="FFC000"/>
          </w:tcPr>
          <w:p w:rsidR="003802B2" w:rsidRPr="00CE50E8" w:rsidRDefault="003802B2" w:rsidP="003802B2">
            <w:pPr>
              <w:jc w:val="center"/>
              <w:rPr>
                <w:rFonts w:ascii="Times New Roman" w:eastAsia="Calibri" w:hAnsi="Times New Roman" w:cs="Times New Roman"/>
                <w:i/>
                <w:iCs/>
                <w:sz w:val="20"/>
                <w:szCs w:val="20"/>
              </w:rPr>
            </w:pPr>
            <w:r w:rsidRPr="00CE50E8">
              <w:rPr>
                <w:rFonts w:ascii="Times New Roman" w:hAnsi="Times New Roman" w:cs="Times New Roman"/>
                <w:i/>
                <w:iCs/>
                <w:sz w:val="20"/>
                <w:szCs w:val="20"/>
              </w:rPr>
              <w:t>0</w:t>
            </w:r>
          </w:p>
        </w:tc>
        <w:tc>
          <w:tcPr>
            <w:tcW w:w="2693" w:type="dxa"/>
            <w:shd w:val="clear" w:color="auto" w:fill="92D050"/>
          </w:tcPr>
          <w:p w:rsidR="003802B2" w:rsidRPr="00CE50E8" w:rsidRDefault="003802B2" w:rsidP="003802B2">
            <w:pPr>
              <w:jc w:val="center"/>
              <w:rPr>
                <w:rFonts w:ascii="Times New Roman" w:eastAsia="Calibri" w:hAnsi="Times New Roman" w:cs="Times New Roman"/>
                <w:i/>
                <w:sz w:val="20"/>
              </w:rPr>
            </w:pPr>
            <w:r w:rsidRPr="00CE50E8">
              <w:rPr>
                <w:rFonts w:ascii="Times New Roman" w:eastAsia="Calibri" w:hAnsi="Times New Roman" w:cs="Times New Roman"/>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i/>
                <w:sz w:val="20"/>
              </w:rPr>
            </w:pPr>
            <w:r w:rsidRPr="00CE50E8">
              <w:rPr>
                <w:rFonts w:ascii="Times New Roman" w:eastAsia="Calibri" w:hAnsi="Times New Roman" w:cs="Times New Roman"/>
                <w:i/>
                <w:sz w:val="20"/>
              </w:rPr>
              <w:t>C. Nepriame finančné náklady</w:t>
            </w:r>
          </w:p>
        </w:tc>
        <w:tc>
          <w:tcPr>
            <w:tcW w:w="2693" w:type="dxa"/>
            <w:shd w:val="clear" w:color="auto" w:fill="FFC000"/>
          </w:tcPr>
          <w:p w:rsidR="003802B2" w:rsidRPr="00CE50E8" w:rsidRDefault="003802B2" w:rsidP="003802B2">
            <w:pPr>
              <w:jc w:val="center"/>
              <w:rPr>
                <w:rFonts w:ascii="Times New Roman" w:eastAsia="Calibri" w:hAnsi="Times New Roman" w:cs="Times New Roman"/>
                <w:i/>
                <w:iCs/>
                <w:sz w:val="20"/>
                <w:szCs w:val="20"/>
              </w:rPr>
            </w:pPr>
            <w:r w:rsidRPr="00CE50E8">
              <w:rPr>
                <w:rFonts w:ascii="Times New Roman" w:hAnsi="Times New Roman" w:cs="Times New Roman"/>
                <w:i/>
                <w:iCs/>
                <w:sz w:val="20"/>
                <w:szCs w:val="20"/>
              </w:rPr>
              <w:t>4 449</w:t>
            </w:r>
          </w:p>
        </w:tc>
        <w:tc>
          <w:tcPr>
            <w:tcW w:w="2693" w:type="dxa"/>
            <w:shd w:val="clear" w:color="auto" w:fill="92D050"/>
          </w:tcPr>
          <w:p w:rsidR="003802B2" w:rsidRPr="00CE50E8" w:rsidRDefault="003802B2" w:rsidP="003802B2">
            <w:pPr>
              <w:jc w:val="center"/>
              <w:rPr>
                <w:rFonts w:ascii="Times New Roman" w:eastAsia="Calibri" w:hAnsi="Times New Roman" w:cs="Times New Roman"/>
                <w:i/>
                <w:sz w:val="20"/>
              </w:rPr>
            </w:pPr>
            <w:r w:rsidRPr="00CE50E8">
              <w:rPr>
                <w:rFonts w:ascii="Times New Roman" w:eastAsia="Calibri" w:hAnsi="Times New Roman" w:cs="Times New Roman"/>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i/>
                <w:sz w:val="20"/>
              </w:rPr>
            </w:pPr>
            <w:r w:rsidRPr="00CE50E8">
              <w:rPr>
                <w:rFonts w:ascii="Times New Roman" w:eastAsia="Calibri" w:hAnsi="Times New Roman" w:cs="Times New Roman"/>
                <w:i/>
                <w:sz w:val="20"/>
              </w:rPr>
              <w:t>D. Administratívne náklady</w:t>
            </w:r>
          </w:p>
        </w:tc>
        <w:tc>
          <w:tcPr>
            <w:tcW w:w="2693" w:type="dxa"/>
            <w:shd w:val="clear" w:color="auto" w:fill="FFC000"/>
          </w:tcPr>
          <w:p w:rsidR="003802B2" w:rsidRPr="00CE50E8" w:rsidRDefault="003802B2" w:rsidP="003802B2">
            <w:pPr>
              <w:jc w:val="center"/>
              <w:rPr>
                <w:rFonts w:ascii="Times New Roman" w:eastAsia="Calibri" w:hAnsi="Times New Roman" w:cs="Times New Roman"/>
                <w:i/>
                <w:iCs/>
                <w:sz w:val="20"/>
                <w:szCs w:val="20"/>
              </w:rPr>
            </w:pPr>
            <w:r w:rsidRPr="00CE50E8">
              <w:rPr>
                <w:rFonts w:ascii="Times New Roman" w:hAnsi="Times New Roman" w:cs="Times New Roman"/>
                <w:i/>
                <w:iCs/>
                <w:sz w:val="20"/>
                <w:szCs w:val="20"/>
              </w:rPr>
              <w:t>234</w:t>
            </w:r>
          </w:p>
        </w:tc>
        <w:tc>
          <w:tcPr>
            <w:tcW w:w="2693" w:type="dxa"/>
            <w:shd w:val="clear" w:color="auto" w:fill="92D050"/>
          </w:tcPr>
          <w:p w:rsidR="003802B2" w:rsidRPr="00CE50E8" w:rsidRDefault="003802B2" w:rsidP="003802B2">
            <w:pPr>
              <w:jc w:val="center"/>
              <w:rPr>
                <w:rFonts w:ascii="Times New Roman" w:eastAsia="Calibri" w:hAnsi="Times New Roman" w:cs="Times New Roman"/>
                <w:i/>
                <w:sz w:val="20"/>
              </w:rPr>
            </w:pPr>
            <w:r w:rsidRPr="00CE50E8">
              <w:rPr>
                <w:rFonts w:ascii="Times New Roman" w:eastAsia="Calibri" w:hAnsi="Times New Roman" w:cs="Times New Roman"/>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b/>
                <w:i/>
                <w:sz w:val="20"/>
              </w:rPr>
            </w:pPr>
            <w:r w:rsidRPr="00CE50E8">
              <w:rPr>
                <w:rFonts w:ascii="Times New Roman" w:eastAsia="Calibri" w:hAnsi="Times New Roman" w:cs="Times New Roman"/>
                <w:b/>
                <w:i/>
                <w:sz w:val="20"/>
              </w:rPr>
              <w:t>Spolu = A+B+C+D</w:t>
            </w:r>
          </w:p>
        </w:tc>
        <w:tc>
          <w:tcPr>
            <w:tcW w:w="2693" w:type="dxa"/>
            <w:shd w:val="clear" w:color="auto" w:fill="FFC000"/>
          </w:tcPr>
          <w:p w:rsidR="003802B2" w:rsidRPr="00CE50E8" w:rsidRDefault="003802B2" w:rsidP="003802B2">
            <w:pPr>
              <w:jc w:val="center"/>
              <w:rPr>
                <w:rFonts w:ascii="Times New Roman" w:eastAsia="Calibri" w:hAnsi="Times New Roman" w:cs="Times New Roman"/>
                <w:b/>
                <w:i/>
                <w:iCs/>
                <w:sz w:val="20"/>
                <w:szCs w:val="20"/>
              </w:rPr>
            </w:pPr>
            <w:r w:rsidRPr="00CE50E8">
              <w:rPr>
                <w:rFonts w:ascii="Times New Roman" w:hAnsi="Times New Roman" w:cs="Times New Roman"/>
                <w:i/>
                <w:iCs/>
                <w:sz w:val="20"/>
                <w:szCs w:val="20"/>
              </w:rPr>
              <w:t>4 683</w:t>
            </w:r>
          </w:p>
        </w:tc>
        <w:tc>
          <w:tcPr>
            <w:tcW w:w="2693" w:type="dxa"/>
            <w:shd w:val="clear" w:color="auto" w:fill="92D050"/>
          </w:tcPr>
          <w:p w:rsidR="003802B2" w:rsidRPr="00CE50E8" w:rsidRDefault="003802B2" w:rsidP="003802B2">
            <w:pPr>
              <w:jc w:val="center"/>
              <w:rPr>
                <w:rFonts w:ascii="Times New Roman" w:eastAsia="Calibri" w:hAnsi="Times New Roman" w:cs="Times New Roman"/>
                <w:b/>
                <w:i/>
                <w:sz w:val="20"/>
              </w:rPr>
            </w:pPr>
            <w:r w:rsidRPr="00CE50E8">
              <w:rPr>
                <w:rFonts w:ascii="Times New Roman" w:eastAsia="Calibri" w:hAnsi="Times New Roman" w:cs="Times New Roman"/>
                <w:b/>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b/>
                <w:i/>
                <w:sz w:val="20"/>
              </w:rPr>
            </w:pPr>
            <w:r w:rsidRPr="00CE50E8">
              <w:rPr>
                <w:rFonts w:ascii="Times New Roman" w:eastAsia="Calibri" w:hAnsi="Times New Roman" w:cs="Times New Roman"/>
                <w:b/>
                <w:i/>
                <w:sz w:val="20"/>
              </w:rPr>
              <w:t xml:space="preserve"> z toho</w:t>
            </w:r>
          </w:p>
        </w:tc>
        <w:tc>
          <w:tcPr>
            <w:tcW w:w="2693" w:type="dxa"/>
            <w:shd w:val="clear" w:color="auto" w:fill="FFC000"/>
          </w:tcPr>
          <w:p w:rsidR="003802B2" w:rsidRPr="00CE50E8" w:rsidRDefault="003802B2" w:rsidP="003802B2">
            <w:pPr>
              <w:jc w:val="center"/>
              <w:rPr>
                <w:rFonts w:ascii="Times New Roman" w:eastAsia="Calibri" w:hAnsi="Times New Roman" w:cs="Times New Roman"/>
                <w:b/>
                <w:i/>
                <w:iCs/>
                <w:sz w:val="20"/>
                <w:szCs w:val="20"/>
              </w:rPr>
            </w:pPr>
          </w:p>
        </w:tc>
        <w:tc>
          <w:tcPr>
            <w:tcW w:w="2693" w:type="dxa"/>
            <w:shd w:val="clear" w:color="auto" w:fill="92D050"/>
          </w:tcPr>
          <w:p w:rsidR="003802B2" w:rsidRPr="00CE50E8" w:rsidRDefault="003802B2" w:rsidP="003802B2">
            <w:pPr>
              <w:jc w:val="center"/>
              <w:rPr>
                <w:rFonts w:ascii="Times New Roman" w:eastAsia="Calibri" w:hAnsi="Times New Roman" w:cs="Times New Roman"/>
                <w:b/>
                <w:i/>
                <w:sz w:val="20"/>
              </w:rPr>
            </w:pPr>
          </w:p>
        </w:tc>
      </w:tr>
      <w:tr w:rsidR="00CE50E8" w:rsidRPr="00CE50E8" w:rsidTr="00130752">
        <w:tc>
          <w:tcPr>
            <w:tcW w:w="3681" w:type="dxa"/>
          </w:tcPr>
          <w:p w:rsidR="003802B2" w:rsidRPr="00CE50E8" w:rsidRDefault="003802B2" w:rsidP="003802B2">
            <w:pPr>
              <w:rPr>
                <w:rFonts w:ascii="Times New Roman" w:eastAsia="Calibri" w:hAnsi="Times New Roman" w:cs="Times New Roman"/>
                <w:i/>
                <w:sz w:val="20"/>
              </w:rPr>
            </w:pPr>
            <w:r w:rsidRPr="00CE50E8">
              <w:rPr>
                <w:rFonts w:ascii="Times New Roman" w:eastAsia="Calibri" w:hAnsi="Times New Roman" w:cs="Times New Roman"/>
                <w:i/>
                <w:sz w:val="20"/>
              </w:rPr>
              <w:t>E. Vplyv na mikro, malé a stredné podniky</w:t>
            </w:r>
          </w:p>
        </w:tc>
        <w:tc>
          <w:tcPr>
            <w:tcW w:w="2693" w:type="dxa"/>
            <w:shd w:val="clear" w:color="auto" w:fill="FFC000"/>
          </w:tcPr>
          <w:p w:rsidR="003802B2" w:rsidRPr="00CE50E8" w:rsidRDefault="003802B2" w:rsidP="003802B2">
            <w:pPr>
              <w:jc w:val="center"/>
              <w:rPr>
                <w:rFonts w:ascii="Times New Roman" w:eastAsia="Calibri" w:hAnsi="Times New Roman" w:cs="Times New Roman"/>
                <w:b/>
                <w:i/>
                <w:iCs/>
                <w:sz w:val="20"/>
                <w:szCs w:val="20"/>
              </w:rPr>
            </w:pPr>
            <w:r w:rsidRPr="00CE50E8">
              <w:rPr>
                <w:rFonts w:ascii="Times New Roman" w:hAnsi="Times New Roman" w:cs="Times New Roman"/>
                <w:i/>
                <w:iCs/>
                <w:sz w:val="20"/>
                <w:szCs w:val="20"/>
              </w:rPr>
              <w:t>0</w:t>
            </w:r>
          </w:p>
        </w:tc>
        <w:tc>
          <w:tcPr>
            <w:tcW w:w="2693" w:type="dxa"/>
            <w:shd w:val="clear" w:color="auto" w:fill="92D050"/>
          </w:tcPr>
          <w:p w:rsidR="003802B2" w:rsidRPr="00CE50E8" w:rsidRDefault="003802B2" w:rsidP="003802B2">
            <w:pPr>
              <w:jc w:val="center"/>
              <w:rPr>
                <w:rFonts w:ascii="Times New Roman" w:eastAsia="Calibri" w:hAnsi="Times New Roman" w:cs="Times New Roman"/>
                <w:b/>
                <w:i/>
                <w:sz w:val="20"/>
              </w:rPr>
            </w:pPr>
            <w:r w:rsidRPr="00CE50E8">
              <w:rPr>
                <w:rFonts w:ascii="Times New Roman" w:eastAsia="Calibri" w:hAnsi="Times New Roman" w:cs="Times New Roman"/>
                <w:i/>
                <w:sz w:val="20"/>
              </w:rPr>
              <w:t>0</w:t>
            </w:r>
          </w:p>
        </w:tc>
      </w:tr>
      <w:tr w:rsidR="00CE50E8" w:rsidRPr="00CE50E8" w:rsidTr="00130752">
        <w:tc>
          <w:tcPr>
            <w:tcW w:w="3681" w:type="dxa"/>
          </w:tcPr>
          <w:p w:rsidR="003802B2" w:rsidRPr="00CE50E8" w:rsidRDefault="003802B2" w:rsidP="003802B2">
            <w:pPr>
              <w:rPr>
                <w:rFonts w:ascii="Times New Roman" w:eastAsia="Calibri" w:hAnsi="Times New Roman" w:cs="Times New Roman"/>
                <w:i/>
                <w:sz w:val="20"/>
              </w:rPr>
            </w:pPr>
            <w:r w:rsidRPr="00CE50E8">
              <w:rPr>
                <w:rFonts w:ascii="Times New Roman" w:eastAsia="Calibri" w:hAnsi="Times New Roman" w:cs="Times New Roman"/>
                <w:i/>
                <w:sz w:val="20"/>
              </w:rPr>
              <w:t>F. Úplná harmonizácia práva EÚ</w:t>
            </w:r>
          </w:p>
        </w:tc>
        <w:tc>
          <w:tcPr>
            <w:tcW w:w="2693" w:type="dxa"/>
            <w:shd w:val="clear" w:color="auto" w:fill="FFC000"/>
          </w:tcPr>
          <w:p w:rsidR="003802B2" w:rsidRPr="00CE50E8" w:rsidRDefault="003802B2" w:rsidP="003802B2">
            <w:pPr>
              <w:jc w:val="center"/>
              <w:rPr>
                <w:rFonts w:ascii="Times New Roman" w:eastAsia="Calibri" w:hAnsi="Times New Roman" w:cs="Times New Roman"/>
                <w:b/>
                <w:i/>
                <w:iCs/>
                <w:sz w:val="20"/>
                <w:szCs w:val="20"/>
              </w:rPr>
            </w:pPr>
            <w:r w:rsidRPr="00CE50E8">
              <w:rPr>
                <w:rFonts w:ascii="Times New Roman" w:hAnsi="Times New Roman" w:cs="Times New Roman"/>
                <w:i/>
                <w:iCs/>
                <w:sz w:val="20"/>
                <w:szCs w:val="20"/>
              </w:rPr>
              <w:t>4 683</w:t>
            </w:r>
          </w:p>
        </w:tc>
        <w:tc>
          <w:tcPr>
            <w:tcW w:w="2693" w:type="dxa"/>
            <w:shd w:val="clear" w:color="auto" w:fill="92D050"/>
          </w:tcPr>
          <w:p w:rsidR="003802B2" w:rsidRPr="00CE50E8" w:rsidRDefault="003802B2" w:rsidP="003802B2">
            <w:pPr>
              <w:jc w:val="center"/>
              <w:rPr>
                <w:rFonts w:ascii="Times New Roman" w:eastAsia="Calibri" w:hAnsi="Times New Roman" w:cs="Times New Roman"/>
                <w:b/>
                <w:i/>
                <w:sz w:val="20"/>
              </w:rPr>
            </w:pPr>
            <w:r w:rsidRPr="00CE50E8">
              <w:rPr>
                <w:rFonts w:ascii="Times New Roman" w:eastAsia="Calibri" w:hAnsi="Times New Roman" w:cs="Times New Roman"/>
                <w:i/>
                <w:sz w:val="20"/>
              </w:rPr>
              <w:t>0</w:t>
            </w:r>
          </w:p>
        </w:tc>
      </w:tr>
      <w:tr w:rsidR="00CE50E8" w:rsidRPr="00CE50E8" w:rsidTr="00142154">
        <w:tc>
          <w:tcPr>
            <w:tcW w:w="9067" w:type="dxa"/>
            <w:gridSpan w:val="3"/>
            <w:shd w:val="clear" w:color="auto" w:fill="auto"/>
          </w:tcPr>
          <w:p w:rsidR="00054C41" w:rsidRPr="00CE50E8" w:rsidRDefault="00054C41" w:rsidP="00142154">
            <w:pPr>
              <w:jc w:val="center"/>
              <w:rPr>
                <w:rFonts w:ascii="Times New Roman" w:eastAsia="Calibri" w:hAnsi="Times New Roman" w:cs="Times New Roman"/>
                <w:b/>
                <w:bCs/>
                <w:i/>
                <w:sz w:val="20"/>
              </w:rPr>
            </w:pPr>
          </w:p>
        </w:tc>
      </w:tr>
      <w:tr w:rsidR="00CE50E8" w:rsidRPr="00CE50E8" w:rsidTr="00142154">
        <w:tc>
          <w:tcPr>
            <w:tcW w:w="3681" w:type="dxa"/>
          </w:tcPr>
          <w:p w:rsidR="00054C41" w:rsidRPr="00CE50E8" w:rsidRDefault="00054C41" w:rsidP="00142154">
            <w:pPr>
              <w:rPr>
                <w:rFonts w:ascii="Times New Roman" w:eastAsia="Calibri" w:hAnsi="Times New Roman" w:cs="Times New Roman"/>
                <w:b/>
                <w:i/>
                <w:sz w:val="20"/>
              </w:rPr>
            </w:pPr>
            <w:r w:rsidRPr="00CE50E8">
              <w:rPr>
                <w:rFonts w:ascii="Times New Roman" w:eastAsia="Calibri" w:hAnsi="Times New Roman" w:cs="Times New Roman"/>
                <w:b/>
                <w:bCs/>
                <w:i/>
                <w:sz w:val="20"/>
              </w:rPr>
              <w:t>VÝPOČET mechanizmu znižovania byrokracie a</w:t>
            </w:r>
            <w:r w:rsidR="00E030DA" w:rsidRPr="00CE50E8">
              <w:rPr>
                <w:rFonts w:ascii="Times New Roman" w:eastAsia="Calibri" w:hAnsi="Times New Roman" w:cs="Times New Roman"/>
                <w:b/>
                <w:bCs/>
                <w:i/>
                <w:sz w:val="20"/>
              </w:rPr>
              <w:t> </w:t>
            </w:r>
            <w:r w:rsidRPr="00CE50E8">
              <w:rPr>
                <w:rFonts w:ascii="Times New Roman" w:eastAsia="Calibri" w:hAnsi="Times New Roman" w:cs="Times New Roman"/>
                <w:b/>
                <w:bCs/>
                <w:i/>
                <w:sz w:val="20"/>
              </w:rPr>
              <w:t>nákladov</w:t>
            </w:r>
          </w:p>
        </w:tc>
        <w:tc>
          <w:tcPr>
            <w:tcW w:w="2693" w:type="dxa"/>
            <w:shd w:val="clear" w:color="auto" w:fill="FFC000"/>
          </w:tcPr>
          <w:p w:rsidR="00054C41" w:rsidRPr="00CE50E8" w:rsidRDefault="00054C41" w:rsidP="00142154">
            <w:pPr>
              <w:jc w:val="center"/>
              <w:rPr>
                <w:rFonts w:ascii="Times New Roman" w:eastAsia="Calibri" w:hAnsi="Times New Roman" w:cs="Times New Roman"/>
                <w:b/>
                <w:bCs/>
                <w:i/>
                <w:sz w:val="20"/>
              </w:rPr>
            </w:pPr>
            <w:r w:rsidRPr="00CE50E8">
              <w:rPr>
                <w:rFonts w:ascii="Times New Roman" w:eastAsia="Calibri" w:hAnsi="Times New Roman" w:cs="Times New Roman"/>
                <w:b/>
                <w:bCs/>
                <w:i/>
                <w:sz w:val="20"/>
              </w:rPr>
              <w:t>IN</w:t>
            </w:r>
          </w:p>
        </w:tc>
        <w:tc>
          <w:tcPr>
            <w:tcW w:w="2693" w:type="dxa"/>
            <w:shd w:val="clear" w:color="auto" w:fill="92D050"/>
          </w:tcPr>
          <w:p w:rsidR="00054C41" w:rsidRPr="00CE50E8" w:rsidRDefault="00054C41" w:rsidP="00142154">
            <w:pPr>
              <w:jc w:val="center"/>
              <w:rPr>
                <w:rFonts w:ascii="Times New Roman" w:eastAsia="Calibri" w:hAnsi="Times New Roman" w:cs="Times New Roman"/>
                <w:b/>
                <w:bCs/>
                <w:i/>
                <w:sz w:val="20"/>
              </w:rPr>
            </w:pPr>
            <w:r w:rsidRPr="00CE50E8">
              <w:rPr>
                <w:rFonts w:ascii="Times New Roman" w:eastAsia="Calibri" w:hAnsi="Times New Roman" w:cs="Times New Roman"/>
                <w:b/>
                <w:bCs/>
                <w:i/>
                <w:sz w:val="20"/>
              </w:rPr>
              <w:t>OUT</w:t>
            </w:r>
          </w:p>
        </w:tc>
      </w:tr>
      <w:tr w:rsidR="00CE50E8" w:rsidRPr="00CE50E8" w:rsidTr="00142154">
        <w:tc>
          <w:tcPr>
            <w:tcW w:w="3681" w:type="dxa"/>
          </w:tcPr>
          <w:p w:rsidR="00054C41" w:rsidRPr="00CE50E8" w:rsidRDefault="00054C41" w:rsidP="00142154">
            <w:pPr>
              <w:rPr>
                <w:rFonts w:ascii="Times New Roman" w:eastAsia="Calibri" w:hAnsi="Times New Roman" w:cs="Times New Roman"/>
                <w:b/>
                <w:i/>
                <w:sz w:val="20"/>
              </w:rPr>
            </w:pPr>
            <w:r w:rsidRPr="00CE50E8">
              <w:rPr>
                <w:rFonts w:ascii="Times New Roman" w:eastAsia="Calibri" w:hAnsi="Times New Roman" w:cs="Times New Roman"/>
                <w:b/>
                <w:i/>
                <w:sz w:val="20"/>
              </w:rPr>
              <w:t>G. Náklady okrem výnimiek = B+C+D-F</w:t>
            </w:r>
          </w:p>
        </w:tc>
        <w:tc>
          <w:tcPr>
            <w:tcW w:w="2693" w:type="dxa"/>
            <w:shd w:val="clear" w:color="auto" w:fill="FFC000"/>
          </w:tcPr>
          <w:p w:rsidR="00054C41" w:rsidRPr="00CE50E8" w:rsidRDefault="00054C41" w:rsidP="00142154">
            <w:pPr>
              <w:jc w:val="center"/>
              <w:rPr>
                <w:rFonts w:ascii="Times New Roman" w:eastAsia="Calibri" w:hAnsi="Times New Roman" w:cs="Times New Roman"/>
                <w:b/>
                <w:bCs/>
                <w:i/>
                <w:sz w:val="20"/>
              </w:rPr>
            </w:pPr>
            <w:r w:rsidRPr="00CE50E8">
              <w:rPr>
                <w:rFonts w:ascii="Times New Roman" w:eastAsia="Calibri" w:hAnsi="Times New Roman" w:cs="Times New Roman"/>
                <w:b/>
                <w:bCs/>
                <w:i/>
                <w:sz w:val="20"/>
              </w:rPr>
              <w:t>0</w:t>
            </w:r>
          </w:p>
        </w:tc>
        <w:tc>
          <w:tcPr>
            <w:tcW w:w="2693" w:type="dxa"/>
            <w:shd w:val="clear" w:color="auto" w:fill="92D050"/>
          </w:tcPr>
          <w:p w:rsidR="00054C41" w:rsidRPr="00CE50E8" w:rsidRDefault="00054C41" w:rsidP="00142154">
            <w:pPr>
              <w:jc w:val="center"/>
              <w:rPr>
                <w:rFonts w:ascii="Times New Roman" w:eastAsia="Calibri" w:hAnsi="Times New Roman" w:cs="Times New Roman"/>
                <w:b/>
                <w:bCs/>
                <w:i/>
                <w:sz w:val="20"/>
              </w:rPr>
            </w:pPr>
            <w:r w:rsidRPr="00CE50E8">
              <w:rPr>
                <w:rFonts w:ascii="Times New Roman" w:eastAsia="Calibri" w:hAnsi="Times New Roman" w:cs="Times New Roman"/>
                <w:b/>
                <w:bCs/>
                <w:i/>
                <w:sz w:val="20"/>
              </w:rPr>
              <w:t>0</w:t>
            </w:r>
          </w:p>
        </w:tc>
      </w:tr>
    </w:tbl>
    <w:p w:rsidR="00054C41" w:rsidRPr="00CE50E8" w:rsidRDefault="00054C41" w:rsidP="00054C41">
      <w:pPr>
        <w:spacing w:after="0"/>
        <w:rPr>
          <w:rFonts w:ascii="Times New Roman" w:eastAsia="Calibri" w:hAnsi="Times New Roman" w:cs="Times New Roman"/>
          <w:i/>
        </w:rPr>
      </w:pPr>
    </w:p>
    <w:p w:rsidR="00054C41" w:rsidRPr="00CE50E8" w:rsidRDefault="00054C41" w:rsidP="00054C41">
      <w:pPr>
        <w:rPr>
          <w:rFonts w:ascii="Times New Roman" w:eastAsia="Calibri" w:hAnsi="Times New Roman" w:cs="Times New Roman"/>
          <w:b/>
          <w:sz w:val="24"/>
          <w:szCs w:val="24"/>
        </w:rPr>
      </w:pPr>
    </w:p>
    <w:p w:rsidR="00054C41" w:rsidRPr="00CE50E8" w:rsidRDefault="00054C41" w:rsidP="00054C41">
      <w:pPr>
        <w:rPr>
          <w:rFonts w:ascii="Times New Roman" w:eastAsia="Calibri" w:hAnsi="Times New Roman" w:cs="Times New Roman"/>
          <w:b/>
          <w:sz w:val="24"/>
          <w:szCs w:val="24"/>
        </w:rPr>
        <w:sectPr w:rsidR="00054C41" w:rsidRPr="00CE50E8" w:rsidSect="00142154">
          <w:footerReference w:type="default" r:id="rId10"/>
          <w:pgSz w:w="11906" w:h="16838"/>
          <w:pgMar w:top="993" w:right="1417" w:bottom="1417" w:left="1417" w:header="708" w:footer="708" w:gutter="0"/>
          <w:pgNumType w:start="1"/>
          <w:cols w:space="708"/>
          <w:docGrid w:linePitch="360"/>
        </w:sectPr>
      </w:pPr>
    </w:p>
    <w:p w:rsidR="00054C41" w:rsidRPr="00CE50E8" w:rsidRDefault="00054C41" w:rsidP="00054C41">
      <w:pPr>
        <w:rPr>
          <w:rFonts w:ascii="Times New Roman" w:eastAsia="Calibri" w:hAnsi="Times New Roman" w:cs="Times New Roman"/>
          <w:b/>
          <w:i/>
          <w:iCs/>
          <w:sz w:val="24"/>
          <w:szCs w:val="24"/>
        </w:rPr>
      </w:pPr>
      <w:r w:rsidRPr="00CE50E8">
        <w:rPr>
          <w:rFonts w:ascii="Times New Roman" w:eastAsia="Calibri" w:hAnsi="Times New Roman" w:cs="Times New Roman"/>
          <w:b/>
          <w:i/>
          <w:iCs/>
          <w:sz w:val="24"/>
          <w:szCs w:val="24"/>
        </w:rPr>
        <w:lastRenderedPageBreak/>
        <w:t>3.1.2 Výpočty vplyvov jednotlivých regulácií na zmeny v nákladoch podnikateľov</w:t>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r w:rsidRPr="00CE50E8">
        <w:rPr>
          <w:rFonts w:ascii="Times New Roman" w:eastAsia="Calibri" w:hAnsi="Times New Roman" w:cs="Times New Roman"/>
          <w:i/>
          <w:sz w:val="24"/>
          <w:szCs w:val="24"/>
        </w:rPr>
        <w:tab/>
      </w:r>
    </w:p>
    <w:p w:rsidR="00054C41" w:rsidRPr="00CE50E8" w:rsidRDefault="00054C41" w:rsidP="00054C41">
      <w:pPr>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Tabuľka č. 2: Výpočet vplyvov jednotlivých regulácií (nahraďte rovnakou tabuľkou po vyplnení Kalkulačky nákladov):</w:t>
      </w:r>
    </w:p>
    <w:tbl>
      <w:tblPr>
        <w:tblW w:w="15450" w:type="dxa"/>
        <w:tblInd w:w="-714" w:type="dxa"/>
        <w:tblCellMar>
          <w:left w:w="70" w:type="dxa"/>
          <w:right w:w="70" w:type="dxa"/>
        </w:tblCellMar>
        <w:tblLook w:val="04A0" w:firstRow="1" w:lastRow="0" w:firstColumn="1" w:lastColumn="0" w:noHBand="0" w:noVBand="1"/>
      </w:tblPr>
      <w:tblGrid>
        <w:gridCol w:w="686"/>
        <w:gridCol w:w="2486"/>
        <w:gridCol w:w="1132"/>
        <w:gridCol w:w="1129"/>
        <w:gridCol w:w="1293"/>
        <w:gridCol w:w="969"/>
        <w:gridCol w:w="2498"/>
        <w:gridCol w:w="974"/>
        <w:gridCol w:w="974"/>
        <w:gridCol w:w="791"/>
        <w:gridCol w:w="974"/>
        <w:gridCol w:w="1398"/>
        <w:gridCol w:w="146"/>
      </w:tblGrid>
      <w:tr w:rsidR="00CE50E8" w:rsidRPr="00CE50E8" w:rsidTr="003802B2">
        <w:trPr>
          <w:gridAfter w:val="1"/>
          <w:wAfter w:w="146" w:type="dxa"/>
          <w:trHeight w:val="450"/>
        </w:trPr>
        <w:tc>
          <w:tcPr>
            <w:tcW w:w="6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P.č.</w:t>
            </w:r>
          </w:p>
        </w:tc>
        <w:tc>
          <w:tcPr>
            <w:tcW w:w="248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 xml:space="preserve">Zrozumiteľný a stručný opis regulácie </w:t>
            </w:r>
            <w:r w:rsidRPr="00CE50E8">
              <w:rPr>
                <w:rFonts w:ascii="Times New Roman" w:eastAsia="Times New Roman" w:hAnsi="Times New Roman" w:cs="Times New Roman"/>
                <w:b/>
                <w:bCs/>
                <w:sz w:val="20"/>
                <w:szCs w:val="20"/>
                <w:lang w:eastAsia="sk-SK"/>
              </w:rPr>
              <w:br/>
              <w:t>(dôvod zvýšenia/zníženia nákladov na PP)</w:t>
            </w:r>
          </w:p>
        </w:tc>
        <w:tc>
          <w:tcPr>
            <w:tcW w:w="113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Číslo normy</w:t>
            </w:r>
            <w:r w:rsidRPr="00CE50E8">
              <w:rPr>
                <w:rFonts w:ascii="Times New Roman" w:eastAsia="Times New Roman" w:hAnsi="Times New Roman" w:cs="Times New Roman"/>
                <w:b/>
                <w:bCs/>
                <w:sz w:val="20"/>
                <w:szCs w:val="20"/>
                <w:lang w:eastAsia="sk-SK"/>
              </w:rPr>
              <w:br/>
            </w:r>
            <w:r w:rsidRPr="00CE50E8">
              <w:rPr>
                <w:rFonts w:ascii="Times New Roman" w:eastAsia="Times New Roman" w:hAnsi="Times New Roman" w:cs="Times New Roman"/>
                <w:sz w:val="20"/>
                <w:szCs w:val="20"/>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Lokalizácia</w:t>
            </w:r>
            <w:r w:rsidRPr="00CE50E8">
              <w:rPr>
                <w:rFonts w:ascii="Times New Roman" w:eastAsia="Times New Roman" w:hAnsi="Times New Roman" w:cs="Times New Roman"/>
                <w:b/>
                <w:bCs/>
                <w:sz w:val="20"/>
                <w:szCs w:val="20"/>
                <w:lang w:eastAsia="sk-SK"/>
              </w:rPr>
              <w:br/>
              <w:t>(§, ods.)</w:t>
            </w:r>
          </w:p>
        </w:tc>
        <w:tc>
          <w:tcPr>
            <w:tcW w:w="12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 xml:space="preserve">Pôvod regulácie: </w:t>
            </w:r>
            <w:r w:rsidRPr="00CE50E8">
              <w:rPr>
                <w:rFonts w:ascii="Times New Roman" w:eastAsia="Times New Roman" w:hAnsi="Times New Roman" w:cs="Times New Roman"/>
                <w:b/>
                <w:bCs/>
                <w:sz w:val="20"/>
                <w:szCs w:val="20"/>
                <w:lang w:eastAsia="sk-SK"/>
              </w:rPr>
              <w:br/>
            </w:r>
            <w:r w:rsidRPr="00CE50E8">
              <w:rPr>
                <w:rFonts w:ascii="Times New Roman" w:eastAsia="Times New Roman" w:hAnsi="Times New Roman" w:cs="Times New Roman"/>
                <w:sz w:val="20"/>
                <w:szCs w:val="20"/>
                <w:lang w:eastAsia="sk-SK"/>
              </w:rPr>
              <w:t>SR/EÚ úplná harm./EÚ harm. s možnosťou voľby</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Účinnosť regulácie</w:t>
            </w:r>
          </w:p>
        </w:tc>
        <w:tc>
          <w:tcPr>
            <w:tcW w:w="24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Kategória dotk.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 xml:space="preserve">Počet subjektov spolu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Počet subjektov MSP</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Vplyv na 1 podnik. v €</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Vplyv na kategóriu dotk. subjektov v €</w:t>
            </w:r>
          </w:p>
        </w:tc>
        <w:tc>
          <w:tcPr>
            <w:tcW w:w="139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r w:rsidRPr="00CE50E8">
              <w:rPr>
                <w:rFonts w:ascii="Times New Roman" w:eastAsia="Times New Roman" w:hAnsi="Times New Roman" w:cs="Times New Roman"/>
                <w:b/>
                <w:bCs/>
                <w:sz w:val="20"/>
                <w:szCs w:val="20"/>
                <w:lang w:eastAsia="sk-SK"/>
              </w:rPr>
              <w:t>Druh vplyvu</w:t>
            </w:r>
            <w:r w:rsidRPr="00CE50E8">
              <w:rPr>
                <w:rFonts w:ascii="Times New Roman" w:eastAsia="Times New Roman" w:hAnsi="Times New Roman" w:cs="Times New Roman"/>
                <w:b/>
                <w:bCs/>
                <w:sz w:val="20"/>
                <w:szCs w:val="20"/>
                <w:lang w:eastAsia="sk-SK"/>
              </w:rPr>
              <w:br/>
            </w:r>
            <w:r w:rsidRPr="00CE50E8">
              <w:rPr>
                <w:rFonts w:ascii="Times New Roman" w:eastAsia="Times New Roman" w:hAnsi="Times New Roman" w:cs="Times New Roman"/>
                <w:sz w:val="20"/>
                <w:szCs w:val="20"/>
                <w:lang w:eastAsia="sk-SK"/>
              </w:rPr>
              <w:t xml:space="preserve">In (zvyšuje náklady) / </w:t>
            </w:r>
            <w:r w:rsidRPr="00CE50E8">
              <w:rPr>
                <w:rFonts w:ascii="Times New Roman" w:eastAsia="Times New Roman" w:hAnsi="Times New Roman" w:cs="Times New Roman"/>
                <w:sz w:val="20"/>
                <w:szCs w:val="20"/>
                <w:lang w:eastAsia="sk-SK"/>
              </w:rPr>
              <w:br/>
              <w:t>Out (znižuje náklady)</w:t>
            </w:r>
          </w:p>
        </w:tc>
      </w:tr>
      <w:tr w:rsidR="00CE50E8" w:rsidRPr="00CE50E8" w:rsidTr="003802B2">
        <w:trPr>
          <w:trHeight w:val="25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noWrap/>
            <w:vAlign w:val="bottom"/>
            <w:hideMark/>
          </w:tcPr>
          <w:p w:rsidR="00870971" w:rsidRPr="00CE50E8" w:rsidRDefault="00870971" w:rsidP="00870971">
            <w:pPr>
              <w:spacing w:after="0" w:line="240" w:lineRule="auto"/>
              <w:jc w:val="center"/>
              <w:rPr>
                <w:rFonts w:ascii="Times New Roman" w:eastAsia="Times New Roman" w:hAnsi="Times New Roman" w:cs="Times New Roman"/>
                <w:b/>
                <w:bCs/>
                <w:sz w:val="20"/>
                <w:szCs w:val="20"/>
                <w:lang w:eastAsia="sk-SK"/>
              </w:rPr>
            </w:pPr>
          </w:p>
        </w:tc>
      </w:tr>
      <w:tr w:rsidR="00CE50E8" w:rsidRPr="00CE50E8" w:rsidTr="003802B2">
        <w:trPr>
          <w:trHeight w:val="25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noWrap/>
            <w:vAlign w:val="bottom"/>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r w:rsidR="00CE50E8" w:rsidRPr="00CE50E8" w:rsidTr="003802B2">
        <w:trPr>
          <w:trHeight w:val="25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noWrap/>
            <w:vAlign w:val="bottom"/>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r w:rsidR="00CE50E8" w:rsidRPr="00CE50E8" w:rsidTr="003802B2">
        <w:trPr>
          <w:trHeight w:val="25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noWrap/>
            <w:vAlign w:val="bottom"/>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r w:rsidR="00CE50E8" w:rsidRPr="00CE50E8" w:rsidTr="003802B2">
        <w:trPr>
          <w:trHeight w:val="255"/>
        </w:trPr>
        <w:tc>
          <w:tcPr>
            <w:tcW w:w="6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870971" w:rsidRPr="00CE50E8" w:rsidRDefault="00870971" w:rsidP="00870971">
            <w:pPr>
              <w:spacing w:after="0" w:line="240" w:lineRule="auto"/>
              <w:rPr>
                <w:rFonts w:ascii="Times New Roman" w:eastAsia="Times New Roman" w:hAnsi="Times New Roman" w:cs="Times New Roman"/>
                <w:b/>
                <w:bCs/>
                <w:sz w:val="20"/>
                <w:szCs w:val="20"/>
                <w:lang w:eastAsia="sk-SK"/>
              </w:rPr>
            </w:pPr>
          </w:p>
        </w:tc>
        <w:tc>
          <w:tcPr>
            <w:tcW w:w="146" w:type="dxa"/>
            <w:tcBorders>
              <w:top w:val="nil"/>
              <w:left w:val="nil"/>
              <w:bottom w:val="nil"/>
              <w:right w:val="nil"/>
            </w:tcBorders>
            <w:shd w:val="clear" w:color="auto" w:fill="auto"/>
            <w:noWrap/>
            <w:vAlign w:val="bottom"/>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r w:rsidR="00CE50E8" w:rsidRPr="00CE50E8" w:rsidTr="003802B2">
        <w:trPr>
          <w:trHeight w:val="6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1</w:t>
            </w:r>
          </w:p>
        </w:tc>
        <w:tc>
          <w:tcPr>
            <w:tcW w:w="2486"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 xml:space="preserve">Povinnosť zamestnávateľa požiadať </w:t>
            </w:r>
            <w:r w:rsidR="00D232B9" w:rsidRPr="00CE50E8">
              <w:rPr>
                <w:rFonts w:ascii="Times New Roman" w:eastAsia="Times New Roman" w:hAnsi="Times New Roman" w:cs="Times New Roman"/>
                <w:sz w:val="20"/>
                <w:szCs w:val="20"/>
                <w:lang w:eastAsia="sk-SK"/>
              </w:rPr>
              <w:t xml:space="preserve">orgán verejného zdravotníctva </w:t>
            </w:r>
            <w:r w:rsidRPr="00CE50E8">
              <w:rPr>
                <w:rFonts w:ascii="Times New Roman" w:eastAsia="Times New Roman" w:hAnsi="Times New Roman" w:cs="Times New Roman"/>
                <w:sz w:val="20"/>
                <w:szCs w:val="20"/>
                <w:lang w:eastAsia="sk-SK"/>
              </w:rPr>
              <w:t>o schválenie činností, pri ktorých sú zamestnanci exponovaní reprodukčne toxickým faktorom</w:t>
            </w:r>
          </w:p>
        </w:tc>
        <w:tc>
          <w:tcPr>
            <w:tcW w:w="1132"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návrh nariadenia vlády</w:t>
            </w:r>
          </w:p>
        </w:tc>
        <w:tc>
          <w:tcPr>
            <w:tcW w:w="1129"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 6</w:t>
            </w:r>
          </w:p>
        </w:tc>
        <w:tc>
          <w:tcPr>
            <w:tcW w:w="1293"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EÚ úplná harmonizácia</w:t>
            </w:r>
          </w:p>
        </w:tc>
        <w:tc>
          <w:tcPr>
            <w:tcW w:w="969"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01.01.24</w:t>
            </w:r>
          </w:p>
        </w:tc>
        <w:tc>
          <w:tcPr>
            <w:tcW w:w="2498"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Odvetvia v hospodárstve, v ktorých sa používajú reprodukčne toxické faktory</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102</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N</w:t>
            </w:r>
          </w:p>
        </w:tc>
        <w:tc>
          <w:tcPr>
            <w:tcW w:w="791"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12</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1 203</w:t>
            </w:r>
          </w:p>
        </w:tc>
        <w:tc>
          <w:tcPr>
            <w:tcW w:w="1398"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In (zvyšuje náklady)</w:t>
            </w:r>
          </w:p>
        </w:tc>
        <w:tc>
          <w:tcPr>
            <w:tcW w:w="146" w:type="dxa"/>
            <w:vAlign w:val="center"/>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r w:rsidR="00CE50E8" w:rsidRPr="00CE50E8" w:rsidTr="003802B2">
        <w:trPr>
          <w:trHeight w:val="153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2</w:t>
            </w:r>
          </w:p>
        </w:tc>
        <w:tc>
          <w:tcPr>
            <w:tcW w:w="2486"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Povinnosť zamestnávateľa poskytnúť zamestnancom školenie, ak sú alebo môžu byť exponovaní karcinogénnym</w:t>
            </w:r>
            <w:r w:rsidR="00D232B9" w:rsidRPr="00CE50E8">
              <w:rPr>
                <w:rFonts w:ascii="Times New Roman" w:eastAsia="Times New Roman" w:hAnsi="Times New Roman" w:cs="Times New Roman"/>
                <w:sz w:val="20"/>
                <w:szCs w:val="20"/>
                <w:lang w:eastAsia="sk-SK"/>
              </w:rPr>
              <w:t xml:space="preserve"> faktorom</w:t>
            </w:r>
            <w:r w:rsidRPr="00CE50E8">
              <w:rPr>
                <w:rFonts w:ascii="Times New Roman" w:eastAsia="Times New Roman" w:hAnsi="Times New Roman" w:cs="Times New Roman"/>
                <w:sz w:val="20"/>
                <w:szCs w:val="20"/>
                <w:lang w:eastAsia="sk-SK"/>
              </w:rPr>
              <w:t>, mutagénnym</w:t>
            </w:r>
            <w:r w:rsidR="00D232B9" w:rsidRPr="00CE50E8">
              <w:rPr>
                <w:rFonts w:ascii="Times New Roman" w:eastAsia="Times New Roman" w:hAnsi="Times New Roman" w:cs="Times New Roman"/>
                <w:sz w:val="20"/>
                <w:szCs w:val="20"/>
                <w:lang w:eastAsia="sk-SK"/>
              </w:rPr>
              <w:t xml:space="preserve"> faktorom</w:t>
            </w:r>
            <w:r w:rsidRPr="00CE50E8">
              <w:rPr>
                <w:rFonts w:ascii="Times New Roman" w:eastAsia="Times New Roman" w:hAnsi="Times New Roman" w:cs="Times New Roman"/>
                <w:sz w:val="20"/>
                <w:szCs w:val="20"/>
                <w:lang w:eastAsia="sk-SK"/>
              </w:rPr>
              <w:t xml:space="preserve"> alebo reprodukčne toxickým faktorom, ktoré sa nachádzajú v nebezpečných liekoch</w:t>
            </w:r>
          </w:p>
        </w:tc>
        <w:tc>
          <w:tcPr>
            <w:tcW w:w="1132"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návrh nariadenia vlády</w:t>
            </w:r>
          </w:p>
        </w:tc>
        <w:tc>
          <w:tcPr>
            <w:tcW w:w="1129"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 11 ods. 2</w:t>
            </w:r>
          </w:p>
        </w:tc>
        <w:tc>
          <w:tcPr>
            <w:tcW w:w="1293"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EÚ úplná harmonizácia</w:t>
            </w:r>
          </w:p>
        </w:tc>
        <w:tc>
          <w:tcPr>
            <w:tcW w:w="969"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01.01.24</w:t>
            </w:r>
          </w:p>
        </w:tc>
        <w:tc>
          <w:tcPr>
            <w:tcW w:w="2498"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D232B9">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Odvetvia v hospodárstve, v ktorých sa používajú nebezpečné lieky s obsahom karcinogénnych</w:t>
            </w:r>
            <w:r w:rsidR="00D232B9" w:rsidRPr="00CE50E8">
              <w:rPr>
                <w:rFonts w:ascii="Times New Roman" w:eastAsia="Times New Roman" w:hAnsi="Times New Roman" w:cs="Times New Roman"/>
                <w:sz w:val="20"/>
                <w:szCs w:val="20"/>
                <w:lang w:eastAsia="sk-SK"/>
              </w:rPr>
              <w:t xml:space="preserve"> faktorov</w:t>
            </w:r>
            <w:r w:rsidRPr="00CE50E8">
              <w:rPr>
                <w:rFonts w:ascii="Times New Roman" w:eastAsia="Times New Roman" w:hAnsi="Times New Roman" w:cs="Times New Roman"/>
                <w:sz w:val="20"/>
                <w:szCs w:val="20"/>
                <w:lang w:eastAsia="sk-SK"/>
              </w:rPr>
              <w:t xml:space="preserve">, mutagénnych </w:t>
            </w:r>
            <w:r w:rsidR="00D232B9" w:rsidRPr="00CE50E8">
              <w:rPr>
                <w:rFonts w:ascii="Times New Roman" w:eastAsia="Times New Roman" w:hAnsi="Times New Roman" w:cs="Times New Roman"/>
                <w:sz w:val="20"/>
                <w:szCs w:val="20"/>
                <w:lang w:eastAsia="sk-SK"/>
              </w:rPr>
              <w:t xml:space="preserve">faktorov </w:t>
            </w:r>
            <w:r w:rsidRPr="00CE50E8">
              <w:rPr>
                <w:rFonts w:ascii="Times New Roman" w:eastAsia="Times New Roman" w:hAnsi="Times New Roman" w:cs="Times New Roman"/>
                <w:sz w:val="20"/>
                <w:szCs w:val="20"/>
                <w:lang w:eastAsia="sk-SK"/>
              </w:rPr>
              <w:t>alebo reprodukčne toxických faktorov</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58</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N</w:t>
            </w:r>
          </w:p>
        </w:tc>
        <w:tc>
          <w:tcPr>
            <w:tcW w:w="791"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15</w:t>
            </w:r>
          </w:p>
        </w:tc>
        <w:tc>
          <w:tcPr>
            <w:tcW w:w="974"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870</w:t>
            </w:r>
          </w:p>
        </w:tc>
        <w:tc>
          <w:tcPr>
            <w:tcW w:w="1398" w:type="dxa"/>
            <w:tcBorders>
              <w:top w:val="nil"/>
              <w:left w:val="nil"/>
              <w:bottom w:val="single" w:sz="4" w:space="0" w:color="auto"/>
              <w:right w:val="single" w:sz="4" w:space="0" w:color="auto"/>
            </w:tcBorders>
            <w:shd w:val="clear" w:color="auto" w:fill="auto"/>
            <w:vAlign w:val="center"/>
            <w:hideMark/>
          </w:tcPr>
          <w:p w:rsidR="00870971" w:rsidRPr="00CE50E8" w:rsidRDefault="00870971" w:rsidP="00870971">
            <w:pPr>
              <w:spacing w:after="0" w:line="240" w:lineRule="auto"/>
              <w:jc w:val="center"/>
              <w:rPr>
                <w:rFonts w:ascii="Times New Roman" w:eastAsia="Times New Roman" w:hAnsi="Times New Roman" w:cs="Times New Roman"/>
                <w:sz w:val="20"/>
                <w:szCs w:val="20"/>
                <w:lang w:eastAsia="sk-SK"/>
              </w:rPr>
            </w:pPr>
            <w:r w:rsidRPr="00CE50E8">
              <w:rPr>
                <w:rFonts w:ascii="Times New Roman" w:eastAsia="Times New Roman" w:hAnsi="Times New Roman" w:cs="Times New Roman"/>
                <w:sz w:val="20"/>
                <w:szCs w:val="20"/>
                <w:lang w:eastAsia="sk-SK"/>
              </w:rPr>
              <w:t>In (zvyšuje náklady)</w:t>
            </w:r>
          </w:p>
        </w:tc>
        <w:tc>
          <w:tcPr>
            <w:tcW w:w="146" w:type="dxa"/>
            <w:vAlign w:val="center"/>
            <w:hideMark/>
          </w:tcPr>
          <w:p w:rsidR="00870971" w:rsidRPr="00CE50E8" w:rsidRDefault="00870971" w:rsidP="00870971">
            <w:pPr>
              <w:spacing w:after="0" w:line="240" w:lineRule="auto"/>
              <w:rPr>
                <w:rFonts w:ascii="Times New Roman" w:eastAsia="Times New Roman" w:hAnsi="Times New Roman" w:cs="Times New Roman"/>
                <w:sz w:val="20"/>
                <w:szCs w:val="20"/>
                <w:lang w:eastAsia="sk-SK"/>
              </w:rPr>
            </w:pPr>
          </w:p>
        </w:tc>
      </w:tr>
    </w:tbl>
    <w:p w:rsidR="00054C41" w:rsidRPr="00CE50E8" w:rsidRDefault="00054C41" w:rsidP="00054C41">
      <w:pPr>
        <w:jc w:val="both"/>
        <w:rPr>
          <w:rFonts w:ascii="Times New Roman" w:eastAsia="Calibri" w:hAnsi="Times New Roman" w:cs="Times New Roman"/>
          <w:b/>
          <w:bCs/>
          <w:i/>
          <w:sz w:val="24"/>
          <w:szCs w:val="24"/>
        </w:rPr>
        <w:sectPr w:rsidR="00054C41" w:rsidRPr="00CE50E8" w:rsidSect="00142154">
          <w:pgSz w:w="16838" w:h="11906" w:orient="landscape"/>
          <w:pgMar w:top="1417" w:right="1417" w:bottom="1417" w:left="1417" w:header="708" w:footer="708" w:gutter="0"/>
          <w:cols w:space="708"/>
          <w:docGrid w:linePitch="360"/>
        </w:sectPr>
      </w:pPr>
    </w:p>
    <w:p w:rsidR="00054C41" w:rsidRPr="00CE50E8" w:rsidRDefault="00054C41" w:rsidP="00054C41">
      <w:pPr>
        <w:jc w:val="both"/>
        <w:rPr>
          <w:rFonts w:ascii="Times New Roman" w:eastAsia="Calibri" w:hAnsi="Times New Roman" w:cs="Times New Roman"/>
          <w:b/>
          <w:bCs/>
          <w:i/>
          <w:sz w:val="24"/>
          <w:szCs w:val="24"/>
          <w:u w:val="single"/>
        </w:rPr>
      </w:pPr>
      <w:r w:rsidRPr="00CE50E8">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054C41" w:rsidRPr="00CE50E8" w:rsidRDefault="00054C41" w:rsidP="00054C41">
      <w:pPr>
        <w:jc w:val="both"/>
        <w:rPr>
          <w:rFonts w:ascii="Times New Roman" w:eastAsia="Calibri" w:hAnsi="Times New Roman" w:cs="Times New Roman"/>
          <w:bCs/>
          <w:i/>
          <w:iCs/>
          <w:sz w:val="24"/>
          <w:szCs w:val="24"/>
        </w:rPr>
      </w:pPr>
      <w:r w:rsidRPr="00CE50E8">
        <w:rPr>
          <w:rFonts w:ascii="Times New Roman" w:eastAsia="Calibri" w:hAnsi="Times New Roman" w:cs="Times New Roman"/>
          <w:bCs/>
          <w:i/>
          <w:iCs/>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sidRPr="00CE50E8">
        <w:rPr>
          <w:rFonts w:ascii="Times New Roman" w:eastAsia="Calibri" w:hAnsi="Times New Roman" w:cs="Times New Roman"/>
          <w:bCs/>
          <w:i/>
          <w:iCs/>
          <w:sz w:val="24"/>
          <w:szCs w:val="24"/>
        </w:rPr>
        <w:t xml:space="preserve"> a poplatky, ktorých cieľom je znižovať negatívne externality</w:t>
      </w:r>
      <w:r w:rsidRPr="00CE50E8">
        <w:rPr>
          <w:rFonts w:ascii="Times New Roman" w:eastAsia="Calibri" w:hAnsi="Times New Roman" w:cs="Times New Roman"/>
          <w:bCs/>
          <w:i/>
          <w:iCs/>
          <w:sz w:val="24"/>
          <w:szCs w:val="24"/>
        </w:rPr>
        <w:t xml:space="preserve">, B. </w:t>
      </w:r>
      <w:r w:rsidR="00A000DA" w:rsidRPr="00CE50E8">
        <w:rPr>
          <w:rFonts w:ascii="Times New Roman" w:eastAsia="Calibri" w:hAnsi="Times New Roman" w:cs="Times New Roman"/>
          <w:bCs/>
          <w:i/>
          <w:iCs/>
          <w:sz w:val="24"/>
          <w:szCs w:val="24"/>
        </w:rPr>
        <w:t>Iné p</w:t>
      </w:r>
      <w:r w:rsidRPr="00CE50E8">
        <w:rPr>
          <w:rFonts w:ascii="Times New Roman" w:eastAsia="Calibri" w:hAnsi="Times New Roman" w:cs="Times New Roman"/>
          <w:bCs/>
          <w:i/>
          <w:iCs/>
          <w:sz w:val="24"/>
          <w:szCs w:val="24"/>
        </w:rPr>
        <w:t xml:space="preserve">oplatky, C. Nepriame finančné náklady, D. Administratívne náklady). Rozčleňte ich a vypočítajte v súlade s metodickým postupom. </w:t>
      </w:r>
    </w:p>
    <w:p w:rsidR="00BE524F" w:rsidRPr="00CE50E8" w:rsidRDefault="00BE524F" w:rsidP="00054C41">
      <w:pPr>
        <w:jc w:val="both"/>
        <w:rPr>
          <w:rFonts w:ascii="Times New Roman" w:hAnsi="Times New Roman"/>
          <w:sz w:val="24"/>
          <w:szCs w:val="24"/>
        </w:rPr>
      </w:pPr>
    </w:p>
    <w:p w:rsidR="00BE0DEC" w:rsidRPr="00CE50E8" w:rsidRDefault="00BE0DEC" w:rsidP="00BE0DEC">
      <w:pPr>
        <w:pStyle w:val="Normlnywebov"/>
        <w:numPr>
          <w:ilvl w:val="0"/>
          <w:numId w:val="9"/>
        </w:numPr>
        <w:spacing w:after="160" w:line="276" w:lineRule="auto"/>
        <w:jc w:val="both"/>
        <w:rPr>
          <w:b/>
          <w:bCs/>
        </w:rPr>
      </w:pPr>
      <w:r w:rsidRPr="00CE50E8">
        <w:rPr>
          <w:b/>
          <w:bCs/>
        </w:rPr>
        <w:t xml:space="preserve">Povinnosť zamestnávateľa požiadať </w:t>
      </w:r>
      <w:r w:rsidR="00D232B9" w:rsidRPr="00CE50E8">
        <w:rPr>
          <w:b/>
          <w:bCs/>
        </w:rPr>
        <w:t xml:space="preserve">orgán verejného zdravotníctva </w:t>
      </w:r>
      <w:r w:rsidRPr="00CE50E8">
        <w:rPr>
          <w:b/>
          <w:bCs/>
        </w:rPr>
        <w:t>o schválenie činností, pri ktorých sú zamestnanci exponovaní reprodukčne toxickým faktorom</w:t>
      </w:r>
    </w:p>
    <w:p w:rsidR="00A870E7" w:rsidRPr="00CE50E8" w:rsidRDefault="00BE0DEC" w:rsidP="00937146">
      <w:pPr>
        <w:spacing w:after="0" w:line="276" w:lineRule="auto"/>
        <w:ind w:firstLine="708"/>
        <w:jc w:val="both"/>
        <w:rPr>
          <w:rFonts w:ascii="Times New Roman" w:hAnsi="Times New Roman" w:cs="Times New Roman"/>
          <w:sz w:val="24"/>
          <w:szCs w:val="24"/>
        </w:rPr>
      </w:pPr>
      <w:r w:rsidRPr="00CE50E8">
        <w:rPr>
          <w:rFonts w:ascii="Times New Roman" w:hAnsi="Times New Roman" w:cs="Times New Roman"/>
          <w:sz w:val="24"/>
          <w:szCs w:val="24"/>
        </w:rPr>
        <w:t>Zamestnávateľ bude povinný požiadať príslušný orgán verejného zdravotníctva o schválenie činností spojených s výrobou, spracovaním, manipuláciou, skladovaním, prepravou</w:t>
      </w:r>
      <w:r w:rsidR="00D232B9" w:rsidRPr="00CE50E8">
        <w:rPr>
          <w:rFonts w:ascii="Times New Roman" w:hAnsi="Times New Roman" w:cs="Times New Roman"/>
          <w:sz w:val="24"/>
          <w:szCs w:val="24"/>
        </w:rPr>
        <w:t xml:space="preserve"> a</w:t>
      </w:r>
      <w:r w:rsidR="008B3B7F" w:rsidRPr="00CE50E8">
        <w:rPr>
          <w:rFonts w:ascii="Times New Roman" w:hAnsi="Times New Roman" w:cs="Times New Roman"/>
          <w:sz w:val="24"/>
          <w:szCs w:val="24"/>
        </w:rPr>
        <w:t> </w:t>
      </w:r>
      <w:r w:rsidRPr="00CE50E8">
        <w:rPr>
          <w:rFonts w:ascii="Times New Roman" w:hAnsi="Times New Roman" w:cs="Times New Roman"/>
          <w:sz w:val="24"/>
          <w:szCs w:val="24"/>
        </w:rPr>
        <w:t>zneškodňovaním</w:t>
      </w:r>
      <w:r w:rsidR="008B3B7F" w:rsidRPr="00CE50E8">
        <w:rPr>
          <w:rFonts w:ascii="Times New Roman" w:hAnsi="Times New Roman" w:cs="Times New Roman"/>
          <w:sz w:val="24"/>
          <w:szCs w:val="24"/>
        </w:rPr>
        <w:t xml:space="preserve"> reprodukčne toxických faktorov</w:t>
      </w:r>
      <w:r w:rsidR="000110D8" w:rsidRPr="00CE50E8">
        <w:rPr>
          <w:rFonts w:ascii="Times New Roman" w:hAnsi="Times New Roman" w:cs="Times New Roman"/>
          <w:sz w:val="24"/>
          <w:szCs w:val="24"/>
        </w:rPr>
        <w:t xml:space="preserve">. </w:t>
      </w:r>
      <w:r w:rsidR="002B2708" w:rsidRPr="00CE50E8">
        <w:rPr>
          <w:rFonts w:ascii="Times New Roman" w:hAnsi="Times New Roman" w:cs="Times New Roman"/>
          <w:sz w:val="24"/>
          <w:szCs w:val="24"/>
        </w:rPr>
        <w:t xml:space="preserve">Schválenie činnosti </w:t>
      </w:r>
      <w:r w:rsidR="002359F2" w:rsidRPr="00CE50E8">
        <w:rPr>
          <w:rFonts w:ascii="Times New Roman" w:hAnsi="Times New Roman" w:cs="Times New Roman"/>
          <w:sz w:val="24"/>
          <w:szCs w:val="24"/>
        </w:rPr>
        <w:t xml:space="preserve">s </w:t>
      </w:r>
      <w:r w:rsidR="002B2708" w:rsidRPr="00CE50E8">
        <w:rPr>
          <w:rFonts w:ascii="Times New Roman" w:hAnsi="Times New Roman" w:cs="Times New Roman"/>
          <w:sz w:val="24"/>
          <w:szCs w:val="24"/>
        </w:rPr>
        <w:t>reprodukčne toxickým faktorom orgán</w:t>
      </w:r>
      <w:r w:rsidR="00D232B9" w:rsidRPr="00CE50E8">
        <w:rPr>
          <w:rFonts w:ascii="Times New Roman" w:hAnsi="Times New Roman" w:cs="Times New Roman"/>
          <w:sz w:val="24"/>
          <w:szCs w:val="24"/>
        </w:rPr>
        <w:t>om</w:t>
      </w:r>
      <w:r w:rsidR="002B2708" w:rsidRPr="00CE50E8">
        <w:rPr>
          <w:rFonts w:ascii="Times New Roman" w:hAnsi="Times New Roman" w:cs="Times New Roman"/>
          <w:sz w:val="24"/>
          <w:szCs w:val="24"/>
        </w:rPr>
        <w:t xml:space="preserve"> verejného zdravotníctva je spoplatnené správnym poplatkom 50</w:t>
      </w:r>
      <w:r w:rsidR="002359F2" w:rsidRPr="00CE50E8">
        <w:rPr>
          <w:rFonts w:ascii="Times New Roman" w:hAnsi="Times New Roman" w:cs="Times New Roman"/>
          <w:sz w:val="24"/>
          <w:szCs w:val="24"/>
        </w:rPr>
        <w:t xml:space="preserve"> €</w:t>
      </w:r>
      <w:r w:rsidR="00473770" w:rsidRPr="00CE50E8">
        <w:rPr>
          <w:rFonts w:ascii="Times New Roman" w:hAnsi="Times New Roman" w:cs="Times New Roman"/>
          <w:sz w:val="24"/>
          <w:szCs w:val="24"/>
        </w:rPr>
        <w:t>, v prípade elektronického podania je spoplatnen</w:t>
      </w:r>
      <w:r w:rsidR="00937146" w:rsidRPr="00CE50E8">
        <w:rPr>
          <w:rFonts w:ascii="Times New Roman" w:hAnsi="Times New Roman" w:cs="Times New Roman"/>
          <w:sz w:val="24"/>
          <w:szCs w:val="24"/>
        </w:rPr>
        <w:t>é</w:t>
      </w:r>
      <w:r w:rsidR="00473770" w:rsidRPr="00CE50E8">
        <w:rPr>
          <w:rFonts w:ascii="Times New Roman" w:hAnsi="Times New Roman" w:cs="Times New Roman"/>
          <w:sz w:val="24"/>
          <w:szCs w:val="24"/>
        </w:rPr>
        <w:t xml:space="preserve"> správnym poplatkom 25 €. </w:t>
      </w:r>
    </w:p>
    <w:p w:rsidR="00A870E7" w:rsidRPr="00CE50E8" w:rsidRDefault="00A870E7" w:rsidP="00937146">
      <w:pPr>
        <w:spacing w:after="0" w:line="276" w:lineRule="auto"/>
        <w:ind w:firstLine="708"/>
        <w:jc w:val="both"/>
        <w:rPr>
          <w:rFonts w:ascii="Times New Roman" w:eastAsia="Times New Roman" w:hAnsi="Times New Roman" w:cs="Times New Roman"/>
          <w:sz w:val="24"/>
          <w:szCs w:val="24"/>
        </w:rPr>
      </w:pPr>
      <w:r w:rsidRPr="00CE50E8">
        <w:rPr>
          <w:rFonts w:ascii="Times New Roman" w:eastAsia="Times New Roman" w:hAnsi="Times New Roman" w:cs="Times New Roman"/>
          <w:sz w:val="24"/>
          <w:szCs w:val="24"/>
        </w:rPr>
        <w:t>Podľa položky 150 písm. f) zákona č. 145/1995 Z. z. o správnych poplatkoch v znení neskorších predpisov za vydanie rozhodnutia orgánu štátnej správy na úseku verejného zdravotníctva je správny poplatok vo výške 50 € pri listinnom podaní; pri podaní elektronickými prostriedkami alebo prostredníctvom integrovaného obslužného miesta je správny poplatok 25 € (§ 6 ods. 2 zákona č. 145/1995 Z. z.).</w:t>
      </w:r>
    </w:p>
    <w:p w:rsidR="00A870E7" w:rsidRPr="00CE50E8" w:rsidRDefault="00AB68EF" w:rsidP="00937146">
      <w:pPr>
        <w:spacing w:after="0" w:line="276" w:lineRule="auto"/>
        <w:ind w:firstLine="708"/>
        <w:jc w:val="both"/>
        <w:rPr>
          <w:rFonts w:ascii="Times New Roman" w:eastAsia="Times New Roman" w:hAnsi="Times New Roman" w:cs="Times New Roman"/>
          <w:sz w:val="24"/>
          <w:szCs w:val="24"/>
        </w:rPr>
      </w:pPr>
      <w:r w:rsidRPr="00CE50E8">
        <w:rPr>
          <w:rFonts w:ascii="Times New Roman" w:hAnsi="Times New Roman" w:cs="Times New Roman"/>
          <w:sz w:val="24"/>
          <w:szCs w:val="24"/>
        </w:rPr>
        <w:t>Do kalkulačky nákladov k predmetnej regulácii je uvedená priemerná hodnota listinného podania a elektronického podania 38 €</w:t>
      </w:r>
      <w:r w:rsidR="00A870E7" w:rsidRPr="00CE50E8">
        <w:rPr>
          <w:rFonts w:ascii="Times New Roman" w:eastAsia="Times New Roman" w:hAnsi="Times New Roman" w:cs="Times New Roman"/>
          <w:sz w:val="24"/>
          <w:szCs w:val="24"/>
        </w:rPr>
        <w:t>, vzhľadom na to, že sa nevykonáva štatistické zisťovanie spôsobu podania (listinne</w:t>
      </w:r>
      <w:r w:rsidR="00D232B9" w:rsidRPr="00CE50E8">
        <w:rPr>
          <w:rFonts w:ascii="Times New Roman" w:eastAsia="Times New Roman" w:hAnsi="Times New Roman" w:cs="Times New Roman"/>
          <w:sz w:val="24"/>
          <w:szCs w:val="24"/>
        </w:rPr>
        <w:t xml:space="preserve"> </w:t>
      </w:r>
      <w:r w:rsidR="00A870E7" w:rsidRPr="00CE50E8">
        <w:rPr>
          <w:rFonts w:ascii="Times New Roman" w:eastAsia="Times New Roman" w:hAnsi="Times New Roman" w:cs="Times New Roman"/>
          <w:sz w:val="24"/>
          <w:szCs w:val="24"/>
        </w:rPr>
        <w:t>/</w:t>
      </w:r>
      <w:r w:rsidR="00D232B9" w:rsidRPr="00CE50E8">
        <w:rPr>
          <w:rFonts w:ascii="Times New Roman" w:eastAsia="Times New Roman" w:hAnsi="Times New Roman" w:cs="Times New Roman"/>
          <w:sz w:val="24"/>
          <w:szCs w:val="24"/>
        </w:rPr>
        <w:t xml:space="preserve"> </w:t>
      </w:r>
      <w:r w:rsidR="00A870E7" w:rsidRPr="00CE50E8">
        <w:rPr>
          <w:rFonts w:ascii="Times New Roman" w:eastAsia="Times New Roman" w:hAnsi="Times New Roman" w:cs="Times New Roman"/>
          <w:sz w:val="24"/>
          <w:szCs w:val="24"/>
        </w:rPr>
        <w:t>elektronickými prostriedkami)</w:t>
      </w:r>
      <w:r w:rsidRPr="00CE50E8">
        <w:rPr>
          <w:rFonts w:ascii="Times New Roman" w:eastAsia="Times New Roman" w:hAnsi="Times New Roman" w:cs="Times New Roman"/>
          <w:sz w:val="24"/>
          <w:szCs w:val="24"/>
        </w:rPr>
        <w:t>.</w:t>
      </w:r>
    </w:p>
    <w:p w:rsidR="00392000" w:rsidRPr="00CE50E8" w:rsidRDefault="00FA1272" w:rsidP="000406DF">
      <w:pPr>
        <w:pStyle w:val="Normlnywebov"/>
        <w:spacing w:line="276" w:lineRule="auto"/>
        <w:ind w:firstLine="709"/>
        <w:jc w:val="both"/>
      </w:pPr>
      <w:r w:rsidRPr="00CE50E8">
        <w:t>Administratívne náklady</w:t>
      </w:r>
      <w:r w:rsidR="00A870E7" w:rsidRPr="00CE50E8">
        <w:t xml:space="preserve"> zamestnávateľov</w:t>
      </w:r>
      <w:r w:rsidRPr="00CE50E8">
        <w:t xml:space="preserve"> v súvislosti s predložením žiadosti o schválenie činnosti s reprodukčne toxickým faktorom súvisia s vypracovaním posudku o riziku a prevádzkového poriadku</w:t>
      </w:r>
      <w:r w:rsidR="00937146" w:rsidRPr="00CE50E8">
        <w:t xml:space="preserve">; rozsah administratívnych nákladov nebolo možné presne vyčísliť (závisí od špecifických okolností na konkrétnom pracovisku a od počtu zamestnancov, ktorí vykonávajú prácu s reprodukčne toxickým faktorom). </w:t>
      </w:r>
    </w:p>
    <w:p w:rsidR="00954203" w:rsidRPr="00CE50E8" w:rsidRDefault="00954203" w:rsidP="000E2205">
      <w:pPr>
        <w:pStyle w:val="Normlnywebov"/>
        <w:spacing w:after="160" w:line="276" w:lineRule="auto"/>
        <w:ind w:firstLine="709"/>
        <w:jc w:val="both"/>
      </w:pPr>
      <w:r w:rsidRPr="00CE50E8">
        <w:t>V roku 2022 požiadalo príslušný orgán verejného zdravotníctva o posúdenie činností spojených s výrobou, spracovaním, manip</w:t>
      </w:r>
      <w:r w:rsidR="00441225" w:rsidRPr="00CE50E8">
        <w:t>uláciou, skladovaním, prepravou a</w:t>
      </w:r>
      <w:r w:rsidRPr="00CE50E8">
        <w:t xml:space="preserve"> zneškodňovaním chemických karcinogénov a mutagénov na pracovisku 102 podnikateľských subjektov. Tento počet bude v roku 2024 (od nadobudnutia účinnosti návrhu nariadenia vlády) navýšený o posúdenie činností spojených s výrobou, spracovaním, manipuláciou, skladovaním, prepravou</w:t>
      </w:r>
      <w:r w:rsidR="008B3B7F" w:rsidRPr="00CE50E8">
        <w:t xml:space="preserve"> a</w:t>
      </w:r>
      <w:r w:rsidRPr="00CE50E8">
        <w:t xml:space="preserve"> zneškodňovaním reprodukčne toxických faktorov na pracovisku. Počet podnikateľských subjektov, ktorí budú v roku 2024 predkladať príslušnému orgánu verejného zdravotníctva žiadosť o posúdenie uvedených činností s reprodukčne toxickými faktormi na pracovisku nie je možné odhadnúť. </w:t>
      </w:r>
    </w:p>
    <w:p w:rsidR="00901911" w:rsidRPr="00CE50E8" w:rsidRDefault="00901911" w:rsidP="00901911">
      <w:pPr>
        <w:pStyle w:val="Normlnywebov"/>
        <w:numPr>
          <w:ilvl w:val="0"/>
          <w:numId w:val="9"/>
        </w:numPr>
        <w:spacing w:after="160" w:line="276" w:lineRule="auto"/>
        <w:jc w:val="both"/>
        <w:rPr>
          <w:b/>
        </w:rPr>
      </w:pPr>
      <w:r w:rsidRPr="00CE50E8">
        <w:rPr>
          <w:b/>
        </w:rPr>
        <w:lastRenderedPageBreak/>
        <w:t>Povinnosť zamestnávateľa poskytnúť zamestnancom školenie, ak sú alebo môžu byť exponovaní karcinogénnym</w:t>
      </w:r>
      <w:r w:rsidR="00441225" w:rsidRPr="00CE50E8">
        <w:rPr>
          <w:b/>
        </w:rPr>
        <w:t xml:space="preserve"> faktorom</w:t>
      </w:r>
      <w:r w:rsidRPr="00CE50E8">
        <w:rPr>
          <w:b/>
        </w:rPr>
        <w:t xml:space="preserve">, mutagénnym </w:t>
      </w:r>
      <w:r w:rsidR="00441225" w:rsidRPr="00CE50E8">
        <w:rPr>
          <w:b/>
        </w:rPr>
        <w:t xml:space="preserve">faktorom </w:t>
      </w:r>
      <w:r w:rsidRPr="00CE50E8">
        <w:rPr>
          <w:b/>
        </w:rPr>
        <w:t>alebo reprodukčne toxickým faktorom, ktoré sa nachádzajú v nebezpečných liekoch</w:t>
      </w:r>
    </w:p>
    <w:p w:rsidR="00256F62" w:rsidRPr="00CE50E8" w:rsidRDefault="00901911" w:rsidP="00256F62">
      <w:pPr>
        <w:autoSpaceDE w:val="0"/>
        <w:autoSpaceDN w:val="0"/>
        <w:ind w:firstLine="708"/>
        <w:jc w:val="both"/>
        <w:rPr>
          <w:rFonts w:ascii="Times New Roman" w:eastAsia="Times New Roman" w:hAnsi="Times New Roman" w:cs="Times New Roman"/>
          <w:sz w:val="24"/>
          <w:szCs w:val="24"/>
          <w:lang w:eastAsia="sk-SK"/>
        </w:rPr>
      </w:pPr>
      <w:r w:rsidRPr="00CE50E8">
        <w:rPr>
          <w:rFonts w:ascii="Times New Roman" w:hAnsi="Times New Roman" w:cs="Times New Roman"/>
          <w:sz w:val="24"/>
          <w:szCs w:val="24"/>
        </w:rPr>
        <w:t>Ide o novú povinnosť zamestnávateľa v zmysle článku 11 smernice Európskeho parlamentu a Rady (EÚ) 2022/431</w:t>
      </w:r>
      <w:r w:rsidR="00256F62" w:rsidRPr="00CE50E8">
        <w:rPr>
          <w:rFonts w:ascii="Times New Roman" w:eastAsia="Times New Roman" w:hAnsi="Times New Roman" w:cs="Times New Roman"/>
          <w:sz w:val="24"/>
          <w:szCs w:val="24"/>
          <w:lang w:eastAsia="sk-SK"/>
        </w:rPr>
        <w:t xml:space="preserve">, ktorou sa mení smernica 2004/37/ES o ochrane pracovníkov pred rizikami súvisiacimi s expozíciou karcinogénom alebo mutagénom pri práci (ďalej len „smernica (EÚ) 2022/431“). </w:t>
      </w:r>
    </w:p>
    <w:p w:rsidR="00F633C6" w:rsidRPr="00CE50E8" w:rsidRDefault="00441225" w:rsidP="00901911">
      <w:pPr>
        <w:pStyle w:val="Normlnywebov"/>
        <w:spacing w:line="276" w:lineRule="auto"/>
        <w:ind w:firstLine="709"/>
        <w:jc w:val="both"/>
      </w:pPr>
      <w:r w:rsidRPr="00CE50E8">
        <w:t xml:space="preserve">Pokiaľ ide o nebezpečné lieky, orgány verejného zdravotníctva majú údaje len o práci s cytostatikami, ktoré sú v zmysle návrhu nariadenia vlády nebezpečnými liekmi. </w:t>
      </w:r>
      <w:r w:rsidR="00870971" w:rsidRPr="00CE50E8">
        <w:t xml:space="preserve">V roku 2022 podľa evidencie príslušných orgánov verejného zdravotníctva s cytostatikami pracujú zamestnanci v 58 podnikateľských subjektoch (prevažne </w:t>
      </w:r>
      <w:r w:rsidRPr="00CE50E8">
        <w:t xml:space="preserve">v </w:t>
      </w:r>
      <w:r w:rsidR="00870971" w:rsidRPr="00CE50E8">
        <w:t>zdravotníck</w:t>
      </w:r>
      <w:r w:rsidRPr="00CE50E8">
        <w:t>ych</w:t>
      </w:r>
      <w:r w:rsidR="00870971" w:rsidRPr="00CE50E8">
        <w:t xml:space="preserve"> zariadenia</w:t>
      </w:r>
      <w:r w:rsidRPr="00CE50E8">
        <w:t>ch</w:t>
      </w:r>
      <w:r w:rsidR="00870971" w:rsidRPr="00CE50E8">
        <w:t xml:space="preserve">). </w:t>
      </w:r>
    </w:p>
    <w:p w:rsidR="00441225" w:rsidRPr="00CE50E8" w:rsidRDefault="00870971" w:rsidP="00901911">
      <w:pPr>
        <w:pStyle w:val="Normlnywebov"/>
        <w:spacing w:line="276" w:lineRule="auto"/>
        <w:ind w:firstLine="709"/>
        <w:jc w:val="both"/>
      </w:pPr>
      <w:r w:rsidRPr="00CE50E8">
        <w:t xml:space="preserve">Priemerná cena školení podľa informácií dostupných na webových sídlach spoločností, ktoré takéto školenia zamestnávateľom poskytujú, je 60 €. </w:t>
      </w:r>
      <w:r w:rsidR="00806F0C" w:rsidRPr="00CE50E8">
        <w:t>Školenie môže vykonať aj interný zamestnanec zamestnávateľa. Školenie sa vykonáva pred začatím práce s nebezpečnými liekmi</w:t>
      </w:r>
      <w:r w:rsidR="00441225" w:rsidRPr="00CE50E8">
        <w:t>,</w:t>
      </w:r>
      <w:r w:rsidR="00806F0C" w:rsidRPr="00CE50E8">
        <w:t xml:space="preserve"> následne</w:t>
      </w:r>
      <w:r w:rsidR="00441225" w:rsidRPr="00CE50E8">
        <w:t xml:space="preserve"> najmenej jedenkrát ročne a vždy</w:t>
      </w:r>
      <w:r w:rsidR="00806F0C" w:rsidRPr="00CE50E8">
        <w:t xml:space="preserve"> </w:t>
      </w:r>
      <w:r w:rsidR="00441225" w:rsidRPr="00CE50E8">
        <w:t xml:space="preserve">pri každej zmene pracovných podmienok zamestnancov, ktorí zaobchádzajú s nebezpečnými liekmi. </w:t>
      </w:r>
    </w:p>
    <w:p w:rsidR="00441225" w:rsidRPr="00CE50E8" w:rsidRDefault="00441225" w:rsidP="00901911">
      <w:pPr>
        <w:pStyle w:val="Normlnywebov"/>
        <w:spacing w:after="160" w:line="276" w:lineRule="auto"/>
        <w:ind w:firstLine="709"/>
        <w:jc w:val="both"/>
      </w:pPr>
    </w:p>
    <w:p w:rsidR="00054C41" w:rsidRPr="00CE50E8" w:rsidRDefault="00054C41" w:rsidP="00054C41">
      <w:pPr>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3.2 Vyhodnotenie konzultácií s podnikateľskými subjektmi pred predbežným pripomienkovým konaním</w:t>
      </w:r>
    </w:p>
    <w:p w:rsidR="00054C41" w:rsidRPr="00CE50E8" w:rsidRDefault="00054C41" w:rsidP="00054C41">
      <w:pPr>
        <w:spacing w:after="0"/>
        <w:jc w:val="both"/>
        <w:rPr>
          <w:rFonts w:ascii="Times New Roman" w:eastAsia="Calibri" w:hAnsi="Times New Roman" w:cs="Times New Roman"/>
          <w:i/>
          <w:sz w:val="24"/>
          <w:szCs w:val="24"/>
        </w:rPr>
      </w:pPr>
    </w:p>
    <w:p w:rsidR="00B94AEF" w:rsidRPr="00CE50E8" w:rsidRDefault="00913C82" w:rsidP="00CA5BA3">
      <w:pPr>
        <w:ind w:firstLine="708"/>
        <w:jc w:val="both"/>
        <w:rPr>
          <w:rFonts w:ascii="Times New Roman" w:hAnsi="Times New Roman"/>
          <w:sz w:val="24"/>
          <w:szCs w:val="24"/>
        </w:rPr>
      </w:pPr>
      <w:r w:rsidRPr="00CE50E8">
        <w:rPr>
          <w:rFonts w:ascii="Times New Roman" w:hAnsi="Times New Roman"/>
          <w:sz w:val="24"/>
          <w:szCs w:val="24"/>
        </w:rPr>
        <w:t xml:space="preserve">Ministerstvo zdravotníctva SR uverejnilo na portáli Slov-Lex predbežnú informáciu k návrhu </w:t>
      </w:r>
      <w:r w:rsidR="006F674A" w:rsidRPr="00CE50E8">
        <w:rPr>
          <w:rFonts w:ascii="Times New Roman" w:hAnsi="Times New Roman"/>
          <w:sz w:val="24"/>
          <w:szCs w:val="24"/>
        </w:rPr>
        <w:t>nariadenia vlády</w:t>
      </w:r>
      <w:r w:rsidRPr="00CE50E8">
        <w:rPr>
          <w:rFonts w:ascii="Times New Roman" w:hAnsi="Times New Roman"/>
          <w:sz w:val="24"/>
          <w:szCs w:val="24"/>
        </w:rPr>
        <w:t xml:space="preserve">. Predbežná informácia bola súbežne elektronicky zaslaná na Ministerstvo hospodárstva SR s požiadavkou na zabezpečenie konzultácií v zmysle Jednotnej metodiky na posudzovanie vybraných vplyvov. </w:t>
      </w:r>
      <w:r w:rsidR="006F674A" w:rsidRPr="00CE50E8">
        <w:rPr>
          <w:rFonts w:ascii="Times New Roman" w:hAnsi="Times New Roman"/>
          <w:sz w:val="24"/>
          <w:szCs w:val="24"/>
        </w:rPr>
        <w:t>Konzultácie prebiehali od 14.04.2023 do 28.04.2023.</w:t>
      </w:r>
      <w:r w:rsidR="00B94AEF" w:rsidRPr="00CE50E8">
        <w:rPr>
          <w:rFonts w:ascii="Times New Roman" w:hAnsi="Times New Roman"/>
          <w:sz w:val="24"/>
          <w:szCs w:val="24"/>
        </w:rPr>
        <w:t xml:space="preserve"> Žiadny subjekt si nevyžiadal podrobnejšie informácie o pripravovanom návrhu nariadenia vlády. </w:t>
      </w:r>
    </w:p>
    <w:p w:rsidR="00054C41" w:rsidRPr="00CE50E8" w:rsidRDefault="00054C41" w:rsidP="00054C41">
      <w:pPr>
        <w:jc w:val="both"/>
        <w:rPr>
          <w:rFonts w:ascii="Times New Roman" w:eastAsia="Calibri" w:hAnsi="Times New Roman" w:cs="Times New Roman"/>
          <w:b/>
          <w:sz w:val="24"/>
          <w:szCs w:val="24"/>
        </w:rPr>
      </w:pPr>
      <w:bookmarkStart w:id="0" w:name="_Hlk47698091"/>
      <w:r w:rsidRPr="00CE50E8">
        <w:rPr>
          <w:rFonts w:ascii="Times New Roman" w:eastAsia="Calibri" w:hAnsi="Times New Roman" w:cs="Times New Roman"/>
          <w:b/>
          <w:sz w:val="24"/>
          <w:szCs w:val="24"/>
        </w:rPr>
        <w:t>3.3 Vplyvy na konkurencieschopnosť a produktivitu</w:t>
      </w:r>
    </w:p>
    <w:bookmarkEnd w:id="0"/>
    <w:p w:rsidR="007C488C" w:rsidRPr="00CE50E8" w:rsidRDefault="007C488C" w:rsidP="00B94AEF">
      <w:pPr>
        <w:spacing w:after="0" w:line="276" w:lineRule="auto"/>
        <w:ind w:firstLine="708"/>
        <w:jc w:val="both"/>
        <w:rPr>
          <w:rFonts w:ascii="Times New Roman" w:hAnsi="Times New Roman" w:cs="Times New Roman"/>
          <w:iCs/>
          <w:sz w:val="24"/>
          <w:szCs w:val="24"/>
        </w:rPr>
      </w:pPr>
      <w:r w:rsidRPr="00CE50E8">
        <w:rPr>
          <w:rFonts w:ascii="Times New Roman" w:hAnsi="Times New Roman" w:cs="Times New Roman"/>
          <w:iCs/>
          <w:sz w:val="24"/>
          <w:szCs w:val="24"/>
        </w:rPr>
        <w:t>Na základe charakteru návrhu sa nepredpokladá vytvorenie bariér pre vstup na trh pre nových podnikateľov. Navrhované zmeny v tejto fáze nepredpokladajú prísnejšiu reguláciu správania sa niektorých podnikov. Takisto sa nepredpokladá rôzne zaobchádzanie s niektorými podnikmi v porovnateľnej situácii. To znamená, že sa nepočíta so zavedení</w:t>
      </w:r>
      <w:r w:rsidR="00B33E04" w:rsidRPr="00CE50E8">
        <w:rPr>
          <w:rFonts w:ascii="Times New Roman" w:hAnsi="Times New Roman" w:cs="Times New Roman"/>
          <w:iCs/>
          <w:sz w:val="24"/>
          <w:szCs w:val="24"/>
        </w:rPr>
        <w:t>m špeciálnych režimov pre mikro</w:t>
      </w:r>
      <w:r w:rsidRPr="00CE50E8">
        <w:rPr>
          <w:rFonts w:ascii="Times New Roman" w:hAnsi="Times New Roman" w:cs="Times New Roman"/>
          <w:iCs/>
          <w:sz w:val="24"/>
          <w:szCs w:val="24"/>
        </w:rPr>
        <w:t>podniky, malé a stredné podniky.</w:t>
      </w:r>
    </w:p>
    <w:p w:rsidR="007C488C" w:rsidRPr="00CE50E8" w:rsidRDefault="007C488C" w:rsidP="007C488C">
      <w:pPr>
        <w:spacing w:after="0"/>
        <w:jc w:val="both"/>
        <w:rPr>
          <w:rFonts w:ascii="Times New Roman" w:eastAsia="Calibri" w:hAnsi="Times New Roman" w:cs="Times New Roman"/>
          <w:iCs/>
          <w:sz w:val="24"/>
          <w:szCs w:val="24"/>
        </w:rPr>
      </w:pPr>
      <w:r w:rsidRPr="00CE50E8">
        <w:rPr>
          <w:rFonts w:ascii="Times New Roman" w:eastAsia="Calibri" w:hAnsi="Times New Roman" w:cs="Times New Roman"/>
          <w:iCs/>
          <w:sz w:val="24"/>
          <w:szCs w:val="24"/>
        </w:rPr>
        <w:t xml:space="preserve">Nepredpokladá sa vplyv na inovácie, vedu a výskum.  </w:t>
      </w:r>
    </w:p>
    <w:p w:rsidR="00054C41" w:rsidRPr="00CE50E8" w:rsidRDefault="00054C41" w:rsidP="00054C41">
      <w:pPr>
        <w:spacing w:after="0"/>
        <w:jc w:val="both"/>
        <w:rPr>
          <w:rFonts w:ascii="Times New Roman" w:eastAsia="Calibri" w:hAnsi="Times New Roman" w:cs="Times New Roman"/>
          <w:i/>
          <w:sz w:val="24"/>
          <w:szCs w:val="24"/>
        </w:rPr>
      </w:pPr>
    </w:p>
    <w:p w:rsidR="00054C41" w:rsidRPr="00CE50E8" w:rsidRDefault="00054C41" w:rsidP="00054C41">
      <w:pPr>
        <w:spacing w:after="0"/>
        <w:jc w:val="both"/>
        <w:rPr>
          <w:rFonts w:ascii="Times New Roman" w:eastAsia="Calibri" w:hAnsi="Times New Roman" w:cs="Times New Roman"/>
          <w:b/>
          <w:i/>
          <w:sz w:val="24"/>
          <w:szCs w:val="24"/>
        </w:rPr>
      </w:pPr>
      <w:r w:rsidRPr="00CE50E8">
        <w:rPr>
          <w:rFonts w:ascii="Times New Roman" w:eastAsia="Calibri" w:hAnsi="Times New Roman" w:cs="Times New Roman"/>
          <w:b/>
          <w:i/>
          <w:sz w:val="24"/>
          <w:szCs w:val="24"/>
        </w:rPr>
        <w:t>Konkurencieschopnosť:</w:t>
      </w:r>
    </w:p>
    <w:p w:rsidR="00054C41" w:rsidRPr="00CE50E8" w:rsidRDefault="00054C41" w:rsidP="00054C41">
      <w:pPr>
        <w:spacing w:after="0"/>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Na základe uvedených odpovedí zaškrtnite a popíšte, či materiál konkurencieschopnosť:</w:t>
      </w:r>
    </w:p>
    <w:p w:rsidR="00054C41" w:rsidRPr="00CE50E8" w:rsidRDefault="00CC3C8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CE50E8">
                <w:rPr>
                  <w:rFonts w:ascii="Segoe UI Symbol" w:eastAsia="Calibri" w:hAnsi="Segoe UI Symbol" w:cs="Segoe UI Symbol"/>
                  <w:i/>
                  <w:sz w:val="24"/>
                  <w:szCs w:val="24"/>
                </w:rPr>
                <w:t>☐</w:t>
              </w:r>
            </w:sdtContent>
          </w:sdt>
        </w:sdtContent>
      </w:sdt>
      <w:r w:rsidR="00054C41" w:rsidRPr="00CE50E8">
        <w:rPr>
          <w:rFonts w:ascii="Times New Roman" w:eastAsia="Calibri" w:hAnsi="Times New Roman" w:cs="Times New Roman"/>
          <w:i/>
          <w:sz w:val="24"/>
          <w:szCs w:val="24"/>
        </w:rPr>
        <w:t xml:space="preserve"> zvyšuje  </w:t>
      </w:r>
      <w:r w:rsidR="00054C41" w:rsidRPr="00CE50E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Calibri" w:hAnsi="Times New Roman" w:cs="Times New Roman"/>
                    <w:i/>
                    <w:sz w:val="24"/>
                    <w:szCs w:val="24"/>
                  </w:rPr>
                  <w:id w:val="-2118671868"/>
                </w:sdtPr>
                <w:sdtEndPr/>
                <w:sdtContent>
                  <w:sdt>
                    <w:sdtPr>
                      <w:rPr>
                        <w:rFonts w:ascii="Times New Roman" w:eastAsia="Calibri" w:hAnsi="Times New Roman" w:cs="Times New Roman"/>
                        <w:i/>
                        <w:sz w:val="24"/>
                        <w:szCs w:val="24"/>
                      </w:rPr>
                      <w:id w:val="-998415497"/>
                    </w:sdtPr>
                    <w:sdtEndPr/>
                    <w:sdtContent>
                      <w:sdt>
                        <w:sdtPr>
                          <w:rPr>
                            <w:rFonts w:ascii="Times New Roman" w:eastAsia="Calibri" w:hAnsi="Times New Roman" w:cs="Times New Roman"/>
                            <w:i/>
                            <w:sz w:val="24"/>
                            <w:szCs w:val="24"/>
                          </w:rPr>
                          <w:id w:val="97574737"/>
                        </w:sdtPr>
                        <w:sdtEndPr/>
                        <w:sdtContent>
                          <w:sdt>
                            <w:sdtPr>
                              <w:rPr>
                                <w:rFonts w:ascii="Times New Roman" w:eastAsia="Calibri" w:hAnsi="Times New Roman" w:cs="Times New Roman"/>
                                <w:i/>
                                <w:sz w:val="24"/>
                                <w:szCs w:val="24"/>
                              </w:rPr>
                              <w:id w:val="97574738"/>
                            </w:sdtPr>
                            <w:sdtEndPr/>
                            <w:sdtContent>
                              <w:sdt>
                                <w:sdtPr>
                                  <w:rPr>
                                    <w:rFonts w:ascii="Times New Roman" w:eastAsia="Calibri" w:hAnsi="Times New Roman" w:cs="Times New Roman"/>
                                    <w:i/>
                                    <w:sz w:val="24"/>
                                    <w:szCs w:val="24"/>
                                  </w:rPr>
                                  <w:id w:val="128334433"/>
                                </w:sdtPr>
                                <w:sdtEndPr/>
                                <w:sdtContent>
                                  <w:sdt>
                                    <w:sdtPr>
                                      <w:rPr>
                                        <w:rFonts w:ascii="Times New Roman" w:eastAsia="Calibri" w:hAnsi="Times New Roman" w:cs="Times New Roman"/>
                                        <w:i/>
                                        <w:sz w:val="24"/>
                                        <w:szCs w:val="24"/>
                                      </w:rPr>
                                      <w:id w:val="128334434"/>
                                    </w:sdtPr>
                                    <w:sdtEndPr/>
                                    <w:sdtContent>
                                      <w:sdt>
                                        <w:sdtPr>
                                          <w:rPr>
                                            <w:rFonts w:ascii="Times New Roman" w:eastAsia="Calibri" w:hAnsi="Times New Roman" w:cs="Times New Roman"/>
                                            <w:i/>
                                            <w:sz w:val="24"/>
                                            <w:szCs w:val="24"/>
                                          </w:rPr>
                                          <w:id w:val="358279830"/>
                                        </w:sdtPr>
                                        <w:sdtEndPr/>
                                        <w:sdtContent>
                                          <w:r w:rsidR="007C488C" w:rsidRPr="00CE50E8">
                                            <w:rPr>
                                              <w:rFonts w:ascii="Segoe UI Symbol" w:eastAsia="Calibri" w:hAnsi="Segoe UI Symbol" w:cs="Segoe UI Symbol"/>
                                              <w:i/>
                                              <w:sz w:val="24"/>
                                              <w:szCs w:val="24"/>
                                            </w:rPr>
                                            <w:t>⊠</w:t>
                                          </w:r>
                                        </w:sdtContent>
                                      </w:sdt>
                                    </w:sdtContent>
                                  </w:sdt>
                                </w:sdtContent>
                              </w:sdt>
                            </w:sdtContent>
                          </w:sdt>
                        </w:sdtContent>
                      </w:sdt>
                    </w:sdtContent>
                  </w:sdt>
                </w:sdtContent>
              </w:sdt>
            </w:sdtContent>
          </w:sdt>
        </w:sdtContent>
      </w:sdt>
      <w:r w:rsidR="00054C41" w:rsidRPr="00CE50E8">
        <w:rPr>
          <w:rFonts w:ascii="Times New Roman" w:eastAsia="Calibri" w:hAnsi="Times New Roman" w:cs="Times New Roman"/>
          <w:i/>
          <w:sz w:val="24"/>
          <w:szCs w:val="24"/>
        </w:rPr>
        <w:t xml:space="preserve"> nemení</w:t>
      </w:r>
      <w:r w:rsidR="00054C41" w:rsidRPr="00CE50E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CE50E8">
                <w:rPr>
                  <w:rFonts w:ascii="Segoe UI Symbol" w:eastAsia="Calibri" w:hAnsi="Segoe UI Symbol" w:cs="Segoe UI Symbol"/>
                  <w:i/>
                  <w:sz w:val="24"/>
                  <w:szCs w:val="24"/>
                </w:rPr>
                <w:t>☐</w:t>
              </w:r>
            </w:sdtContent>
          </w:sdt>
        </w:sdtContent>
      </w:sdt>
      <w:r w:rsidR="00054C41" w:rsidRPr="00CE50E8">
        <w:rPr>
          <w:rFonts w:ascii="Times New Roman" w:eastAsia="Calibri" w:hAnsi="Times New Roman" w:cs="Times New Roman"/>
          <w:i/>
          <w:sz w:val="24"/>
          <w:szCs w:val="24"/>
        </w:rPr>
        <w:t xml:space="preserve"> znižuje</w:t>
      </w:r>
    </w:p>
    <w:p w:rsidR="00054C41" w:rsidRPr="00CE50E8" w:rsidRDefault="00054C41" w:rsidP="00054C41">
      <w:pPr>
        <w:spacing w:after="0"/>
        <w:jc w:val="both"/>
        <w:rPr>
          <w:rFonts w:ascii="Times New Roman" w:eastAsia="Calibri" w:hAnsi="Times New Roman" w:cs="Times New Roman"/>
          <w:i/>
          <w:sz w:val="24"/>
          <w:szCs w:val="24"/>
        </w:rPr>
      </w:pPr>
    </w:p>
    <w:p w:rsidR="00054C41" w:rsidRPr="00CE50E8" w:rsidRDefault="00054C41" w:rsidP="00054C41">
      <w:pPr>
        <w:spacing w:after="0"/>
        <w:jc w:val="both"/>
        <w:rPr>
          <w:rFonts w:ascii="Times New Roman" w:eastAsia="Calibri" w:hAnsi="Times New Roman" w:cs="Times New Roman"/>
          <w:b/>
          <w:i/>
          <w:sz w:val="24"/>
          <w:szCs w:val="24"/>
        </w:rPr>
      </w:pPr>
      <w:r w:rsidRPr="00CE50E8">
        <w:rPr>
          <w:rFonts w:ascii="Times New Roman" w:eastAsia="Calibri" w:hAnsi="Times New Roman" w:cs="Times New Roman"/>
          <w:b/>
          <w:i/>
          <w:sz w:val="24"/>
          <w:szCs w:val="24"/>
        </w:rPr>
        <w:t>Produktivita:</w:t>
      </w:r>
    </w:p>
    <w:p w:rsidR="00054C41" w:rsidRPr="00CE50E8" w:rsidRDefault="00054C41" w:rsidP="00054C41">
      <w:pPr>
        <w:spacing w:after="0"/>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 xml:space="preserve">Aký má materiál vplyv na zmenu pomeru medzi produkciou podnikov a ich nákladmi? </w:t>
      </w:r>
    </w:p>
    <w:p w:rsidR="00054C41" w:rsidRPr="00CE50E8" w:rsidRDefault="00054C41" w:rsidP="00054C41">
      <w:pPr>
        <w:spacing w:after="0"/>
        <w:jc w:val="both"/>
        <w:rPr>
          <w:rFonts w:ascii="Times New Roman" w:eastAsia="Calibri" w:hAnsi="Times New Roman" w:cs="Times New Roman"/>
          <w:i/>
          <w:sz w:val="24"/>
          <w:szCs w:val="24"/>
        </w:rPr>
      </w:pPr>
    </w:p>
    <w:p w:rsidR="00054C41" w:rsidRPr="00CE50E8" w:rsidRDefault="00054C41" w:rsidP="00054C41">
      <w:pPr>
        <w:spacing w:after="0"/>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lastRenderedPageBreak/>
        <w:t>Na základe uvedenej odpovede zaškrtnite a popíšte, či materiál produktivitu:</w:t>
      </w:r>
    </w:p>
    <w:p w:rsidR="00054C41" w:rsidRPr="00CE50E8" w:rsidRDefault="00CC3C8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CE50E8">
                <w:rPr>
                  <w:rFonts w:ascii="Segoe UI Symbol" w:eastAsia="Calibri" w:hAnsi="Segoe UI Symbol" w:cs="Segoe UI Symbol"/>
                  <w:i/>
                  <w:sz w:val="24"/>
                  <w:szCs w:val="24"/>
                </w:rPr>
                <w:t>☐</w:t>
              </w:r>
            </w:sdtContent>
          </w:sdt>
        </w:sdtContent>
      </w:sdt>
      <w:r w:rsidR="00054C41" w:rsidRPr="00CE50E8">
        <w:rPr>
          <w:rFonts w:ascii="Times New Roman" w:eastAsia="Calibri" w:hAnsi="Times New Roman" w:cs="Times New Roman"/>
          <w:i/>
          <w:sz w:val="24"/>
          <w:szCs w:val="24"/>
        </w:rPr>
        <w:t xml:space="preserve"> zvyšuje  </w:t>
      </w:r>
      <w:r w:rsidR="00054C41" w:rsidRPr="00CE50E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912769877"/>
                </w:sdtPr>
                <w:sdtEndPr/>
                <w:sdtContent>
                  <w:sdt>
                    <w:sdtPr>
                      <w:rPr>
                        <w:rFonts w:ascii="Times New Roman" w:eastAsia="Calibri" w:hAnsi="Times New Roman" w:cs="Times New Roman"/>
                        <w:i/>
                        <w:sz w:val="24"/>
                        <w:szCs w:val="24"/>
                      </w:rPr>
                      <w:id w:val="-1207109322"/>
                    </w:sdtPr>
                    <w:sdtEndPr/>
                    <w:sdtContent>
                      <w:sdt>
                        <w:sdtPr>
                          <w:rPr>
                            <w:rFonts w:ascii="Times New Roman" w:eastAsia="Calibri" w:hAnsi="Times New Roman" w:cs="Times New Roman"/>
                            <w:i/>
                            <w:sz w:val="24"/>
                            <w:szCs w:val="24"/>
                          </w:rPr>
                          <w:id w:val="70014234"/>
                        </w:sdtPr>
                        <w:sdtEndPr/>
                        <w:sdtContent>
                          <w:sdt>
                            <w:sdtPr>
                              <w:rPr>
                                <w:rFonts w:ascii="Times New Roman" w:eastAsia="Calibri" w:hAnsi="Times New Roman" w:cs="Times New Roman"/>
                                <w:i/>
                                <w:sz w:val="24"/>
                                <w:szCs w:val="24"/>
                              </w:rPr>
                              <w:id w:val="645631334"/>
                            </w:sdtPr>
                            <w:sdtEndPr/>
                            <w:sdtContent>
                              <w:sdt>
                                <w:sdtPr>
                                  <w:rPr>
                                    <w:rFonts w:ascii="Times New Roman" w:eastAsia="Calibri" w:hAnsi="Times New Roman" w:cs="Times New Roman"/>
                                    <w:i/>
                                    <w:sz w:val="24"/>
                                    <w:szCs w:val="24"/>
                                  </w:rPr>
                                  <w:id w:val="-305472590"/>
                                </w:sdtPr>
                                <w:sdtEndPr/>
                                <w:sdtContent>
                                  <w:sdt>
                                    <w:sdtPr>
                                      <w:rPr>
                                        <w:rFonts w:ascii="Times New Roman" w:eastAsia="Calibri" w:hAnsi="Times New Roman" w:cs="Times New Roman"/>
                                        <w:i/>
                                        <w:sz w:val="24"/>
                                        <w:szCs w:val="24"/>
                                      </w:rPr>
                                      <w:id w:val="-1352714281"/>
                                    </w:sdtPr>
                                    <w:sdtEndPr/>
                                    <w:sdtContent>
                                      <w:sdt>
                                        <w:sdtPr>
                                          <w:rPr>
                                            <w:rFonts w:ascii="Times New Roman" w:eastAsia="Calibri" w:hAnsi="Times New Roman" w:cs="Times New Roman"/>
                                            <w:i/>
                                            <w:sz w:val="24"/>
                                            <w:szCs w:val="24"/>
                                          </w:rPr>
                                          <w:id w:val="1954589175"/>
                                        </w:sdtPr>
                                        <w:sdtEndPr/>
                                        <w:sdtContent>
                                          <w:r w:rsidR="007C488C" w:rsidRPr="00CE50E8">
                                            <w:rPr>
                                              <w:rFonts w:ascii="Segoe UI Symbol" w:eastAsia="Calibri" w:hAnsi="Segoe UI Symbol" w:cs="Segoe UI Symbol"/>
                                              <w:i/>
                                              <w:sz w:val="24"/>
                                              <w:szCs w:val="24"/>
                                            </w:rPr>
                                            <w:t>⊠</w:t>
                                          </w:r>
                                        </w:sdtContent>
                                      </w:sdt>
                                    </w:sdtContent>
                                  </w:sdt>
                                </w:sdtContent>
                              </w:sdt>
                            </w:sdtContent>
                          </w:sdt>
                        </w:sdtContent>
                      </w:sdt>
                    </w:sdtContent>
                  </w:sdt>
                </w:sdtContent>
              </w:sdt>
            </w:sdtContent>
          </w:sdt>
        </w:sdtContent>
      </w:sdt>
      <w:r w:rsidR="00054C41" w:rsidRPr="00CE50E8">
        <w:rPr>
          <w:rFonts w:ascii="Times New Roman" w:eastAsia="Calibri" w:hAnsi="Times New Roman" w:cs="Times New Roman"/>
          <w:i/>
          <w:sz w:val="24"/>
          <w:szCs w:val="24"/>
        </w:rPr>
        <w:t xml:space="preserve"> nemení</w:t>
      </w:r>
      <w:r w:rsidR="00054C41" w:rsidRPr="00CE50E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CE50E8">
                <w:rPr>
                  <w:rFonts w:ascii="Segoe UI Symbol" w:eastAsia="Calibri" w:hAnsi="Segoe UI Symbol" w:cs="Segoe UI Symbol"/>
                  <w:i/>
                  <w:sz w:val="24"/>
                  <w:szCs w:val="24"/>
                </w:rPr>
                <w:t>☐</w:t>
              </w:r>
            </w:sdtContent>
          </w:sdt>
        </w:sdtContent>
      </w:sdt>
      <w:r w:rsidR="00054C41" w:rsidRPr="00CE50E8">
        <w:rPr>
          <w:rFonts w:ascii="Times New Roman" w:eastAsia="Calibri" w:hAnsi="Times New Roman" w:cs="Times New Roman"/>
          <w:i/>
          <w:sz w:val="24"/>
          <w:szCs w:val="24"/>
        </w:rPr>
        <w:t xml:space="preserve"> znižuje</w:t>
      </w:r>
    </w:p>
    <w:p w:rsidR="00054C41" w:rsidRPr="00CE50E8" w:rsidRDefault="00054C41" w:rsidP="00054C41">
      <w:pPr>
        <w:spacing w:after="0"/>
        <w:jc w:val="both"/>
        <w:rPr>
          <w:rFonts w:ascii="Times New Roman" w:eastAsia="Calibri" w:hAnsi="Times New Roman" w:cs="Times New Roman"/>
          <w:i/>
          <w:sz w:val="24"/>
          <w:szCs w:val="24"/>
        </w:rPr>
      </w:pPr>
    </w:p>
    <w:p w:rsidR="00054C41" w:rsidRPr="00CE50E8" w:rsidRDefault="00054C41" w:rsidP="00054C41">
      <w:pPr>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 xml:space="preserve">3.4  Iné vplyvy na podnikateľské prostredie </w:t>
      </w:r>
    </w:p>
    <w:p w:rsidR="00FF414B" w:rsidRPr="00CE50E8" w:rsidRDefault="00FF414B" w:rsidP="00FF414B">
      <w:pPr>
        <w:spacing w:after="0"/>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Pr="00CE50E8"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sankcie alebo pokuty, ako dôsledok porušenia právne záväzných ustanovení;</w:t>
      </w:r>
    </w:p>
    <w:p w:rsidR="00FF414B" w:rsidRPr="00CE50E8"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Pr="00CE50E8"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regulované ceny podľa zákona č. 18/1996 Z. z. o cenách;</w:t>
      </w:r>
    </w:p>
    <w:p w:rsidR="00FF414B" w:rsidRPr="00CE50E8"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CE50E8">
        <w:rPr>
          <w:rFonts w:ascii="Times New Roman" w:eastAsia="Calibri" w:hAnsi="Times New Roman" w:cs="Times New Roman"/>
          <w:i/>
          <w:sz w:val="24"/>
          <w:szCs w:val="24"/>
        </w:rPr>
        <w:t xml:space="preserve">iné vplyvy, ktoré predpokladá materiál, ale nemožno ich zaradiť do častí 3.1 a 3.3. </w:t>
      </w:r>
    </w:p>
    <w:p w:rsidR="00FF414B" w:rsidRPr="00CE50E8" w:rsidRDefault="00FF414B" w:rsidP="00FF414B">
      <w:pPr>
        <w:spacing w:after="0"/>
        <w:jc w:val="both"/>
        <w:rPr>
          <w:rFonts w:ascii="Times New Roman" w:eastAsia="Calibri" w:hAnsi="Times New Roman" w:cs="Times New Roman"/>
          <w:i/>
          <w:sz w:val="24"/>
          <w:szCs w:val="24"/>
        </w:rPr>
      </w:pPr>
    </w:p>
    <w:p w:rsidR="00517CEC" w:rsidRPr="00CE50E8" w:rsidRDefault="00517CEC" w:rsidP="00FF414B">
      <w:pPr>
        <w:spacing w:after="0"/>
        <w:jc w:val="both"/>
        <w:rPr>
          <w:rFonts w:ascii="Times New Roman" w:eastAsia="Calibri" w:hAnsi="Times New Roman" w:cs="Times New Roman"/>
          <w:b/>
          <w:sz w:val="24"/>
          <w:szCs w:val="24"/>
        </w:rPr>
      </w:pPr>
      <w:r w:rsidRPr="00CE50E8">
        <w:rPr>
          <w:rFonts w:ascii="Times New Roman" w:eastAsia="Calibri" w:hAnsi="Times New Roman" w:cs="Times New Roman"/>
          <w:b/>
          <w:sz w:val="24"/>
          <w:szCs w:val="24"/>
        </w:rPr>
        <w:t>3.4.1 Goldplating</w:t>
      </w:r>
    </w:p>
    <w:p w:rsidR="00517CEC" w:rsidRPr="00CE50E8" w:rsidRDefault="00517CEC" w:rsidP="00FF414B">
      <w:pPr>
        <w:spacing w:after="0"/>
        <w:jc w:val="both"/>
        <w:rPr>
          <w:rFonts w:ascii="Times New Roman" w:eastAsia="Calibri" w:hAnsi="Times New Roman" w:cs="Times New Roman"/>
          <w:sz w:val="24"/>
          <w:szCs w:val="24"/>
        </w:rPr>
      </w:pPr>
    </w:p>
    <w:p w:rsidR="00054C41" w:rsidRPr="00CE50E8" w:rsidRDefault="00F51EEB" w:rsidP="00054C41">
      <w:pPr>
        <w:spacing w:after="0"/>
        <w:jc w:val="both"/>
        <w:rPr>
          <w:rFonts w:ascii="Times New Roman" w:eastAsia="Calibri" w:hAnsi="Times New Roman" w:cs="Times New Roman"/>
          <w:iCs/>
          <w:sz w:val="24"/>
          <w:szCs w:val="24"/>
        </w:rPr>
      </w:pPr>
      <w:r w:rsidRPr="00CE50E8">
        <w:rPr>
          <w:rFonts w:ascii="Times New Roman" w:eastAsia="Calibri" w:hAnsi="Times New Roman" w:cs="Times New Roman"/>
          <w:iCs/>
          <w:sz w:val="24"/>
          <w:szCs w:val="24"/>
        </w:rPr>
        <w:t>V oblasti vplyvov na podnikateľské prostredie možno  za goldplating považovať aj zachovanie existujúcej právnej úpravy, ktorá spolu s predloženým návrhom právneho predpisu spôsobuje, že transpozícia nebude vykonaná v minimálnej miere podľa písmen a) až e) (zachovanie existujúcej úpravy); o goldplating sa nejedná, ak smernica obsahuje doložku zákazu zníženia úpravy ochrany. /GP-A f)/.</w:t>
      </w:r>
    </w:p>
    <w:p w:rsidR="00F51EEB" w:rsidRPr="00CE50E8" w:rsidRDefault="00F51EEB" w:rsidP="00054C41">
      <w:pPr>
        <w:spacing w:after="0"/>
        <w:jc w:val="both"/>
        <w:rPr>
          <w:rFonts w:ascii="Times New Roman" w:eastAsia="Calibri" w:hAnsi="Times New Roman" w:cs="Times New Roman"/>
          <w:iCs/>
          <w:sz w:val="24"/>
          <w:szCs w:val="24"/>
        </w:rPr>
      </w:pPr>
    </w:p>
    <w:p w:rsidR="00610FF7" w:rsidRPr="00CE50E8" w:rsidRDefault="00610FF7" w:rsidP="00610FF7">
      <w:pPr>
        <w:spacing w:line="240" w:lineRule="auto"/>
        <w:jc w:val="both"/>
        <w:rPr>
          <w:rFonts w:ascii="Times New Roman" w:hAnsi="Times New Roman" w:cs="Times New Roman"/>
          <w:b/>
          <w:sz w:val="24"/>
          <w:szCs w:val="24"/>
        </w:rPr>
      </w:pPr>
      <w:r w:rsidRPr="00CE50E8">
        <w:rPr>
          <w:rFonts w:ascii="Times New Roman" w:hAnsi="Times New Roman" w:cs="Times New Roman"/>
          <w:b/>
          <w:sz w:val="24"/>
          <w:szCs w:val="24"/>
        </w:rPr>
        <w:t>Príloha č. 1: Zoznam látok</w:t>
      </w:r>
      <w:r w:rsidR="00B33E04" w:rsidRPr="00CE50E8">
        <w:rPr>
          <w:rFonts w:ascii="Times New Roman" w:hAnsi="Times New Roman" w:cs="Times New Roman"/>
          <w:b/>
          <w:sz w:val="24"/>
          <w:szCs w:val="24"/>
        </w:rPr>
        <w:t>,</w:t>
      </w:r>
      <w:r w:rsidRPr="00CE50E8">
        <w:rPr>
          <w:rFonts w:ascii="Times New Roman" w:hAnsi="Times New Roman" w:cs="Times New Roman"/>
          <w:b/>
          <w:sz w:val="24"/>
          <w:szCs w:val="24"/>
        </w:rPr>
        <w:t xml:space="preserve"> zmesí a pracovných procesov s rizikami chemickej karcinogenity. </w:t>
      </w:r>
    </w:p>
    <w:p w:rsidR="00610FF7" w:rsidRPr="00CE50E8" w:rsidRDefault="00610FF7" w:rsidP="00610FF7">
      <w:pPr>
        <w:spacing w:line="240" w:lineRule="auto"/>
        <w:jc w:val="both"/>
        <w:rPr>
          <w:rFonts w:ascii="Times New Roman" w:hAnsi="Times New Roman" w:cs="Times New Roman"/>
          <w:sz w:val="24"/>
          <w:szCs w:val="24"/>
        </w:rPr>
      </w:pPr>
      <w:r w:rsidRPr="00CE50E8">
        <w:rPr>
          <w:rFonts w:ascii="Times New Roman" w:hAnsi="Times New Roman" w:cs="Times New Roman"/>
          <w:sz w:val="24"/>
          <w:szCs w:val="24"/>
        </w:rPr>
        <w:t xml:space="preserve">Nad rámec smernice Európskeho parlamentu a Rady 2004/37/ES o ochrane pracovníkov pred rizikami súvisiacimi s expozíciou </w:t>
      </w:r>
      <w:bookmarkStart w:id="1" w:name="_Hlk143162357"/>
      <w:r w:rsidR="00130752" w:rsidRPr="00CE50E8">
        <w:rPr>
          <w:rFonts w:ascii="Times New Roman" w:hAnsi="Times New Roman"/>
          <w:sz w:val="24"/>
          <w:szCs w:val="24"/>
        </w:rPr>
        <w:t xml:space="preserve">karcinogénom, mutagénom alebo reprodukčne toxickým látkam </w:t>
      </w:r>
      <w:bookmarkEnd w:id="1"/>
      <w:r w:rsidR="00130752" w:rsidRPr="00CE50E8">
        <w:rPr>
          <w:rFonts w:ascii="Times New Roman" w:hAnsi="Times New Roman"/>
          <w:sz w:val="24"/>
          <w:szCs w:val="24"/>
        </w:rPr>
        <w:t xml:space="preserve">pri práci </w:t>
      </w:r>
      <w:r w:rsidRPr="00CE50E8">
        <w:rPr>
          <w:rFonts w:ascii="Times New Roman" w:hAnsi="Times New Roman" w:cs="Times New Roman"/>
          <w:sz w:val="24"/>
          <w:szCs w:val="24"/>
        </w:rPr>
        <w:t xml:space="preserve">bola medzi pracovné procesy s rizikom chemickej karcinogenity zaradená </w:t>
      </w:r>
      <w:r w:rsidRPr="00CE50E8">
        <w:rPr>
          <w:rFonts w:ascii="Times New Roman" w:hAnsi="Times New Roman" w:cs="Times New Roman"/>
          <w:b/>
          <w:sz w:val="24"/>
          <w:szCs w:val="24"/>
        </w:rPr>
        <w:t>práca s</w:t>
      </w:r>
      <w:r w:rsidR="00C83111" w:rsidRPr="00CE50E8">
        <w:rPr>
          <w:rFonts w:ascii="Times New Roman" w:hAnsi="Times New Roman" w:cs="Times New Roman"/>
          <w:b/>
          <w:sz w:val="24"/>
          <w:szCs w:val="24"/>
        </w:rPr>
        <w:t> </w:t>
      </w:r>
      <w:r w:rsidRPr="00CE50E8">
        <w:rPr>
          <w:rFonts w:ascii="Times New Roman" w:hAnsi="Times New Roman" w:cs="Times New Roman"/>
          <w:b/>
          <w:sz w:val="24"/>
          <w:szCs w:val="24"/>
        </w:rPr>
        <w:t>cytostatikami</w:t>
      </w:r>
      <w:r w:rsidR="00C83111" w:rsidRPr="00CE50E8">
        <w:rPr>
          <w:rFonts w:ascii="Times New Roman" w:hAnsi="Times New Roman" w:cs="Times New Roman"/>
          <w:b/>
          <w:sz w:val="24"/>
          <w:szCs w:val="24"/>
        </w:rPr>
        <w:t xml:space="preserve"> </w:t>
      </w:r>
      <w:r w:rsidR="00C83111" w:rsidRPr="00CE50E8">
        <w:rPr>
          <w:rFonts w:ascii="Times New Roman" w:hAnsi="Times New Roman" w:cs="Times New Roman"/>
          <w:sz w:val="24"/>
          <w:szCs w:val="24"/>
        </w:rPr>
        <w:t>(</w:t>
      </w:r>
      <w:r w:rsidRPr="00CE50E8">
        <w:rPr>
          <w:rFonts w:ascii="Times New Roman" w:hAnsi="Times New Roman" w:cs="Times New Roman"/>
          <w:sz w:val="24"/>
          <w:szCs w:val="24"/>
        </w:rPr>
        <w:t xml:space="preserve">ktorých obsahom sú </w:t>
      </w:r>
      <w:r w:rsidR="00C83111" w:rsidRPr="00CE50E8">
        <w:rPr>
          <w:rFonts w:ascii="Times New Roman" w:hAnsi="Times New Roman" w:cs="Times New Roman"/>
          <w:sz w:val="24"/>
          <w:szCs w:val="24"/>
        </w:rPr>
        <w:t xml:space="preserve">karcinogénne faktory, mutagénne faktory </w:t>
      </w:r>
      <w:r w:rsidRPr="00CE50E8">
        <w:rPr>
          <w:rFonts w:ascii="Times New Roman" w:hAnsi="Times New Roman" w:cs="Times New Roman"/>
          <w:sz w:val="24"/>
          <w:szCs w:val="24"/>
        </w:rPr>
        <w:t xml:space="preserve">alebo reprodukčne toxické </w:t>
      </w:r>
      <w:r w:rsidR="00C83111" w:rsidRPr="00CE50E8">
        <w:rPr>
          <w:rFonts w:ascii="Times New Roman" w:hAnsi="Times New Roman" w:cs="Times New Roman"/>
          <w:sz w:val="24"/>
          <w:szCs w:val="24"/>
        </w:rPr>
        <w:t>faktory)</w:t>
      </w:r>
      <w:r w:rsidRPr="00CE50E8">
        <w:rPr>
          <w:rFonts w:ascii="Times New Roman" w:hAnsi="Times New Roman" w:cs="Times New Roman"/>
          <w:sz w:val="24"/>
          <w:szCs w:val="24"/>
        </w:rPr>
        <w:t xml:space="preserve"> už v súčasne platnej legislatívnej úprave, ktorou je nariadenie vlády SR č. 356/2006 Z. z.  o ochrane zdravia zamestnancov pred rizikami súvisiacimi s expozíciou karcinogénnym a mutagénnym faktorom pri práci v znení neskorších predpisov.</w:t>
      </w:r>
    </w:p>
    <w:p w:rsidR="00610FF7" w:rsidRPr="00CE50E8" w:rsidRDefault="00610FF7" w:rsidP="00610FF7">
      <w:pPr>
        <w:spacing w:line="240" w:lineRule="auto"/>
        <w:jc w:val="both"/>
        <w:rPr>
          <w:rFonts w:ascii="Times New Roman" w:hAnsi="Times New Roman" w:cs="Times New Roman"/>
          <w:b/>
          <w:sz w:val="24"/>
          <w:szCs w:val="24"/>
        </w:rPr>
      </w:pPr>
      <w:r w:rsidRPr="00CE50E8">
        <w:rPr>
          <w:rFonts w:ascii="Times New Roman" w:hAnsi="Times New Roman" w:cs="Times New Roman"/>
          <w:b/>
          <w:sz w:val="24"/>
          <w:szCs w:val="24"/>
        </w:rPr>
        <w:t xml:space="preserve">Cytostatiká patria medzi nebezpečné lieky, ktoré </w:t>
      </w:r>
      <w:r w:rsidR="00B33E04" w:rsidRPr="00CE50E8">
        <w:rPr>
          <w:rFonts w:ascii="Times New Roman" w:hAnsi="Times New Roman" w:cs="Times New Roman"/>
          <w:b/>
          <w:sz w:val="24"/>
          <w:szCs w:val="24"/>
        </w:rPr>
        <w:t xml:space="preserve">môžu </w:t>
      </w:r>
      <w:r w:rsidRPr="00CE50E8">
        <w:rPr>
          <w:rFonts w:ascii="Times New Roman" w:hAnsi="Times New Roman" w:cs="Times New Roman"/>
          <w:b/>
          <w:sz w:val="24"/>
          <w:szCs w:val="24"/>
        </w:rPr>
        <w:t>obsah</w:t>
      </w:r>
      <w:r w:rsidR="00B33E04" w:rsidRPr="00CE50E8">
        <w:rPr>
          <w:rFonts w:ascii="Times New Roman" w:hAnsi="Times New Roman" w:cs="Times New Roman"/>
          <w:b/>
          <w:sz w:val="24"/>
          <w:szCs w:val="24"/>
        </w:rPr>
        <w:t>ovať</w:t>
      </w:r>
      <w:r w:rsidRPr="00CE50E8">
        <w:rPr>
          <w:rFonts w:ascii="Times New Roman" w:hAnsi="Times New Roman" w:cs="Times New Roman"/>
          <w:b/>
          <w:sz w:val="24"/>
          <w:szCs w:val="24"/>
        </w:rPr>
        <w:t xml:space="preserve"> karcinogén</w:t>
      </w:r>
      <w:r w:rsidR="00130752" w:rsidRPr="00CE50E8">
        <w:rPr>
          <w:rFonts w:ascii="Times New Roman" w:hAnsi="Times New Roman" w:cs="Times New Roman"/>
          <w:b/>
          <w:sz w:val="24"/>
          <w:szCs w:val="24"/>
        </w:rPr>
        <w:t>ne faktory</w:t>
      </w:r>
      <w:r w:rsidRPr="00CE50E8">
        <w:rPr>
          <w:rFonts w:ascii="Times New Roman" w:hAnsi="Times New Roman" w:cs="Times New Roman"/>
          <w:b/>
          <w:sz w:val="24"/>
          <w:szCs w:val="24"/>
        </w:rPr>
        <w:t>, mutagén</w:t>
      </w:r>
      <w:r w:rsidR="00130752" w:rsidRPr="00CE50E8">
        <w:rPr>
          <w:rFonts w:ascii="Times New Roman" w:hAnsi="Times New Roman" w:cs="Times New Roman"/>
          <w:b/>
          <w:sz w:val="24"/>
          <w:szCs w:val="24"/>
        </w:rPr>
        <w:t>ne faktory</w:t>
      </w:r>
      <w:r w:rsidRPr="00CE50E8">
        <w:rPr>
          <w:rFonts w:ascii="Times New Roman" w:hAnsi="Times New Roman" w:cs="Times New Roman"/>
          <w:b/>
          <w:sz w:val="24"/>
          <w:szCs w:val="24"/>
        </w:rPr>
        <w:t xml:space="preserve"> alebo reprodukčne toxické </w:t>
      </w:r>
      <w:r w:rsidR="00130752" w:rsidRPr="00CE50E8">
        <w:rPr>
          <w:rFonts w:ascii="Times New Roman" w:hAnsi="Times New Roman" w:cs="Times New Roman"/>
          <w:b/>
          <w:sz w:val="24"/>
          <w:szCs w:val="24"/>
        </w:rPr>
        <w:t>faktory</w:t>
      </w:r>
      <w:r w:rsidRPr="00CE50E8">
        <w:rPr>
          <w:rFonts w:ascii="Times New Roman" w:hAnsi="Times New Roman" w:cs="Times New Roman"/>
          <w:b/>
          <w:sz w:val="24"/>
          <w:szCs w:val="24"/>
        </w:rPr>
        <w:t xml:space="preserve"> v zmysle článku 11 smernice </w:t>
      </w:r>
      <w:r w:rsidRPr="00CE50E8">
        <w:rPr>
          <w:rFonts w:ascii="Times New Roman" w:hAnsi="Times New Roman" w:cs="Times New Roman"/>
          <w:b/>
          <w:strike/>
          <w:sz w:val="24"/>
          <w:szCs w:val="24"/>
        </w:rPr>
        <w:t>Európskeho parlamentu a Rady</w:t>
      </w:r>
      <w:r w:rsidRPr="00CE50E8">
        <w:rPr>
          <w:rFonts w:ascii="Times New Roman" w:hAnsi="Times New Roman" w:cs="Times New Roman"/>
          <w:b/>
          <w:sz w:val="24"/>
          <w:szCs w:val="24"/>
        </w:rPr>
        <w:t xml:space="preserve"> (EÚ) 2022/431.</w:t>
      </w:r>
    </w:p>
    <w:p w:rsidR="00CA5BA3" w:rsidRPr="00CE50E8" w:rsidRDefault="00CA5BA3" w:rsidP="00610FF7">
      <w:pPr>
        <w:spacing w:line="240" w:lineRule="auto"/>
        <w:jc w:val="both"/>
        <w:rPr>
          <w:rFonts w:ascii="Times New Roman" w:hAnsi="Times New Roman" w:cs="Times New Roman"/>
          <w:sz w:val="24"/>
          <w:szCs w:val="24"/>
        </w:rPr>
      </w:pPr>
      <w:r w:rsidRPr="00CE50E8">
        <w:rPr>
          <w:rFonts w:ascii="Times New Roman" w:hAnsi="Times New Roman" w:cs="Times New Roman"/>
          <w:sz w:val="24"/>
          <w:szCs w:val="24"/>
        </w:rPr>
        <w:t>Pre informáciu uvádzame, že</w:t>
      </w:r>
      <w:r w:rsidR="000406DF" w:rsidRPr="00CE50E8">
        <w:rPr>
          <w:rFonts w:ascii="Times New Roman" w:hAnsi="Times New Roman" w:cs="Times New Roman"/>
          <w:sz w:val="24"/>
          <w:szCs w:val="24"/>
        </w:rPr>
        <w:t xml:space="preserve"> k 31.12.202</w:t>
      </w:r>
      <w:r w:rsidR="003802B2" w:rsidRPr="00CE50E8">
        <w:rPr>
          <w:rFonts w:ascii="Times New Roman" w:hAnsi="Times New Roman" w:cs="Times New Roman"/>
          <w:sz w:val="24"/>
          <w:szCs w:val="24"/>
        </w:rPr>
        <w:t>2</w:t>
      </w:r>
      <w:r w:rsidR="000406DF" w:rsidRPr="00CE50E8">
        <w:rPr>
          <w:rFonts w:ascii="Times New Roman" w:hAnsi="Times New Roman" w:cs="Times New Roman"/>
          <w:sz w:val="24"/>
          <w:szCs w:val="24"/>
        </w:rPr>
        <w:t xml:space="preserve"> bolo v Slovenskej republike </w:t>
      </w:r>
      <w:r w:rsidR="003802B2" w:rsidRPr="00CE50E8">
        <w:rPr>
          <w:rFonts w:ascii="Times New Roman" w:hAnsi="Times New Roman" w:cs="Times New Roman"/>
          <w:sz w:val="24"/>
          <w:szCs w:val="24"/>
        </w:rPr>
        <w:t xml:space="preserve">58 </w:t>
      </w:r>
      <w:r w:rsidRPr="00CE50E8">
        <w:rPr>
          <w:rFonts w:ascii="Times New Roman" w:hAnsi="Times New Roman" w:cs="Times New Roman"/>
          <w:sz w:val="24"/>
          <w:szCs w:val="24"/>
        </w:rPr>
        <w:t>podnikateľských subjektov, ktorých zamestnanci boli exponovaní pri práci cytostatikám</w:t>
      </w:r>
      <w:r w:rsidR="000406DF" w:rsidRPr="00CE50E8">
        <w:rPr>
          <w:rFonts w:ascii="Times New Roman" w:hAnsi="Times New Roman" w:cs="Times New Roman"/>
          <w:sz w:val="24"/>
          <w:szCs w:val="24"/>
        </w:rPr>
        <w:t xml:space="preserve">; počet exponovaných zamestnancov cytostatikám bol </w:t>
      </w:r>
      <w:r w:rsidR="003802B2" w:rsidRPr="00CE50E8">
        <w:rPr>
          <w:rFonts w:ascii="Times New Roman" w:hAnsi="Times New Roman" w:cs="Times New Roman"/>
          <w:sz w:val="24"/>
          <w:szCs w:val="24"/>
        </w:rPr>
        <w:t>2 213</w:t>
      </w:r>
      <w:r w:rsidR="000406DF" w:rsidRPr="00CE50E8">
        <w:rPr>
          <w:rFonts w:ascii="Times New Roman" w:hAnsi="Times New Roman" w:cs="Times New Roman"/>
          <w:sz w:val="24"/>
          <w:szCs w:val="24"/>
        </w:rPr>
        <w:t xml:space="preserve"> (údaje boli poskytnuté regionálnymi úradmi verejného zdravotníctva v SR). </w:t>
      </w:r>
    </w:p>
    <w:p w:rsidR="00610FF7" w:rsidRPr="00CE50E8" w:rsidRDefault="00610FF7" w:rsidP="00610FF7">
      <w:pPr>
        <w:pStyle w:val="Zkladntext2"/>
        <w:jc w:val="both"/>
        <w:rPr>
          <w:b/>
          <w:sz w:val="24"/>
          <w:szCs w:val="24"/>
        </w:rPr>
      </w:pPr>
      <w:r w:rsidRPr="00CE50E8">
        <w:rPr>
          <w:b/>
          <w:bCs/>
          <w:sz w:val="24"/>
          <w:szCs w:val="24"/>
        </w:rPr>
        <w:t>§ 2 ods. 7 a príloha č. 3:</w:t>
      </w:r>
      <w:r w:rsidRPr="00CE50E8">
        <w:rPr>
          <w:sz w:val="24"/>
          <w:szCs w:val="24"/>
        </w:rPr>
        <w:t xml:space="preserve"> </w:t>
      </w:r>
      <w:r w:rsidRPr="00CE50E8">
        <w:rPr>
          <w:b/>
          <w:sz w:val="24"/>
          <w:szCs w:val="24"/>
        </w:rPr>
        <w:t>Expozičné ekvivalenty niektorých karcinogén</w:t>
      </w:r>
      <w:r w:rsidR="00130752" w:rsidRPr="00CE50E8">
        <w:rPr>
          <w:b/>
          <w:sz w:val="24"/>
          <w:szCs w:val="24"/>
        </w:rPr>
        <w:t xml:space="preserve">nych faktorov </w:t>
      </w:r>
      <w:r w:rsidRPr="00CE50E8">
        <w:rPr>
          <w:b/>
          <w:sz w:val="24"/>
          <w:szCs w:val="24"/>
        </w:rPr>
        <w:t xml:space="preserve"> a</w:t>
      </w:r>
      <w:r w:rsidR="00130752" w:rsidRPr="00CE50E8">
        <w:rPr>
          <w:b/>
          <w:sz w:val="24"/>
          <w:szCs w:val="24"/>
        </w:rPr>
        <w:t xml:space="preserve">lebo </w:t>
      </w:r>
      <w:r w:rsidRPr="00CE50E8">
        <w:rPr>
          <w:b/>
          <w:sz w:val="24"/>
          <w:szCs w:val="24"/>
        </w:rPr>
        <w:t>mutagén</w:t>
      </w:r>
      <w:r w:rsidR="00130752" w:rsidRPr="00CE50E8">
        <w:rPr>
          <w:b/>
          <w:sz w:val="24"/>
          <w:szCs w:val="24"/>
        </w:rPr>
        <w:t>nych faktorov</w:t>
      </w:r>
      <w:r w:rsidRPr="00CE50E8">
        <w:rPr>
          <w:b/>
          <w:sz w:val="24"/>
          <w:szCs w:val="24"/>
        </w:rPr>
        <w:t>.</w:t>
      </w:r>
    </w:p>
    <w:p w:rsidR="00610FF7" w:rsidRPr="00CE50E8" w:rsidRDefault="00610FF7" w:rsidP="00610FF7">
      <w:pPr>
        <w:pStyle w:val="Zkladntext2"/>
        <w:jc w:val="both"/>
        <w:rPr>
          <w:sz w:val="24"/>
          <w:szCs w:val="24"/>
        </w:rPr>
      </w:pPr>
      <w:r w:rsidRPr="00CE50E8">
        <w:rPr>
          <w:sz w:val="24"/>
          <w:szCs w:val="24"/>
        </w:rPr>
        <w:t xml:space="preserve">V </w:t>
      </w:r>
      <w:r w:rsidRPr="00CE50E8">
        <w:rPr>
          <w:b/>
          <w:i/>
          <w:sz w:val="24"/>
          <w:szCs w:val="24"/>
        </w:rPr>
        <w:t>§ 2 ods. 7</w:t>
      </w:r>
      <w:r w:rsidRPr="00CE50E8">
        <w:rPr>
          <w:sz w:val="24"/>
          <w:szCs w:val="24"/>
        </w:rPr>
        <w:t xml:space="preserve"> je ustanovenie, ktorým sa definuje expozičný ekvivalent, ktorý vyjadruje vzťah medzi koncentráciou karcinogé</w:t>
      </w:r>
      <w:r w:rsidR="00130752" w:rsidRPr="00CE50E8">
        <w:rPr>
          <w:sz w:val="24"/>
          <w:szCs w:val="24"/>
        </w:rPr>
        <w:t>n</w:t>
      </w:r>
      <w:r w:rsidRPr="00CE50E8">
        <w:rPr>
          <w:sz w:val="24"/>
          <w:szCs w:val="24"/>
        </w:rPr>
        <w:t>n</w:t>
      </w:r>
      <w:r w:rsidR="00130752" w:rsidRPr="00CE50E8">
        <w:rPr>
          <w:sz w:val="24"/>
          <w:szCs w:val="24"/>
        </w:rPr>
        <w:t>eho faktoru</w:t>
      </w:r>
      <w:r w:rsidRPr="00CE50E8">
        <w:rPr>
          <w:sz w:val="24"/>
          <w:szCs w:val="24"/>
        </w:rPr>
        <w:t xml:space="preserve"> alebo mutagén</w:t>
      </w:r>
      <w:r w:rsidR="00130752" w:rsidRPr="00CE50E8">
        <w:rPr>
          <w:sz w:val="24"/>
          <w:szCs w:val="24"/>
        </w:rPr>
        <w:t>neho faktoru</w:t>
      </w:r>
      <w:r w:rsidRPr="00CE50E8">
        <w:rPr>
          <w:sz w:val="24"/>
          <w:szCs w:val="24"/>
        </w:rPr>
        <w:t xml:space="preserve"> v pracovnom ovzduší a koncentráciou </w:t>
      </w:r>
      <w:r w:rsidR="00130752" w:rsidRPr="00CE50E8">
        <w:rPr>
          <w:sz w:val="24"/>
          <w:szCs w:val="24"/>
        </w:rPr>
        <w:t xml:space="preserve">karcinogénneho faktoru alebo mutagénneho faktoru </w:t>
      </w:r>
      <w:r w:rsidRPr="00CE50E8">
        <w:rPr>
          <w:sz w:val="24"/>
          <w:szCs w:val="24"/>
        </w:rPr>
        <w:t>alebo ich metabolitov v biologickej vzorke (v moči, v krvi), na základe ktorého možno hodnotiť záťaž organizmu výlučne pri expozícii vdychovaním.</w:t>
      </w:r>
    </w:p>
    <w:p w:rsidR="00130752" w:rsidRPr="00CE50E8" w:rsidRDefault="00610FF7" w:rsidP="00130752">
      <w:pPr>
        <w:pStyle w:val="Zkladntext2"/>
        <w:jc w:val="both"/>
        <w:rPr>
          <w:b/>
          <w:sz w:val="24"/>
          <w:szCs w:val="24"/>
        </w:rPr>
      </w:pPr>
      <w:r w:rsidRPr="00CE50E8">
        <w:rPr>
          <w:b/>
          <w:i/>
          <w:sz w:val="24"/>
          <w:szCs w:val="24"/>
        </w:rPr>
        <w:lastRenderedPageBreak/>
        <w:t>Príloha č. 3</w:t>
      </w:r>
      <w:r w:rsidRPr="00CE50E8">
        <w:rPr>
          <w:sz w:val="24"/>
          <w:szCs w:val="24"/>
        </w:rPr>
        <w:t xml:space="preserve"> je nad rámec smernice Európskeho parlamentu a Rady 2004/37/ES o ochrane pracovníkov pred rizikami súvisiacimi  s expozíciou </w:t>
      </w:r>
      <w:r w:rsidR="00130752" w:rsidRPr="00CE50E8">
        <w:rPr>
          <w:sz w:val="24"/>
          <w:szCs w:val="24"/>
        </w:rPr>
        <w:t xml:space="preserve">karcinogénom, mutagénom alebo reprodukčne toxickým látkam </w:t>
      </w:r>
      <w:r w:rsidRPr="00CE50E8">
        <w:rPr>
          <w:sz w:val="24"/>
          <w:szCs w:val="24"/>
        </w:rPr>
        <w:t xml:space="preserve">pri práci. </w:t>
      </w:r>
      <w:r w:rsidRPr="00CE50E8">
        <w:rPr>
          <w:bCs/>
          <w:sz w:val="24"/>
          <w:szCs w:val="24"/>
        </w:rPr>
        <w:t>Obsahuje  e</w:t>
      </w:r>
      <w:r w:rsidRPr="00CE50E8">
        <w:rPr>
          <w:sz w:val="24"/>
          <w:szCs w:val="24"/>
        </w:rPr>
        <w:t xml:space="preserve">xpozičné ekvivalenty pre 11 </w:t>
      </w:r>
      <w:r w:rsidR="00130752" w:rsidRPr="00CE50E8">
        <w:rPr>
          <w:sz w:val="24"/>
          <w:szCs w:val="24"/>
        </w:rPr>
        <w:t>karcinogénnych faktorov  a</w:t>
      </w:r>
      <w:r w:rsidR="00C83111" w:rsidRPr="00CE50E8">
        <w:rPr>
          <w:sz w:val="24"/>
          <w:szCs w:val="24"/>
        </w:rPr>
        <w:t>lebo</w:t>
      </w:r>
      <w:r w:rsidR="00130752" w:rsidRPr="00CE50E8">
        <w:rPr>
          <w:sz w:val="24"/>
          <w:szCs w:val="24"/>
        </w:rPr>
        <w:t xml:space="preserve"> mutagénnych faktorov.</w:t>
      </w:r>
    </w:p>
    <w:p w:rsidR="00610FF7" w:rsidRPr="00CE50E8" w:rsidRDefault="00610FF7" w:rsidP="00610FF7">
      <w:pPr>
        <w:pStyle w:val="Zkladntext2"/>
        <w:jc w:val="both"/>
        <w:rPr>
          <w:sz w:val="24"/>
          <w:szCs w:val="24"/>
        </w:rPr>
      </w:pPr>
      <w:r w:rsidRPr="00CE50E8">
        <w:rPr>
          <w:sz w:val="24"/>
          <w:szCs w:val="24"/>
        </w:rPr>
        <w:t xml:space="preserve">Možnosť použiť </w:t>
      </w:r>
      <w:r w:rsidRPr="00CE50E8">
        <w:rPr>
          <w:bCs/>
          <w:sz w:val="24"/>
          <w:szCs w:val="24"/>
        </w:rPr>
        <w:t>e</w:t>
      </w:r>
      <w:r w:rsidRPr="00CE50E8">
        <w:rPr>
          <w:sz w:val="24"/>
          <w:szCs w:val="24"/>
        </w:rPr>
        <w:t xml:space="preserve">xpozičné ekvivalenty pre vybrané </w:t>
      </w:r>
      <w:r w:rsidR="00130752" w:rsidRPr="00CE50E8">
        <w:rPr>
          <w:sz w:val="24"/>
          <w:szCs w:val="24"/>
        </w:rPr>
        <w:t xml:space="preserve">karcinogénne faktory  alebo mutagénne faktory </w:t>
      </w:r>
      <w:r w:rsidRPr="00CE50E8">
        <w:rPr>
          <w:sz w:val="24"/>
          <w:szCs w:val="24"/>
        </w:rPr>
        <w:t xml:space="preserve">je dôležitá pre aplikačnú prax. </w:t>
      </w:r>
    </w:p>
    <w:p w:rsidR="00913C82" w:rsidRPr="00CE50E8" w:rsidRDefault="00610FF7" w:rsidP="00610FF7">
      <w:pPr>
        <w:spacing w:after="0"/>
        <w:jc w:val="both"/>
        <w:rPr>
          <w:rFonts w:ascii="Times New Roman" w:hAnsi="Times New Roman" w:cs="Times New Roman"/>
          <w:b/>
          <w:sz w:val="24"/>
          <w:szCs w:val="24"/>
        </w:rPr>
      </w:pPr>
      <w:r w:rsidRPr="00CE50E8">
        <w:rPr>
          <w:rFonts w:ascii="Times New Roman" w:hAnsi="Times New Roman" w:cs="Times New Roman"/>
          <w:b/>
          <w:sz w:val="24"/>
          <w:szCs w:val="24"/>
        </w:rPr>
        <w:t>V praxi zjednodušuje hodnotenie expozície</w:t>
      </w:r>
      <w:r w:rsidR="00B33E04" w:rsidRPr="00CE50E8">
        <w:rPr>
          <w:rFonts w:ascii="Times New Roman" w:hAnsi="Times New Roman" w:cs="Times New Roman"/>
          <w:b/>
          <w:sz w:val="24"/>
          <w:szCs w:val="24"/>
        </w:rPr>
        <w:t xml:space="preserve"> vybraným </w:t>
      </w:r>
      <w:r w:rsidR="00130752" w:rsidRPr="00CE50E8">
        <w:rPr>
          <w:rFonts w:ascii="Times New Roman" w:hAnsi="Times New Roman" w:cs="Times New Roman"/>
          <w:b/>
          <w:sz w:val="24"/>
          <w:szCs w:val="24"/>
        </w:rPr>
        <w:t>karcinogénnym faktorom  a</w:t>
      </w:r>
      <w:r w:rsidR="00C83111" w:rsidRPr="00CE50E8">
        <w:rPr>
          <w:rFonts w:ascii="Times New Roman" w:hAnsi="Times New Roman" w:cs="Times New Roman"/>
          <w:b/>
          <w:sz w:val="24"/>
          <w:szCs w:val="24"/>
        </w:rPr>
        <w:t>lebo</w:t>
      </w:r>
      <w:r w:rsidR="00130752" w:rsidRPr="00CE50E8">
        <w:rPr>
          <w:rFonts w:ascii="Times New Roman" w:hAnsi="Times New Roman" w:cs="Times New Roman"/>
          <w:b/>
          <w:sz w:val="24"/>
          <w:szCs w:val="24"/>
        </w:rPr>
        <w:t xml:space="preserve"> mutagénnym faktorom </w:t>
      </w:r>
      <w:r w:rsidRPr="00CE50E8">
        <w:rPr>
          <w:rFonts w:ascii="Times New Roman" w:hAnsi="Times New Roman" w:cs="Times New Roman"/>
          <w:b/>
          <w:sz w:val="24"/>
          <w:szCs w:val="24"/>
        </w:rPr>
        <w:t>tým, že nie je nutné vykonávať odber biologického materiálu u zamestnancov, ktorý je možné nahradiť meraním chemického faktoru v pracovnom ovzduší a následným použitím prepočtu uvedeného v tabuľkách.</w:t>
      </w:r>
    </w:p>
    <w:p w:rsidR="00DB7327" w:rsidRPr="00CE50E8" w:rsidRDefault="00DB7327" w:rsidP="00610FF7">
      <w:pPr>
        <w:spacing w:after="0"/>
        <w:jc w:val="both"/>
        <w:rPr>
          <w:rFonts w:ascii="Times New Roman" w:hAnsi="Times New Roman" w:cs="Times New Roman"/>
          <w:b/>
          <w:sz w:val="24"/>
          <w:szCs w:val="24"/>
        </w:rPr>
      </w:pPr>
    </w:p>
    <w:p w:rsidR="00F51EEB" w:rsidRPr="00CE50E8" w:rsidRDefault="00F51EEB" w:rsidP="00F51EEB">
      <w:pPr>
        <w:spacing w:line="240" w:lineRule="auto"/>
        <w:ind w:firstLine="708"/>
        <w:jc w:val="both"/>
        <w:rPr>
          <w:rFonts w:ascii="Times New Roman" w:hAnsi="Times New Roman" w:cs="Times New Roman"/>
          <w:sz w:val="24"/>
          <w:szCs w:val="24"/>
        </w:rPr>
      </w:pPr>
      <w:r w:rsidRPr="00CE50E8">
        <w:rPr>
          <w:rFonts w:ascii="Times New Roman" w:hAnsi="Times New Roman" w:cs="Times New Roman"/>
          <w:sz w:val="24"/>
          <w:szCs w:val="24"/>
        </w:rPr>
        <w:t xml:space="preserve">Uvedená úprava expozičných ekvivalentov niektorých </w:t>
      </w:r>
      <w:r w:rsidR="00816E53" w:rsidRPr="00CE50E8">
        <w:rPr>
          <w:rFonts w:ascii="Times New Roman" w:hAnsi="Times New Roman" w:cs="Times New Roman"/>
          <w:sz w:val="24"/>
          <w:szCs w:val="24"/>
        </w:rPr>
        <w:t>karcinogénnych faktorov  a</w:t>
      </w:r>
      <w:r w:rsidR="00C83111" w:rsidRPr="00CE50E8">
        <w:rPr>
          <w:rFonts w:ascii="Times New Roman" w:hAnsi="Times New Roman" w:cs="Times New Roman"/>
          <w:sz w:val="24"/>
          <w:szCs w:val="24"/>
        </w:rPr>
        <w:t>lebo</w:t>
      </w:r>
      <w:r w:rsidR="00816E53" w:rsidRPr="00CE50E8">
        <w:rPr>
          <w:rFonts w:ascii="Times New Roman" w:hAnsi="Times New Roman" w:cs="Times New Roman"/>
          <w:sz w:val="24"/>
          <w:szCs w:val="24"/>
        </w:rPr>
        <w:t xml:space="preserve"> mutagénnych faktorov </w:t>
      </w:r>
      <w:r w:rsidRPr="00CE50E8">
        <w:rPr>
          <w:rFonts w:ascii="Times New Roman" w:hAnsi="Times New Roman" w:cs="Times New Roman"/>
          <w:sz w:val="24"/>
          <w:szCs w:val="24"/>
        </w:rPr>
        <w:t>sa nachádza v súčasne platnej legislatívnej úprave, ktorou je nariadenie vlády SR č. 356/2006 Z. z.  o ochrane zdravia zamestnancov pred rizikami súvisiacimi s expozíciou karcinogénnym a mutagénnym faktorom pri práci v znení neskorších predpisov.</w:t>
      </w:r>
    </w:p>
    <w:p w:rsidR="00DB7327" w:rsidRPr="00CE50E8" w:rsidRDefault="00DB7327" w:rsidP="00DB7327">
      <w:pPr>
        <w:spacing w:after="0" w:line="276" w:lineRule="auto"/>
        <w:ind w:firstLine="708"/>
        <w:jc w:val="both"/>
        <w:rPr>
          <w:rFonts w:ascii="Times New Roman" w:eastAsia="Calibri" w:hAnsi="Times New Roman" w:cs="Times New Roman"/>
          <w:sz w:val="24"/>
          <w:szCs w:val="24"/>
        </w:rPr>
      </w:pPr>
      <w:r w:rsidRPr="00CE50E8">
        <w:rPr>
          <w:rFonts w:ascii="Times New Roman" w:eastAsia="Calibri" w:hAnsi="Times New Roman" w:cs="Times New Roman"/>
          <w:sz w:val="24"/>
          <w:szCs w:val="24"/>
        </w:rPr>
        <w:t xml:space="preserve">Cieľom predkladaného materiálu je zlepšiť bezpečnosť a ochranu zdravia zamestnancov pri práci tým, že sa zavádzajú revidované </w:t>
      </w:r>
      <w:bookmarkStart w:id="2" w:name="_GoBack"/>
      <w:bookmarkEnd w:id="2"/>
      <w:r w:rsidR="00C63CBF" w:rsidRPr="00CE50E8">
        <w:rPr>
          <w:rFonts w:ascii="Times New Roman" w:eastAsia="Calibri" w:hAnsi="Times New Roman" w:cs="Times New Roman"/>
          <w:sz w:val="24"/>
          <w:szCs w:val="24"/>
        </w:rPr>
        <w:t xml:space="preserve">NPEL </w:t>
      </w:r>
      <w:r w:rsidRPr="00CE50E8">
        <w:rPr>
          <w:rFonts w:ascii="Times New Roman" w:eastAsia="Calibri" w:hAnsi="Times New Roman" w:cs="Times New Roman"/>
          <w:sz w:val="24"/>
          <w:szCs w:val="24"/>
        </w:rPr>
        <w:t>v pracovnom ovzduší pre vybrané karcinogénne faktory pri práci a dopĺňa sa nový zoznam reprodukčne toxických faktorov spolu s ich NPEL. S týmito zmenami sa očakáva zvýšenie nákladov podnikateľského prostredia. Celková suma, o ktorú by sa s predloženými opatreniami mohla zvýšiť záťaž na podnikateľské prostredie, nie je možné presne vyčísliť z dôvodu chýbajúcich informácií o používaní karcinogénnych</w:t>
      </w:r>
      <w:r w:rsidR="00B33E04" w:rsidRPr="00CE50E8">
        <w:rPr>
          <w:rFonts w:ascii="Times New Roman" w:eastAsia="Calibri" w:hAnsi="Times New Roman" w:cs="Times New Roman"/>
          <w:sz w:val="24"/>
          <w:szCs w:val="24"/>
        </w:rPr>
        <w:t xml:space="preserve"> faktorov</w:t>
      </w:r>
      <w:r w:rsidRPr="00CE50E8">
        <w:rPr>
          <w:rFonts w:ascii="Times New Roman" w:eastAsia="Calibri" w:hAnsi="Times New Roman" w:cs="Times New Roman"/>
          <w:sz w:val="24"/>
          <w:szCs w:val="24"/>
        </w:rPr>
        <w:t>, mutagénnych</w:t>
      </w:r>
      <w:r w:rsidR="00B33E04" w:rsidRPr="00CE50E8">
        <w:rPr>
          <w:rFonts w:ascii="Times New Roman" w:eastAsia="Calibri" w:hAnsi="Times New Roman" w:cs="Times New Roman"/>
          <w:sz w:val="24"/>
          <w:szCs w:val="24"/>
        </w:rPr>
        <w:t xml:space="preserve"> faktorov</w:t>
      </w:r>
      <w:r w:rsidRPr="00CE50E8">
        <w:rPr>
          <w:rFonts w:ascii="Times New Roman" w:eastAsia="Calibri" w:hAnsi="Times New Roman" w:cs="Times New Roman"/>
          <w:sz w:val="24"/>
          <w:szCs w:val="24"/>
        </w:rPr>
        <w:t xml:space="preserve"> a</w:t>
      </w:r>
      <w:r w:rsidR="00816E53" w:rsidRPr="00CE50E8">
        <w:rPr>
          <w:rFonts w:ascii="Times New Roman" w:eastAsia="Calibri" w:hAnsi="Times New Roman" w:cs="Times New Roman"/>
          <w:sz w:val="24"/>
          <w:szCs w:val="24"/>
        </w:rPr>
        <w:t>lebo</w:t>
      </w:r>
      <w:r w:rsidRPr="00CE50E8">
        <w:rPr>
          <w:rFonts w:ascii="Times New Roman" w:eastAsia="Calibri" w:hAnsi="Times New Roman" w:cs="Times New Roman"/>
          <w:sz w:val="24"/>
          <w:szCs w:val="24"/>
        </w:rPr>
        <w:t xml:space="preserve"> reprodukčne toxických faktorov v jednotlivých odvetviach hospodárstva. </w:t>
      </w:r>
    </w:p>
    <w:p w:rsidR="00DB7327" w:rsidRPr="00CE50E8" w:rsidRDefault="00DB7327" w:rsidP="00DB7327">
      <w:pPr>
        <w:pStyle w:val="Normlnywebov"/>
        <w:spacing w:line="276" w:lineRule="auto"/>
        <w:jc w:val="both"/>
      </w:pPr>
      <w:r w:rsidRPr="00CE50E8">
        <w:t xml:space="preserve">Pozitívny vplyv na podnikateľské prostredie sa tiež prejaví v dlhšom časovom horizonte v zlepšovaní zdravotného stavu zamestnancov a tým aj práceschopnosti. </w:t>
      </w:r>
    </w:p>
    <w:p w:rsidR="00DB7327" w:rsidRPr="00CE50E8" w:rsidRDefault="00DB7327" w:rsidP="00610FF7">
      <w:pPr>
        <w:spacing w:after="0"/>
        <w:jc w:val="both"/>
        <w:rPr>
          <w:rFonts w:ascii="Times New Roman" w:eastAsia="Calibri" w:hAnsi="Times New Roman" w:cs="Times New Roman"/>
        </w:rPr>
      </w:pPr>
    </w:p>
    <w:p w:rsidR="00517CEC" w:rsidRPr="00CE50E8" w:rsidRDefault="00517CEC" w:rsidP="00610FF7">
      <w:pPr>
        <w:spacing w:after="0"/>
        <w:jc w:val="both"/>
        <w:rPr>
          <w:rFonts w:ascii="Times New Roman" w:eastAsia="Calibri" w:hAnsi="Times New Roman" w:cs="Times New Roman"/>
        </w:rPr>
      </w:pPr>
    </w:p>
    <w:p w:rsidR="00517CEC" w:rsidRPr="00CE50E8" w:rsidRDefault="00517CEC" w:rsidP="00610FF7">
      <w:pPr>
        <w:spacing w:after="0"/>
        <w:jc w:val="both"/>
        <w:rPr>
          <w:rFonts w:ascii="Times New Roman" w:eastAsia="Calibri" w:hAnsi="Times New Roman" w:cs="Times New Roman"/>
          <w:b/>
          <w:sz w:val="24"/>
          <w:szCs w:val="24"/>
        </w:rPr>
      </w:pPr>
      <w:r w:rsidRPr="00CE50E8">
        <w:rPr>
          <w:rFonts w:ascii="Times New Roman" w:eastAsia="Calibri" w:hAnsi="Times New Roman" w:cs="Times New Roman"/>
          <w:b/>
        </w:rPr>
        <w:t xml:space="preserve">3.4.2 Ďalšie </w:t>
      </w:r>
      <w:r w:rsidRPr="00CE50E8">
        <w:rPr>
          <w:rFonts w:ascii="Times New Roman" w:eastAsia="Calibri" w:hAnsi="Times New Roman" w:cs="Times New Roman"/>
          <w:b/>
          <w:sz w:val="24"/>
          <w:szCs w:val="24"/>
        </w:rPr>
        <w:t>vplyvy na podnikateľské prostredie</w:t>
      </w:r>
    </w:p>
    <w:p w:rsidR="00517CEC" w:rsidRPr="00CE50E8" w:rsidRDefault="00517CEC" w:rsidP="00610FF7">
      <w:pPr>
        <w:spacing w:after="0"/>
        <w:jc w:val="both"/>
        <w:rPr>
          <w:rFonts w:ascii="Times New Roman" w:eastAsia="Calibri" w:hAnsi="Times New Roman" w:cs="Times New Roman"/>
          <w:i/>
        </w:rPr>
      </w:pPr>
    </w:p>
    <w:p w:rsidR="00DB7327" w:rsidRPr="00CE50E8" w:rsidRDefault="00DB7327" w:rsidP="00AB68EF">
      <w:pPr>
        <w:pStyle w:val="Normlnywebov"/>
        <w:spacing w:after="160" w:line="276" w:lineRule="auto"/>
        <w:jc w:val="both"/>
        <w:rPr>
          <w:b/>
          <w:bCs/>
          <w:u w:val="single"/>
        </w:rPr>
      </w:pPr>
      <w:r w:rsidRPr="00CE50E8">
        <w:rPr>
          <w:b/>
          <w:bCs/>
          <w:u w:val="single"/>
        </w:rPr>
        <w:t>Úprava najvyšších prípustných expozičných limitov v pracovnom ovzduší</w:t>
      </w:r>
    </w:p>
    <w:p w:rsidR="00DB7327" w:rsidRPr="00CE50E8" w:rsidRDefault="00DB7327" w:rsidP="00AB68EF">
      <w:pPr>
        <w:spacing w:after="0"/>
        <w:ind w:firstLine="708"/>
        <w:jc w:val="both"/>
        <w:rPr>
          <w:rFonts w:ascii="Times New Roman" w:hAnsi="Times New Roman" w:cs="Times New Roman"/>
          <w:sz w:val="24"/>
          <w:szCs w:val="24"/>
        </w:rPr>
      </w:pPr>
      <w:r w:rsidRPr="00CE50E8">
        <w:rPr>
          <w:rFonts w:ascii="Times New Roman" w:hAnsi="Times New Roman" w:cs="Times New Roman"/>
          <w:sz w:val="24"/>
          <w:szCs w:val="24"/>
        </w:rPr>
        <w:t>Návrhom nariadenia vlády sú dotknuté všetky odvetvia v hospodárstve, v ktorých sa používajú karcinogénne</w:t>
      </w:r>
      <w:r w:rsidR="00B33E04" w:rsidRPr="00CE50E8">
        <w:rPr>
          <w:rFonts w:ascii="Times New Roman" w:hAnsi="Times New Roman" w:cs="Times New Roman"/>
          <w:sz w:val="24"/>
          <w:szCs w:val="24"/>
        </w:rPr>
        <w:t xml:space="preserve"> faktory</w:t>
      </w:r>
      <w:r w:rsidRPr="00CE50E8">
        <w:rPr>
          <w:rFonts w:ascii="Times New Roman" w:hAnsi="Times New Roman" w:cs="Times New Roman"/>
          <w:sz w:val="24"/>
          <w:szCs w:val="24"/>
        </w:rPr>
        <w:t>, mutagénne</w:t>
      </w:r>
      <w:r w:rsidR="00B33E04" w:rsidRPr="00CE50E8">
        <w:rPr>
          <w:rFonts w:ascii="Times New Roman" w:hAnsi="Times New Roman" w:cs="Times New Roman"/>
          <w:sz w:val="24"/>
          <w:szCs w:val="24"/>
        </w:rPr>
        <w:t xml:space="preserve"> faktory</w:t>
      </w:r>
      <w:r w:rsidRPr="00CE50E8">
        <w:rPr>
          <w:rFonts w:ascii="Times New Roman" w:hAnsi="Times New Roman" w:cs="Times New Roman"/>
          <w:sz w:val="24"/>
          <w:szCs w:val="24"/>
        </w:rPr>
        <w:t xml:space="preserve"> a</w:t>
      </w:r>
      <w:r w:rsidR="00816E53" w:rsidRPr="00CE50E8">
        <w:rPr>
          <w:rFonts w:ascii="Times New Roman" w:hAnsi="Times New Roman" w:cs="Times New Roman"/>
          <w:sz w:val="24"/>
          <w:szCs w:val="24"/>
        </w:rPr>
        <w:t>lebo</w:t>
      </w:r>
      <w:r w:rsidRPr="00CE50E8">
        <w:rPr>
          <w:rFonts w:ascii="Times New Roman" w:hAnsi="Times New Roman" w:cs="Times New Roman"/>
          <w:sz w:val="24"/>
          <w:szCs w:val="24"/>
        </w:rPr>
        <w:t xml:space="preserve"> reprodukčne toxické faktory pri práci (napr. chemický priemysel, farmaceutický priemysel, zdravotníctvo). Nakoľko nie je možné odhadnúť počet dotknutých subjektov, nebolo možné tieto náklady presne definovať.</w:t>
      </w:r>
    </w:p>
    <w:p w:rsidR="00AB68EF" w:rsidRPr="00CE50E8" w:rsidRDefault="00AB68EF" w:rsidP="00AB68EF">
      <w:pPr>
        <w:pStyle w:val="Normlnywebov"/>
        <w:spacing w:after="160" w:line="276" w:lineRule="auto"/>
        <w:ind w:firstLine="708"/>
        <w:jc w:val="both"/>
      </w:pPr>
      <w:r w:rsidRPr="00CE50E8">
        <w:t>Úpravou (sprísnením)</w:t>
      </w:r>
      <w:r w:rsidR="00164774" w:rsidRPr="00CE50E8">
        <w:t xml:space="preserve"> NPEL</w:t>
      </w:r>
      <w:r w:rsidRPr="00CE50E8">
        <w:t xml:space="preserve"> je možné predpokladať mierny nárast </w:t>
      </w:r>
      <w:r w:rsidR="00B33E04" w:rsidRPr="00CE50E8">
        <w:t xml:space="preserve">počtu </w:t>
      </w:r>
      <w:r w:rsidRPr="00CE50E8">
        <w:t>rizikových prác, pričom nárast počtu zamestnancov vykonávajúcich rizikovú prácu súvisiacich so sprísnením NPEL nie je možné presne určiť. Predkladateľ nemá informácie o počte zamestnávateľov, ktorých sa sprísnenie limitov v návrhu nariadenia vlády dotkne; dostupné údaje týkajúce sa rizikových prác z centrálneho registra rizikových prác sú uvedené v Doložke vplyvov.</w:t>
      </w:r>
    </w:p>
    <w:p w:rsidR="00AB68EF" w:rsidRPr="00CE50E8" w:rsidRDefault="00AB68EF" w:rsidP="00DB7327">
      <w:pPr>
        <w:spacing w:after="0"/>
        <w:jc w:val="both"/>
        <w:rPr>
          <w:rFonts w:ascii="Times New Roman" w:hAnsi="Times New Roman" w:cs="Times New Roman"/>
          <w:sz w:val="24"/>
          <w:szCs w:val="24"/>
        </w:rPr>
      </w:pPr>
    </w:p>
    <w:p w:rsidR="00DB7327" w:rsidRPr="00CE50E8" w:rsidRDefault="00DB7327" w:rsidP="00AB68EF">
      <w:pPr>
        <w:pStyle w:val="Normlnywebov"/>
        <w:spacing w:after="160" w:line="276" w:lineRule="auto"/>
        <w:jc w:val="both"/>
        <w:rPr>
          <w:u w:val="single"/>
        </w:rPr>
      </w:pPr>
      <w:r w:rsidRPr="00CE50E8">
        <w:rPr>
          <w:b/>
          <w:bCs/>
          <w:u w:val="single"/>
        </w:rPr>
        <w:t xml:space="preserve">Povinnosť zamestnávateľa zavádzať opatrenia, týkajúca sa nahradenia reprodukčne </w:t>
      </w:r>
      <w:r w:rsidR="00B33E04" w:rsidRPr="00CE50E8">
        <w:rPr>
          <w:b/>
          <w:bCs/>
          <w:u w:val="single"/>
        </w:rPr>
        <w:t xml:space="preserve">toxických </w:t>
      </w:r>
      <w:r w:rsidRPr="00CE50E8">
        <w:rPr>
          <w:b/>
          <w:bCs/>
          <w:u w:val="single"/>
        </w:rPr>
        <w:t>faktorov pri práci</w:t>
      </w:r>
    </w:p>
    <w:p w:rsidR="00DB7327" w:rsidRPr="00CE50E8" w:rsidRDefault="00DB7327" w:rsidP="00AB68EF">
      <w:pPr>
        <w:spacing w:after="0"/>
        <w:ind w:firstLine="708"/>
        <w:jc w:val="both"/>
        <w:rPr>
          <w:rFonts w:ascii="Times New Roman" w:hAnsi="Times New Roman" w:cs="Times New Roman"/>
          <w:sz w:val="24"/>
          <w:szCs w:val="24"/>
        </w:rPr>
      </w:pPr>
      <w:r w:rsidRPr="00CE50E8">
        <w:rPr>
          <w:rFonts w:ascii="Times New Roman" w:hAnsi="Times New Roman" w:cs="Times New Roman"/>
          <w:sz w:val="24"/>
          <w:szCs w:val="24"/>
        </w:rPr>
        <w:lastRenderedPageBreak/>
        <w:t>Návrhom nariadenia vlády sú dotknuté všetky odvetvia v hospodárstve, v ktorých sa používajú karcinogénne</w:t>
      </w:r>
      <w:r w:rsidR="00B33E04" w:rsidRPr="00CE50E8">
        <w:rPr>
          <w:rFonts w:ascii="Times New Roman" w:hAnsi="Times New Roman" w:cs="Times New Roman"/>
          <w:sz w:val="24"/>
          <w:szCs w:val="24"/>
        </w:rPr>
        <w:t xml:space="preserve"> faktory</w:t>
      </w:r>
      <w:r w:rsidRPr="00CE50E8">
        <w:rPr>
          <w:rFonts w:ascii="Times New Roman" w:hAnsi="Times New Roman" w:cs="Times New Roman"/>
          <w:sz w:val="24"/>
          <w:szCs w:val="24"/>
        </w:rPr>
        <w:t>, mutagénne</w:t>
      </w:r>
      <w:r w:rsidR="00B33E04" w:rsidRPr="00CE50E8">
        <w:rPr>
          <w:rFonts w:ascii="Times New Roman" w:hAnsi="Times New Roman" w:cs="Times New Roman"/>
          <w:sz w:val="24"/>
          <w:szCs w:val="24"/>
        </w:rPr>
        <w:t xml:space="preserve"> faktory</w:t>
      </w:r>
      <w:r w:rsidRPr="00CE50E8">
        <w:rPr>
          <w:rFonts w:ascii="Times New Roman" w:hAnsi="Times New Roman" w:cs="Times New Roman"/>
          <w:sz w:val="24"/>
          <w:szCs w:val="24"/>
        </w:rPr>
        <w:t xml:space="preserve"> a</w:t>
      </w:r>
      <w:r w:rsidR="00816E53" w:rsidRPr="00CE50E8">
        <w:rPr>
          <w:rFonts w:ascii="Times New Roman" w:hAnsi="Times New Roman" w:cs="Times New Roman"/>
          <w:sz w:val="24"/>
          <w:szCs w:val="24"/>
        </w:rPr>
        <w:t>lebo</w:t>
      </w:r>
      <w:r w:rsidRPr="00CE50E8">
        <w:rPr>
          <w:rFonts w:ascii="Times New Roman" w:hAnsi="Times New Roman" w:cs="Times New Roman"/>
          <w:sz w:val="24"/>
          <w:szCs w:val="24"/>
        </w:rPr>
        <w:t xml:space="preserve"> reprodukčne toxické faktory pri práci (napr. chemický priemysel, farmaceutický priemysel, zdravotníctvo). Nakoľko nie je možné odhadnúť počet dotknutých subjektov, nebolo možné tieto náklady presne definovať.</w:t>
      </w:r>
    </w:p>
    <w:p w:rsidR="00DB7327" w:rsidRPr="00CE50E8" w:rsidRDefault="00DB7327" w:rsidP="00DB7327">
      <w:pPr>
        <w:spacing w:after="0"/>
        <w:jc w:val="both"/>
        <w:rPr>
          <w:rFonts w:ascii="Times New Roman" w:hAnsi="Times New Roman" w:cs="Times New Roman"/>
          <w:sz w:val="24"/>
          <w:szCs w:val="24"/>
        </w:rPr>
      </w:pPr>
    </w:p>
    <w:p w:rsidR="00DB7327" w:rsidRPr="00CE50E8" w:rsidRDefault="00DB7327" w:rsidP="00AB68EF">
      <w:pPr>
        <w:pStyle w:val="Normlnywebov"/>
        <w:spacing w:after="160" w:line="276" w:lineRule="auto"/>
        <w:jc w:val="both"/>
        <w:rPr>
          <w:b/>
          <w:u w:val="single"/>
        </w:rPr>
      </w:pPr>
      <w:r w:rsidRPr="00CE50E8">
        <w:rPr>
          <w:b/>
          <w:u w:val="single"/>
        </w:rPr>
        <w:t xml:space="preserve">Povinnosť zamestnávateľa zabezpečiť </w:t>
      </w:r>
      <w:r w:rsidR="00B33E04" w:rsidRPr="00CE50E8">
        <w:rPr>
          <w:b/>
          <w:u w:val="single"/>
        </w:rPr>
        <w:t>lekárske preventívne prehliadky vo vzťahu k práci</w:t>
      </w:r>
      <w:r w:rsidRPr="00CE50E8">
        <w:rPr>
          <w:b/>
          <w:u w:val="single"/>
        </w:rPr>
        <w:t xml:space="preserve"> u ďalších  zamestnancov, ak sa preukáže ochorenie alebo škodlivé zdravotné účinky, ktoré lekár považuje za následok expozície reprodukčne toxickým faktorom alebo ak sa zistí prekročenie biologickej medznej hodnoty u zamestnanca  </w:t>
      </w:r>
    </w:p>
    <w:p w:rsidR="00DB7327" w:rsidRPr="00CE50E8" w:rsidRDefault="00DB7327" w:rsidP="00DB7327">
      <w:pPr>
        <w:pStyle w:val="Normlnywebov"/>
        <w:spacing w:after="160" w:line="276" w:lineRule="auto"/>
        <w:ind w:firstLine="708"/>
        <w:jc w:val="both"/>
      </w:pPr>
      <w:r w:rsidRPr="00CE50E8">
        <w:t>Ide o povinnosť zamestnávateľa, ktorá sa v súčasnosti týka zamestnancov exponovaných karcinogénnym</w:t>
      </w:r>
      <w:r w:rsidR="00B33E04" w:rsidRPr="00CE50E8">
        <w:t xml:space="preserve"> faktorom</w:t>
      </w:r>
      <w:r w:rsidRPr="00CE50E8">
        <w:t xml:space="preserve"> a mutagénnym faktorom. Táto povinnosť je novo zavedená v zmysle smernice (EÚ) 2022/431 pre zamestnancov exponovaných reprodukčne toxickým faktorom. Počet podnikateľských subjektov, ktorých zamestnanci budú exponovaní v roku 2024 reprodukčne toxickým faktorom nie je možné odhadnúť. </w:t>
      </w:r>
    </w:p>
    <w:p w:rsidR="00DB7327" w:rsidRPr="00CE50E8" w:rsidRDefault="00DB7327" w:rsidP="00DB7327">
      <w:pPr>
        <w:spacing w:after="0"/>
        <w:jc w:val="both"/>
        <w:rPr>
          <w:rFonts w:ascii="Times New Roman" w:eastAsia="Calibri" w:hAnsi="Times New Roman" w:cs="Times New Roman"/>
          <w:iCs/>
          <w:sz w:val="24"/>
          <w:szCs w:val="24"/>
        </w:rPr>
      </w:pPr>
    </w:p>
    <w:p w:rsidR="005C0035" w:rsidRPr="00CE50E8" w:rsidRDefault="005C0035" w:rsidP="00DB7327">
      <w:pPr>
        <w:spacing w:after="0"/>
        <w:jc w:val="both"/>
        <w:rPr>
          <w:rFonts w:ascii="Times New Roman" w:eastAsia="Calibri" w:hAnsi="Times New Roman" w:cs="Times New Roman"/>
          <w:b/>
          <w:bCs/>
          <w:iCs/>
          <w:sz w:val="24"/>
          <w:szCs w:val="24"/>
          <w:u w:val="single"/>
        </w:rPr>
      </w:pPr>
      <w:r w:rsidRPr="00CE50E8">
        <w:rPr>
          <w:rFonts w:ascii="Times New Roman" w:eastAsia="Calibri" w:hAnsi="Times New Roman" w:cs="Times New Roman"/>
          <w:b/>
          <w:bCs/>
          <w:iCs/>
          <w:sz w:val="24"/>
          <w:szCs w:val="24"/>
          <w:u w:val="single"/>
        </w:rPr>
        <w:t>Povinnosť zamestnávateľa zabezpečiť lekársk</w:t>
      </w:r>
      <w:r w:rsidR="009F4B6F" w:rsidRPr="00CE50E8">
        <w:rPr>
          <w:rFonts w:ascii="Times New Roman" w:eastAsia="Calibri" w:hAnsi="Times New Roman" w:cs="Times New Roman"/>
          <w:b/>
          <w:bCs/>
          <w:iCs/>
          <w:sz w:val="24"/>
          <w:szCs w:val="24"/>
          <w:u w:val="single"/>
        </w:rPr>
        <w:t>e</w:t>
      </w:r>
      <w:r w:rsidRPr="00CE50E8">
        <w:rPr>
          <w:rFonts w:ascii="Times New Roman" w:eastAsia="Calibri" w:hAnsi="Times New Roman" w:cs="Times New Roman"/>
          <w:b/>
          <w:bCs/>
          <w:iCs/>
          <w:sz w:val="24"/>
          <w:szCs w:val="24"/>
          <w:u w:val="single"/>
        </w:rPr>
        <w:t xml:space="preserve"> preventívn</w:t>
      </w:r>
      <w:r w:rsidR="009F4B6F" w:rsidRPr="00CE50E8">
        <w:rPr>
          <w:rFonts w:ascii="Times New Roman" w:eastAsia="Calibri" w:hAnsi="Times New Roman" w:cs="Times New Roman"/>
          <w:b/>
          <w:bCs/>
          <w:iCs/>
          <w:sz w:val="24"/>
          <w:szCs w:val="24"/>
          <w:u w:val="single"/>
        </w:rPr>
        <w:t>e</w:t>
      </w:r>
      <w:r w:rsidRPr="00CE50E8">
        <w:rPr>
          <w:rFonts w:ascii="Times New Roman" w:eastAsia="Calibri" w:hAnsi="Times New Roman" w:cs="Times New Roman"/>
          <w:b/>
          <w:bCs/>
          <w:iCs/>
          <w:sz w:val="24"/>
          <w:szCs w:val="24"/>
          <w:u w:val="single"/>
        </w:rPr>
        <w:t xml:space="preserve"> prehliadk</w:t>
      </w:r>
      <w:r w:rsidR="009F4B6F" w:rsidRPr="00CE50E8">
        <w:rPr>
          <w:rFonts w:ascii="Times New Roman" w:eastAsia="Calibri" w:hAnsi="Times New Roman" w:cs="Times New Roman"/>
          <w:b/>
          <w:bCs/>
          <w:iCs/>
          <w:sz w:val="24"/>
          <w:szCs w:val="24"/>
          <w:u w:val="single"/>
        </w:rPr>
        <w:t>y</w:t>
      </w:r>
      <w:r w:rsidRPr="00CE50E8">
        <w:rPr>
          <w:rFonts w:ascii="Times New Roman" w:eastAsia="Calibri" w:hAnsi="Times New Roman" w:cs="Times New Roman"/>
          <w:b/>
          <w:bCs/>
          <w:iCs/>
          <w:sz w:val="24"/>
          <w:szCs w:val="24"/>
          <w:u w:val="single"/>
        </w:rPr>
        <w:t xml:space="preserve"> vo vzťahu k práci u zamestnancov zaradených do </w:t>
      </w:r>
      <w:r w:rsidR="009F4B6F" w:rsidRPr="00CE50E8">
        <w:rPr>
          <w:rFonts w:ascii="Times New Roman" w:eastAsia="Calibri" w:hAnsi="Times New Roman" w:cs="Times New Roman"/>
          <w:b/>
          <w:bCs/>
          <w:iCs/>
          <w:sz w:val="24"/>
          <w:szCs w:val="24"/>
          <w:u w:val="single"/>
        </w:rPr>
        <w:t>druhej kategórie</w:t>
      </w:r>
      <w:r w:rsidR="002358F9" w:rsidRPr="00CE50E8">
        <w:rPr>
          <w:rFonts w:ascii="Times New Roman" w:eastAsia="Calibri" w:hAnsi="Times New Roman" w:cs="Times New Roman"/>
          <w:b/>
          <w:bCs/>
          <w:iCs/>
          <w:sz w:val="24"/>
          <w:szCs w:val="24"/>
          <w:u w:val="single"/>
        </w:rPr>
        <w:t xml:space="preserve"> z hľadiska zdravotného rizika</w:t>
      </w:r>
    </w:p>
    <w:p w:rsidR="005C0035" w:rsidRPr="00CE50E8" w:rsidRDefault="005C0035" w:rsidP="00DB7327">
      <w:pPr>
        <w:spacing w:after="0"/>
        <w:jc w:val="both"/>
        <w:rPr>
          <w:rFonts w:ascii="Times New Roman" w:eastAsia="Calibri" w:hAnsi="Times New Roman" w:cs="Times New Roman"/>
          <w:iCs/>
          <w:sz w:val="24"/>
          <w:szCs w:val="24"/>
        </w:rPr>
      </w:pPr>
    </w:p>
    <w:p w:rsidR="005C0035" w:rsidRPr="00CE50E8" w:rsidRDefault="005C0035" w:rsidP="007547F2">
      <w:pPr>
        <w:spacing w:after="0" w:line="276" w:lineRule="auto"/>
        <w:jc w:val="both"/>
        <w:rPr>
          <w:rFonts w:ascii="Times New Roman" w:eastAsia="Calibri" w:hAnsi="Times New Roman" w:cs="Times New Roman"/>
          <w:iCs/>
          <w:sz w:val="24"/>
          <w:szCs w:val="24"/>
        </w:rPr>
      </w:pPr>
      <w:r w:rsidRPr="00CE50E8">
        <w:rPr>
          <w:rFonts w:ascii="Times New Roman" w:eastAsia="Calibri" w:hAnsi="Times New Roman" w:cs="Times New Roman"/>
          <w:iCs/>
          <w:sz w:val="24"/>
          <w:szCs w:val="24"/>
        </w:rPr>
        <w:tab/>
        <w:t xml:space="preserve">Ide o novú povinnosť zamestnávateľa zabezpečiť lekársku preventívnu prehliadku vo vzťahu k práci pre zamestnancov, ktorí sú exponovaní reprodukčne toxickým </w:t>
      </w:r>
      <w:r w:rsidR="009F4B6F" w:rsidRPr="00CE50E8">
        <w:rPr>
          <w:rFonts w:ascii="Times New Roman" w:eastAsia="Calibri" w:hAnsi="Times New Roman" w:cs="Times New Roman"/>
          <w:iCs/>
          <w:sz w:val="24"/>
          <w:szCs w:val="24"/>
        </w:rPr>
        <w:t>faktorom</w:t>
      </w:r>
      <w:r w:rsidRPr="00CE50E8">
        <w:rPr>
          <w:rFonts w:ascii="Times New Roman" w:eastAsia="Calibri" w:hAnsi="Times New Roman" w:cs="Times New Roman"/>
          <w:iCs/>
          <w:sz w:val="24"/>
          <w:szCs w:val="24"/>
        </w:rPr>
        <w:t xml:space="preserve"> a</w:t>
      </w:r>
      <w:r w:rsidR="00816E53" w:rsidRPr="00CE50E8">
        <w:rPr>
          <w:rFonts w:ascii="Times New Roman" w:eastAsia="Calibri" w:hAnsi="Times New Roman" w:cs="Times New Roman"/>
          <w:iCs/>
          <w:sz w:val="24"/>
          <w:szCs w:val="24"/>
        </w:rPr>
        <w:t xml:space="preserve"> vykonávajú prácu, ktorá je </w:t>
      </w:r>
      <w:r w:rsidRPr="00CE50E8">
        <w:rPr>
          <w:rFonts w:ascii="Times New Roman" w:eastAsia="Calibri" w:hAnsi="Times New Roman" w:cs="Times New Roman"/>
          <w:iCs/>
          <w:strike/>
          <w:sz w:val="24"/>
          <w:szCs w:val="24"/>
        </w:rPr>
        <w:t>sú</w:t>
      </w:r>
      <w:r w:rsidRPr="00CE50E8">
        <w:rPr>
          <w:rFonts w:ascii="Times New Roman" w:eastAsia="Calibri" w:hAnsi="Times New Roman" w:cs="Times New Roman"/>
          <w:iCs/>
          <w:sz w:val="24"/>
          <w:szCs w:val="24"/>
        </w:rPr>
        <w:t xml:space="preserve"> na základe posúdenia pracovných podmienok zaraden</w:t>
      </w:r>
      <w:r w:rsidR="00816E53" w:rsidRPr="00CE50E8">
        <w:rPr>
          <w:rFonts w:ascii="Times New Roman" w:eastAsia="Calibri" w:hAnsi="Times New Roman" w:cs="Times New Roman"/>
          <w:iCs/>
          <w:sz w:val="24"/>
          <w:szCs w:val="24"/>
        </w:rPr>
        <w:t>á</w:t>
      </w:r>
      <w:r w:rsidRPr="00CE50E8">
        <w:rPr>
          <w:rFonts w:ascii="Times New Roman" w:eastAsia="Calibri" w:hAnsi="Times New Roman" w:cs="Times New Roman"/>
          <w:iCs/>
          <w:sz w:val="24"/>
          <w:szCs w:val="24"/>
        </w:rPr>
        <w:t xml:space="preserve"> do</w:t>
      </w:r>
      <w:r w:rsidR="009F4B6F" w:rsidRPr="00CE50E8">
        <w:rPr>
          <w:rFonts w:ascii="Times New Roman" w:eastAsia="Calibri" w:hAnsi="Times New Roman" w:cs="Times New Roman"/>
          <w:iCs/>
          <w:sz w:val="24"/>
          <w:szCs w:val="24"/>
        </w:rPr>
        <w:t xml:space="preserve"> druhej</w:t>
      </w:r>
      <w:r w:rsidRPr="00CE50E8">
        <w:rPr>
          <w:rFonts w:ascii="Times New Roman" w:eastAsia="Calibri" w:hAnsi="Times New Roman" w:cs="Times New Roman"/>
          <w:iCs/>
          <w:sz w:val="24"/>
          <w:szCs w:val="24"/>
        </w:rPr>
        <w:t xml:space="preserve"> kategórie. Počet podnikateľských subjektov a teda ani počet zamestnancov, ktorých sa bude táto regulácia dotýkať nie je možné odhadnúť, nakoľko neexistujú databázy počtu podnikateľských subjektov ani počtu zamestnancov </w:t>
      </w:r>
      <w:r w:rsidR="00816E53" w:rsidRPr="00CE50E8">
        <w:rPr>
          <w:rFonts w:ascii="Times New Roman" w:eastAsia="Calibri" w:hAnsi="Times New Roman" w:cs="Times New Roman"/>
          <w:iCs/>
          <w:sz w:val="24"/>
          <w:szCs w:val="24"/>
        </w:rPr>
        <w:t xml:space="preserve">exponovaných </w:t>
      </w:r>
      <w:r w:rsidRPr="00CE50E8">
        <w:rPr>
          <w:rFonts w:ascii="Times New Roman" w:eastAsia="Calibri" w:hAnsi="Times New Roman" w:cs="Times New Roman"/>
          <w:iCs/>
          <w:sz w:val="24"/>
          <w:szCs w:val="24"/>
        </w:rPr>
        <w:t xml:space="preserve">reprodukčne toxickým </w:t>
      </w:r>
      <w:r w:rsidR="009F4B6F" w:rsidRPr="00CE50E8">
        <w:rPr>
          <w:rFonts w:ascii="Times New Roman" w:eastAsia="Calibri" w:hAnsi="Times New Roman" w:cs="Times New Roman"/>
          <w:iCs/>
          <w:sz w:val="24"/>
          <w:szCs w:val="24"/>
        </w:rPr>
        <w:t>faktorom</w:t>
      </w:r>
      <w:r w:rsidR="00816E53" w:rsidRPr="00CE50E8">
        <w:rPr>
          <w:rFonts w:ascii="Times New Roman" w:eastAsia="Calibri" w:hAnsi="Times New Roman" w:cs="Times New Roman"/>
          <w:iCs/>
          <w:sz w:val="24"/>
          <w:szCs w:val="24"/>
        </w:rPr>
        <w:t>, ktorých práca je zaradená</w:t>
      </w:r>
      <w:r w:rsidR="009F4B6F" w:rsidRPr="00CE50E8">
        <w:rPr>
          <w:rFonts w:ascii="Times New Roman" w:eastAsia="Calibri" w:hAnsi="Times New Roman" w:cs="Times New Roman"/>
          <w:iCs/>
          <w:sz w:val="24"/>
          <w:szCs w:val="24"/>
        </w:rPr>
        <w:t xml:space="preserve"> </w:t>
      </w:r>
      <w:r w:rsidRPr="00CE50E8">
        <w:rPr>
          <w:rFonts w:ascii="Times New Roman" w:eastAsia="Calibri" w:hAnsi="Times New Roman" w:cs="Times New Roman"/>
          <w:iCs/>
          <w:sz w:val="24"/>
          <w:szCs w:val="24"/>
        </w:rPr>
        <w:t xml:space="preserve">do </w:t>
      </w:r>
      <w:r w:rsidR="009F4B6F" w:rsidRPr="00CE50E8">
        <w:rPr>
          <w:rFonts w:ascii="Times New Roman" w:eastAsia="Calibri" w:hAnsi="Times New Roman" w:cs="Times New Roman"/>
          <w:iCs/>
          <w:sz w:val="24"/>
          <w:szCs w:val="24"/>
        </w:rPr>
        <w:t xml:space="preserve">druhej </w:t>
      </w:r>
      <w:r w:rsidRPr="00CE50E8">
        <w:rPr>
          <w:rFonts w:ascii="Times New Roman" w:eastAsia="Calibri" w:hAnsi="Times New Roman" w:cs="Times New Roman"/>
          <w:iCs/>
          <w:sz w:val="24"/>
          <w:szCs w:val="24"/>
        </w:rPr>
        <w:t xml:space="preserve">kategórie. </w:t>
      </w:r>
      <w:r w:rsidR="009F4B6F" w:rsidRPr="00CE50E8">
        <w:rPr>
          <w:rFonts w:ascii="Times New Roman" w:eastAsia="Calibri" w:hAnsi="Times New Roman" w:cs="Times New Roman"/>
          <w:iCs/>
          <w:sz w:val="24"/>
          <w:szCs w:val="24"/>
        </w:rPr>
        <w:t>V</w:t>
      </w:r>
      <w:r w:rsidRPr="00CE50E8">
        <w:rPr>
          <w:rFonts w:ascii="Times New Roman" w:eastAsia="Calibri" w:hAnsi="Times New Roman" w:cs="Times New Roman"/>
          <w:iCs/>
          <w:sz w:val="24"/>
          <w:szCs w:val="24"/>
        </w:rPr>
        <w:t xml:space="preserve"> súčasnosti </w:t>
      </w:r>
      <w:r w:rsidR="009F4B6F" w:rsidRPr="00CE50E8">
        <w:rPr>
          <w:rFonts w:ascii="Times New Roman" w:eastAsia="Calibri" w:hAnsi="Times New Roman" w:cs="Times New Roman"/>
          <w:iCs/>
          <w:sz w:val="24"/>
          <w:szCs w:val="24"/>
        </w:rPr>
        <w:t xml:space="preserve">sa </w:t>
      </w:r>
      <w:r w:rsidRPr="00CE50E8">
        <w:rPr>
          <w:rFonts w:ascii="Times New Roman" w:eastAsia="Calibri" w:hAnsi="Times New Roman" w:cs="Times New Roman"/>
          <w:iCs/>
          <w:sz w:val="24"/>
          <w:szCs w:val="24"/>
        </w:rPr>
        <w:t xml:space="preserve">pripravuje nový návrh znenia vyhlášky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kde </w:t>
      </w:r>
      <w:r w:rsidR="009F4B6F" w:rsidRPr="00CE50E8">
        <w:rPr>
          <w:rFonts w:ascii="Times New Roman" w:eastAsia="Calibri" w:hAnsi="Times New Roman" w:cs="Times New Roman"/>
          <w:iCs/>
          <w:sz w:val="24"/>
          <w:szCs w:val="24"/>
        </w:rPr>
        <w:t xml:space="preserve">sa </w:t>
      </w:r>
      <w:r w:rsidRPr="00CE50E8">
        <w:rPr>
          <w:rFonts w:ascii="Times New Roman" w:eastAsia="Calibri" w:hAnsi="Times New Roman" w:cs="Times New Roman"/>
          <w:iCs/>
          <w:sz w:val="24"/>
          <w:szCs w:val="24"/>
        </w:rPr>
        <w:t>navrhuje zúž</w:t>
      </w:r>
      <w:r w:rsidR="007547F2" w:rsidRPr="00CE50E8">
        <w:rPr>
          <w:rFonts w:ascii="Times New Roman" w:eastAsia="Calibri" w:hAnsi="Times New Roman" w:cs="Times New Roman"/>
          <w:iCs/>
          <w:sz w:val="24"/>
          <w:szCs w:val="24"/>
        </w:rPr>
        <w:t xml:space="preserve">enie </w:t>
      </w:r>
      <w:r w:rsidR="009F4B6F" w:rsidRPr="00CE50E8">
        <w:rPr>
          <w:rFonts w:ascii="Times New Roman" w:eastAsia="Calibri" w:hAnsi="Times New Roman" w:cs="Times New Roman"/>
          <w:iCs/>
          <w:sz w:val="24"/>
          <w:szCs w:val="24"/>
        </w:rPr>
        <w:t xml:space="preserve">druhej </w:t>
      </w:r>
      <w:r w:rsidR="007547F2" w:rsidRPr="00CE50E8">
        <w:rPr>
          <w:rFonts w:ascii="Times New Roman" w:eastAsia="Calibri" w:hAnsi="Times New Roman" w:cs="Times New Roman"/>
          <w:iCs/>
          <w:sz w:val="24"/>
          <w:szCs w:val="24"/>
        </w:rPr>
        <w:t xml:space="preserve">kategórie tým, že </w:t>
      </w:r>
      <w:r w:rsidR="009F4B6F" w:rsidRPr="00CE50E8">
        <w:rPr>
          <w:rFonts w:ascii="Times New Roman" w:eastAsia="Calibri" w:hAnsi="Times New Roman" w:cs="Times New Roman"/>
          <w:iCs/>
          <w:sz w:val="24"/>
          <w:szCs w:val="24"/>
        </w:rPr>
        <w:t xml:space="preserve">sú novo určené kritériá pre prvú </w:t>
      </w:r>
      <w:r w:rsidR="007547F2" w:rsidRPr="00CE50E8">
        <w:rPr>
          <w:rFonts w:ascii="Times New Roman" w:eastAsia="Calibri" w:hAnsi="Times New Roman" w:cs="Times New Roman"/>
          <w:iCs/>
          <w:sz w:val="24"/>
          <w:szCs w:val="24"/>
        </w:rPr>
        <w:t>kategóriu, ktorá sa pri karcinogénnych</w:t>
      </w:r>
      <w:r w:rsidR="009F4B6F" w:rsidRPr="00CE50E8">
        <w:rPr>
          <w:rFonts w:ascii="Times New Roman" w:eastAsia="Calibri" w:hAnsi="Times New Roman" w:cs="Times New Roman"/>
          <w:iCs/>
          <w:sz w:val="24"/>
          <w:szCs w:val="24"/>
        </w:rPr>
        <w:t xml:space="preserve"> faktoroch</w:t>
      </w:r>
      <w:r w:rsidR="007547F2" w:rsidRPr="00CE50E8">
        <w:rPr>
          <w:rFonts w:ascii="Times New Roman" w:eastAsia="Calibri" w:hAnsi="Times New Roman" w:cs="Times New Roman"/>
          <w:iCs/>
          <w:sz w:val="24"/>
          <w:szCs w:val="24"/>
        </w:rPr>
        <w:t xml:space="preserve">, mutagénnych </w:t>
      </w:r>
      <w:r w:rsidR="009F4B6F" w:rsidRPr="00CE50E8">
        <w:rPr>
          <w:rFonts w:ascii="Times New Roman" w:eastAsia="Calibri" w:hAnsi="Times New Roman" w:cs="Times New Roman"/>
          <w:iCs/>
          <w:sz w:val="24"/>
          <w:szCs w:val="24"/>
        </w:rPr>
        <w:t xml:space="preserve">faktoroch </w:t>
      </w:r>
      <w:r w:rsidR="007547F2" w:rsidRPr="00CE50E8">
        <w:rPr>
          <w:rFonts w:ascii="Times New Roman" w:eastAsia="Calibri" w:hAnsi="Times New Roman" w:cs="Times New Roman"/>
          <w:iCs/>
          <w:sz w:val="24"/>
          <w:szCs w:val="24"/>
        </w:rPr>
        <w:t xml:space="preserve">a reprodukčne toxických faktoroch doposiaľ neurčovala.  </w:t>
      </w:r>
      <w:r w:rsidRPr="00CE50E8">
        <w:rPr>
          <w:rFonts w:ascii="Times New Roman" w:eastAsia="Calibri" w:hAnsi="Times New Roman" w:cs="Times New Roman"/>
          <w:iCs/>
          <w:sz w:val="24"/>
          <w:szCs w:val="24"/>
        </w:rPr>
        <w:t xml:space="preserve"> </w:t>
      </w:r>
    </w:p>
    <w:p w:rsidR="007547F2" w:rsidRPr="00CE50E8" w:rsidRDefault="007547F2" w:rsidP="007547F2">
      <w:pPr>
        <w:spacing w:after="0" w:line="276" w:lineRule="auto"/>
        <w:jc w:val="both"/>
        <w:rPr>
          <w:rFonts w:ascii="Times New Roman" w:eastAsia="Calibri" w:hAnsi="Times New Roman" w:cs="Times New Roman"/>
          <w:iCs/>
          <w:sz w:val="24"/>
          <w:szCs w:val="24"/>
          <w:highlight w:val="yellow"/>
        </w:rPr>
      </w:pPr>
    </w:p>
    <w:p w:rsidR="007547F2" w:rsidRPr="00CE50E8" w:rsidRDefault="007547F2" w:rsidP="007547F2">
      <w:pPr>
        <w:spacing w:after="0" w:line="276" w:lineRule="auto"/>
        <w:jc w:val="both"/>
        <w:rPr>
          <w:rFonts w:ascii="Times New Roman" w:eastAsia="Calibri" w:hAnsi="Times New Roman" w:cs="Times New Roman"/>
          <w:b/>
          <w:bCs/>
          <w:iCs/>
          <w:sz w:val="24"/>
          <w:szCs w:val="24"/>
          <w:u w:val="single"/>
        </w:rPr>
      </w:pPr>
      <w:r w:rsidRPr="00CE50E8">
        <w:rPr>
          <w:rFonts w:ascii="Times New Roman" w:eastAsia="Calibri" w:hAnsi="Times New Roman" w:cs="Times New Roman"/>
          <w:b/>
          <w:bCs/>
          <w:iCs/>
          <w:sz w:val="24"/>
          <w:szCs w:val="24"/>
          <w:u w:val="single"/>
        </w:rPr>
        <w:t xml:space="preserve">Povinnosť zamestnávateľa zabezpečiť následné lekárske preventívne prehliadky vo vzťahu k práci pre zamestnancov, ktorí boli pri práci exponovaní reprodukčne toxickým </w:t>
      </w:r>
      <w:r w:rsidR="00C009D3" w:rsidRPr="00CE50E8">
        <w:rPr>
          <w:rFonts w:ascii="Times New Roman" w:eastAsia="Calibri" w:hAnsi="Times New Roman" w:cs="Times New Roman"/>
          <w:b/>
          <w:bCs/>
          <w:iCs/>
          <w:sz w:val="24"/>
          <w:szCs w:val="24"/>
          <w:u w:val="single"/>
        </w:rPr>
        <w:t>faktorom</w:t>
      </w:r>
      <w:r w:rsidRPr="00CE50E8">
        <w:rPr>
          <w:rFonts w:ascii="Times New Roman" w:eastAsia="Calibri" w:hAnsi="Times New Roman" w:cs="Times New Roman"/>
          <w:b/>
          <w:bCs/>
          <w:iCs/>
          <w:sz w:val="24"/>
          <w:szCs w:val="24"/>
          <w:u w:val="single"/>
        </w:rPr>
        <w:t xml:space="preserve"> </w:t>
      </w:r>
    </w:p>
    <w:p w:rsidR="007547F2" w:rsidRPr="00CE50E8" w:rsidRDefault="007547F2" w:rsidP="007547F2">
      <w:pPr>
        <w:spacing w:after="0" w:line="276" w:lineRule="auto"/>
        <w:jc w:val="both"/>
        <w:rPr>
          <w:rFonts w:ascii="Times New Roman" w:eastAsia="Calibri" w:hAnsi="Times New Roman" w:cs="Times New Roman"/>
          <w:b/>
          <w:bCs/>
          <w:iCs/>
          <w:sz w:val="24"/>
          <w:szCs w:val="24"/>
          <w:u w:val="single"/>
        </w:rPr>
      </w:pPr>
    </w:p>
    <w:p w:rsidR="007547F2" w:rsidRPr="00CE50E8" w:rsidRDefault="007547F2" w:rsidP="007547F2">
      <w:pPr>
        <w:spacing w:after="0" w:line="276" w:lineRule="auto"/>
        <w:jc w:val="both"/>
        <w:rPr>
          <w:rFonts w:ascii="Times New Roman" w:eastAsia="Calibri" w:hAnsi="Times New Roman" w:cs="Times New Roman"/>
          <w:iCs/>
          <w:sz w:val="24"/>
          <w:szCs w:val="24"/>
        </w:rPr>
      </w:pPr>
      <w:r w:rsidRPr="00CE50E8">
        <w:rPr>
          <w:rFonts w:ascii="Times New Roman" w:eastAsia="Calibri" w:hAnsi="Times New Roman" w:cs="Times New Roman"/>
          <w:iCs/>
          <w:sz w:val="24"/>
          <w:szCs w:val="24"/>
        </w:rPr>
        <w:tab/>
        <w:t>Ide o novú povinnosť zamestnávateľa zabezpečiť následnú lekársku preventívnu prehliadku vo vzťahu k práci pre zamestnancov</w:t>
      </w:r>
      <w:r w:rsidR="00816E53" w:rsidRPr="00CE50E8">
        <w:rPr>
          <w:rFonts w:ascii="Times New Roman" w:eastAsia="Calibri" w:hAnsi="Times New Roman" w:cs="Times New Roman"/>
          <w:iCs/>
          <w:sz w:val="24"/>
          <w:szCs w:val="24"/>
        </w:rPr>
        <w:t xml:space="preserve"> vykonávajúcich prácu zaradenú </w:t>
      </w:r>
      <w:r w:rsidRPr="00CE50E8">
        <w:rPr>
          <w:rFonts w:ascii="Times New Roman" w:eastAsia="Calibri" w:hAnsi="Times New Roman" w:cs="Times New Roman"/>
          <w:iCs/>
          <w:sz w:val="24"/>
          <w:szCs w:val="24"/>
        </w:rPr>
        <w:t xml:space="preserve"> do </w:t>
      </w:r>
      <w:r w:rsidR="009F4B6F" w:rsidRPr="00CE50E8">
        <w:rPr>
          <w:rFonts w:ascii="Times New Roman" w:eastAsia="Calibri" w:hAnsi="Times New Roman" w:cs="Times New Roman"/>
          <w:iCs/>
          <w:sz w:val="24"/>
          <w:szCs w:val="24"/>
        </w:rPr>
        <w:t xml:space="preserve">tretej </w:t>
      </w:r>
      <w:r w:rsidRPr="00CE50E8">
        <w:rPr>
          <w:rFonts w:ascii="Times New Roman" w:eastAsia="Calibri" w:hAnsi="Times New Roman" w:cs="Times New Roman"/>
          <w:iCs/>
          <w:sz w:val="24"/>
          <w:szCs w:val="24"/>
        </w:rPr>
        <w:t>kategórie alebo</w:t>
      </w:r>
      <w:r w:rsidR="009F4B6F" w:rsidRPr="00CE50E8">
        <w:rPr>
          <w:rFonts w:ascii="Times New Roman" w:eastAsia="Calibri" w:hAnsi="Times New Roman" w:cs="Times New Roman"/>
          <w:iCs/>
          <w:sz w:val="24"/>
          <w:szCs w:val="24"/>
        </w:rPr>
        <w:t xml:space="preserve"> štvrtej kategórie</w:t>
      </w:r>
      <w:r w:rsidRPr="00CE50E8">
        <w:rPr>
          <w:rFonts w:ascii="Times New Roman" w:eastAsia="Calibri" w:hAnsi="Times New Roman" w:cs="Times New Roman"/>
          <w:iCs/>
          <w:sz w:val="24"/>
          <w:szCs w:val="24"/>
        </w:rPr>
        <w:t xml:space="preserve">, </w:t>
      </w:r>
      <w:r w:rsidR="00AE59F1" w:rsidRPr="00CE50E8">
        <w:rPr>
          <w:rFonts w:ascii="Times New Roman" w:eastAsia="Calibri" w:hAnsi="Times New Roman" w:cs="Times New Roman"/>
          <w:iCs/>
          <w:sz w:val="24"/>
          <w:szCs w:val="24"/>
        </w:rPr>
        <w:t>k</w:t>
      </w:r>
      <w:r w:rsidRPr="00CE50E8">
        <w:rPr>
          <w:rFonts w:ascii="Times New Roman" w:eastAsia="Calibri" w:hAnsi="Times New Roman" w:cs="Times New Roman"/>
          <w:iCs/>
          <w:sz w:val="24"/>
          <w:szCs w:val="24"/>
        </w:rPr>
        <w:t xml:space="preserve">torí boli exponovaní reprodukčne toxickým </w:t>
      </w:r>
      <w:r w:rsidR="009F4B6F" w:rsidRPr="00CE50E8">
        <w:rPr>
          <w:rFonts w:ascii="Times New Roman" w:eastAsia="Calibri" w:hAnsi="Times New Roman" w:cs="Times New Roman"/>
          <w:iCs/>
          <w:sz w:val="24"/>
          <w:szCs w:val="24"/>
        </w:rPr>
        <w:t>faktorom</w:t>
      </w:r>
      <w:r w:rsidR="00AE59F1" w:rsidRPr="00CE50E8">
        <w:rPr>
          <w:rFonts w:ascii="Times New Roman" w:eastAsia="Calibri" w:hAnsi="Times New Roman" w:cs="Times New Roman"/>
          <w:iCs/>
          <w:sz w:val="24"/>
          <w:szCs w:val="24"/>
        </w:rPr>
        <w:t>,</w:t>
      </w:r>
      <w:r w:rsidR="009F4B6F" w:rsidRPr="00CE50E8">
        <w:rPr>
          <w:rFonts w:ascii="Times New Roman" w:eastAsia="Calibri" w:hAnsi="Times New Roman" w:cs="Times New Roman"/>
          <w:iCs/>
          <w:sz w:val="24"/>
          <w:szCs w:val="24"/>
        </w:rPr>
        <w:t xml:space="preserve"> a to</w:t>
      </w:r>
      <w:r w:rsidR="00516E85" w:rsidRPr="00CE50E8">
        <w:rPr>
          <w:rFonts w:ascii="Times New Roman" w:eastAsia="Calibri" w:hAnsi="Times New Roman" w:cs="Times New Roman"/>
          <w:iCs/>
          <w:sz w:val="24"/>
          <w:szCs w:val="24"/>
        </w:rPr>
        <w:t xml:space="preserve"> po ukončení </w:t>
      </w:r>
      <w:r w:rsidR="00164774" w:rsidRPr="00CE50E8">
        <w:rPr>
          <w:rFonts w:ascii="Times New Roman" w:eastAsia="Calibri" w:hAnsi="Times New Roman" w:cs="Times New Roman"/>
          <w:iCs/>
          <w:sz w:val="24"/>
          <w:szCs w:val="24"/>
        </w:rPr>
        <w:t xml:space="preserve">ich </w:t>
      </w:r>
      <w:r w:rsidR="00516E85" w:rsidRPr="00CE50E8">
        <w:rPr>
          <w:rFonts w:ascii="Times New Roman" w:eastAsia="Calibri" w:hAnsi="Times New Roman" w:cs="Times New Roman"/>
          <w:iCs/>
          <w:sz w:val="24"/>
          <w:szCs w:val="24"/>
        </w:rPr>
        <w:t>expozície.</w:t>
      </w:r>
      <w:r w:rsidRPr="00CE50E8">
        <w:rPr>
          <w:rFonts w:ascii="Times New Roman" w:eastAsia="Calibri" w:hAnsi="Times New Roman" w:cs="Times New Roman"/>
          <w:iCs/>
          <w:sz w:val="24"/>
          <w:szCs w:val="24"/>
        </w:rPr>
        <w:t xml:space="preserve"> </w:t>
      </w:r>
      <w:r w:rsidR="00AE59F1" w:rsidRPr="00CE50E8">
        <w:rPr>
          <w:rFonts w:ascii="Times New Roman" w:eastAsia="Calibri" w:hAnsi="Times New Roman" w:cs="Times New Roman"/>
          <w:iCs/>
          <w:sz w:val="24"/>
          <w:szCs w:val="24"/>
        </w:rPr>
        <w:t>Počet podnikateľských subjektov, ktorých sa táto regulácia</w:t>
      </w:r>
      <w:r w:rsidR="00516E85" w:rsidRPr="00CE50E8">
        <w:rPr>
          <w:rFonts w:ascii="Times New Roman" w:eastAsia="Calibri" w:hAnsi="Times New Roman" w:cs="Times New Roman"/>
          <w:iCs/>
          <w:sz w:val="24"/>
          <w:szCs w:val="24"/>
        </w:rPr>
        <w:t xml:space="preserve"> bude</w:t>
      </w:r>
      <w:r w:rsidR="00AE59F1" w:rsidRPr="00CE50E8">
        <w:rPr>
          <w:rFonts w:ascii="Times New Roman" w:eastAsia="Calibri" w:hAnsi="Times New Roman" w:cs="Times New Roman"/>
          <w:iCs/>
          <w:sz w:val="24"/>
          <w:szCs w:val="24"/>
        </w:rPr>
        <w:t xml:space="preserve"> týkať</w:t>
      </w:r>
      <w:r w:rsidR="00516E85" w:rsidRPr="00CE50E8">
        <w:rPr>
          <w:rFonts w:ascii="Times New Roman" w:eastAsia="Calibri" w:hAnsi="Times New Roman" w:cs="Times New Roman"/>
          <w:iCs/>
          <w:sz w:val="24"/>
          <w:szCs w:val="24"/>
        </w:rPr>
        <w:t>,</w:t>
      </w:r>
      <w:r w:rsidR="00AE59F1" w:rsidRPr="00CE50E8">
        <w:rPr>
          <w:rFonts w:ascii="Times New Roman" w:eastAsia="Calibri" w:hAnsi="Times New Roman" w:cs="Times New Roman"/>
          <w:iCs/>
          <w:sz w:val="24"/>
          <w:szCs w:val="24"/>
        </w:rPr>
        <w:t xml:space="preserve"> nie je možné odhadnúť. Zamestnávateľ zamestnanca </w:t>
      </w:r>
      <w:r w:rsidR="00516E85" w:rsidRPr="00CE50E8">
        <w:rPr>
          <w:rFonts w:ascii="Times New Roman" w:eastAsia="Calibri" w:hAnsi="Times New Roman" w:cs="Times New Roman"/>
          <w:iCs/>
          <w:sz w:val="24"/>
          <w:szCs w:val="24"/>
        </w:rPr>
        <w:t>pri skončení pracovno-právneho vzťahu</w:t>
      </w:r>
      <w:r w:rsidR="00AE59F1" w:rsidRPr="00CE50E8">
        <w:rPr>
          <w:rFonts w:ascii="Times New Roman" w:eastAsia="Calibri" w:hAnsi="Times New Roman" w:cs="Times New Roman"/>
          <w:iCs/>
          <w:sz w:val="24"/>
          <w:szCs w:val="24"/>
        </w:rPr>
        <w:t xml:space="preserve"> informuje o jeho nároku na </w:t>
      </w:r>
      <w:r w:rsidR="00164774" w:rsidRPr="00CE50E8">
        <w:rPr>
          <w:rFonts w:ascii="Times New Roman" w:eastAsia="Calibri" w:hAnsi="Times New Roman" w:cs="Times New Roman"/>
          <w:iCs/>
          <w:sz w:val="24"/>
          <w:szCs w:val="24"/>
        </w:rPr>
        <w:t xml:space="preserve">následnú </w:t>
      </w:r>
      <w:r w:rsidR="00AE59F1" w:rsidRPr="00CE50E8">
        <w:rPr>
          <w:rFonts w:ascii="Times New Roman" w:eastAsia="Calibri" w:hAnsi="Times New Roman" w:cs="Times New Roman"/>
          <w:iCs/>
          <w:sz w:val="24"/>
          <w:szCs w:val="24"/>
        </w:rPr>
        <w:t>lekársku preventívnu prehliadku vo vzťahu k</w:t>
      </w:r>
      <w:r w:rsidR="00516E85" w:rsidRPr="00CE50E8">
        <w:rPr>
          <w:rFonts w:ascii="Times New Roman" w:eastAsia="Calibri" w:hAnsi="Times New Roman" w:cs="Times New Roman"/>
          <w:iCs/>
          <w:sz w:val="24"/>
          <w:szCs w:val="24"/>
        </w:rPr>
        <w:t> </w:t>
      </w:r>
      <w:r w:rsidR="00AE59F1" w:rsidRPr="00CE50E8">
        <w:rPr>
          <w:rFonts w:ascii="Times New Roman" w:eastAsia="Calibri" w:hAnsi="Times New Roman" w:cs="Times New Roman"/>
          <w:iCs/>
          <w:sz w:val="24"/>
          <w:szCs w:val="24"/>
        </w:rPr>
        <w:t>práci</w:t>
      </w:r>
      <w:r w:rsidR="00516E85" w:rsidRPr="00CE50E8">
        <w:rPr>
          <w:rFonts w:ascii="Times New Roman" w:eastAsia="Calibri" w:hAnsi="Times New Roman" w:cs="Times New Roman"/>
          <w:iCs/>
          <w:sz w:val="24"/>
          <w:szCs w:val="24"/>
        </w:rPr>
        <w:t>;</w:t>
      </w:r>
      <w:r w:rsidR="00AE59F1" w:rsidRPr="00CE50E8">
        <w:rPr>
          <w:rFonts w:ascii="Times New Roman" w:eastAsia="Calibri" w:hAnsi="Times New Roman" w:cs="Times New Roman"/>
          <w:iCs/>
          <w:sz w:val="24"/>
          <w:szCs w:val="24"/>
        </w:rPr>
        <w:t xml:space="preserve"> zamestnanec musí </w:t>
      </w:r>
      <w:r w:rsidR="00516E85" w:rsidRPr="00CE50E8">
        <w:rPr>
          <w:rFonts w:ascii="Times New Roman" w:eastAsia="Calibri" w:hAnsi="Times New Roman" w:cs="Times New Roman"/>
          <w:iCs/>
          <w:sz w:val="24"/>
          <w:szCs w:val="24"/>
        </w:rPr>
        <w:t xml:space="preserve">zamestnávateľa o vykonanie </w:t>
      </w:r>
      <w:r w:rsidR="00164774" w:rsidRPr="00CE50E8">
        <w:rPr>
          <w:rFonts w:ascii="Times New Roman" w:eastAsia="Calibri" w:hAnsi="Times New Roman" w:cs="Times New Roman"/>
          <w:iCs/>
          <w:sz w:val="24"/>
          <w:szCs w:val="24"/>
        </w:rPr>
        <w:t xml:space="preserve">následnej </w:t>
      </w:r>
      <w:r w:rsidR="00516E85" w:rsidRPr="00CE50E8">
        <w:rPr>
          <w:rFonts w:ascii="Times New Roman" w:eastAsia="Calibri" w:hAnsi="Times New Roman" w:cs="Times New Roman"/>
          <w:iCs/>
          <w:sz w:val="24"/>
          <w:szCs w:val="24"/>
        </w:rPr>
        <w:t xml:space="preserve">lekárskej preventívnej </w:t>
      </w:r>
      <w:r w:rsidR="00516E85" w:rsidRPr="00CE50E8">
        <w:rPr>
          <w:rFonts w:ascii="Times New Roman" w:eastAsia="Calibri" w:hAnsi="Times New Roman" w:cs="Times New Roman"/>
          <w:iCs/>
          <w:sz w:val="24"/>
          <w:szCs w:val="24"/>
        </w:rPr>
        <w:lastRenderedPageBreak/>
        <w:t xml:space="preserve">prehliadky vo vzťahu k práci </w:t>
      </w:r>
      <w:r w:rsidR="00AE59F1" w:rsidRPr="00CE50E8">
        <w:rPr>
          <w:rFonts w:ascii="Times New Roman" w:eastAsia="Calibri" w:hAnsi="Times New Roman" w:cs="Times New Roman"/>
          <w:iCs/>
          <w:sz w:val="24"/>
          <w:szCs w:val="24"/>
        </w:rPr>
        <w:t>požiadať</w:t>
      </w:r>
      <w:r w:rsidR="00516E85" w:rsidRPr="00CE50E8">
        <w:rPr>
          <w:rFonts w:ascii="Times New Roman" w:eastAsia="Calibri" w:hAnsi="Times New Roman" w:cs="Times New Roman"/>
          <w:iCs/>
          <w:sz w:val="24"/>
          <w:szCs w:val="24"/>
        </w:rPr>
        <w:t>.</w:t>
      </w:r>
      <w:r w:rsidR="00AE59F1" w:rsidRPr="00CE50E8">
        <w:rPr>
          <w:rFonts w:ascii="Times New Roman" w:eastAsia="Calibri" w:hAnsi="Times New Roman" w:cs="Times New Roman"/>
          <w:iCs/>
          <w:sz w:val="24"/>
          <w:szCs w:val="24"/>
        </w:rPr>
        <w:t xml:space="preserve"> Nie je možné odhadnúť u koľkých zamestnancov bude ukončená expozícia</w:t>
      </w:r>
      <w:r w:rsidR="00516E85" w:rsidRPr="00CE50E8">
        <w:rPr>
          <w:rFonts w:ascii="Times New Roman" w:eastAsia="Calibri" w:hAnsi="Times New Roman" w:cs="Times New Roman"/>
          <w:iCs/>
          <w:sz w:val="24"/>
          <w:szCs w:val="24"/>
        </w:rPr>
        <w:t xml:space="preserve"> reprodukčne toxickým faktorom a koľko zamestnancov</w:t>
      </w:r>
      <w:r w:rsidR="00AE59F1" w:rsidRPr="00CE50E8">
        <w:rPr>
          <w:rFonts w:ascii="Times New Roman" w:eastAsia="Calibri" w:hAnsi="Times New Roman" w:cs="Times New Roman"/>
          <w:iCs/>
          <w:sz w:val="24"/>
          <w:szCs w:val="24"/>
        </w:rPr>
        <w:t xml:space="preserve"> o</w:t>
      </w:r>
      <w:r w:rsidR="00E77337" w:rsidRPr="00CE50E8">
        <w:rPr>
          <w:rFonts w:ascii="Times New Roman" w:eastAsia="Calibri" w:hAnsi="Times New Roman" w:cs="Times New Roman"/>
          <w:iCs/>
          <w:sz w:val="24"/>
          <w:szCs w:val="24"/>
        </w:rPr>
        <w:t xml:space="preserve"> následnú </w:t>
      </w:r>
      <w:r w:rsidR="00AE59F1" w:rsidRPr="00CE50E8">
        <w:rPr>
          <w:rFonts w:ascii="Times New Roman" w:eastAsia="Calibri" w:hAnsi="Times New Roman" w:cs="Times New Roman"/>
          <w:iCs/>
          <w:sz w:val="24"/>
          <w:szCs w:val="24"/>
        </w:rPr>
        <w:t xml:space="preserve">lekársku preventívnu prehliadku vo vzťahu k práci požiada.  </w:t>
      </w:r>
    </w:p>
    <w:p w:rsidR="003802B2" w:rsidRPr="00CE50E8" w:rsidRDefault="003802B2" w:rsidP="007547F2">
      <w:pPr>
        <w:spacing w:after="0" w:line="276" w:lineRule="auto"/>
        <w:jc w:val="both"/>
        <w:rPr>
          <w:rFonts w:ascii="Times New Roman" w:eastAsia="Calibri" w:hAnsi="Times New Roman" w:cs="Times New Roman"/>
          <w:iCs/>
          <w:sz w:val="24"/>
          <w:szCs w:val="24"/>
        </w:rPr>
      </w:pPr>
    </w:p>
    <w:p w:rsidR="003802B2" w:rsidRPr="00CE50E8" w:rsidRDefault="003802B2" w:rsidP="003802B2">
      <w:pPr>
        <w:pStyle w:val="Normlnywebov"/>
        <w:spacing w:after="160" w:line="276" w:lineRule="auto"/>
        <w:jc w:val="both"/>
        <w:rPr>
          <w:b/>
          <w:u w:val="single"/>
        </w:rPr>
      </w:pPr>
      <w:r w:rsidRPr="00CE50E8">
        <w:rPr>
          <w:b/>
          <w:u w:val="single"/>
        </w:rPr>
        <w:t>Povinnosť zamestnávateľa informovať zamestnancov exponovaných reprodukčne toxickým faktorom o lekárskych preventívnych prehliadkach vo vzťahu k práci, ktorým sa majú nárok podrobiť po skončení práce s expozíciou reprodukčne toxickým faktorom</w:t>
      </w:r>
    </w:p>
    <w:p w:rsidR="003802B2" w:rsidRPr="00CE50E8" w:rsidRDefault="003802B2" w:rsidP="003802B2">
      <w:pPr>
        <w:pStyle w:val="Normlnywebov"/>
        <w:spacing w:line="276" w:lineRule="auto"/>
        <w:ind w:firstLine="708"/>
        <w:jc w:val="both"/>
      </w:pPr>
      <w:r w:rsidRPr="00CE50E8">
        <w:t>Ide o povinnosť zamestnávateľa, ktorá sa v súčasnosti týka zamestnancov exponovaných karcinogénnym faktorom a</w:t>
      </w:r>
      <w:r w:rsidR="00164774" w:rsidRPr="00CE50E8">
        <w:t>lebo</w:t>
      </w:r>
      <w:r w:rsidRPr="00CE50E8">
        <w:t xml:space="preserve"> mutagénnym faktorom. Táto povinnosť je novo zavedená v zmysle smernice (EÚ) 2022/431 pre zamestnancov exponovaných reprodukčne toxickým faktorom. </w:t>
      </w:r>
    </w:p>
    <w:p w:rsidR="003802B2" w:rsidRPr="00CE50E8" w:rsidRDefault="003802B2" w:rsidP="003802B2">
      <w:pPr>
        <w:pStyle w:val="Normlnywebov"/>
        <w:spacing w:after="160" w:line="276" w:lineRule="auto"/>
        <w:ind w:firstLine="708"/>
        <w:jc w:val="both"/>
      </w:pPr>
      <w:r w:rsidRPr="00CE50E8">
        <w:t xml:space="preserve">Nie je možné odhadnúť, aký počet zamestnávateľov bude povinných informovať zamestnancov exponovaných reprodukčne toxickým faktorom o lekárskej preventívnej prehliadke vo vzťahu k práci, ktorej majú </w:t>
      </w:r>
      <w:r w:rsidR="00816E53" w:rsidRPr="00CE50E8">
        <w:t xml:space="preserve">zamestnanci </w:t>
      </w:r>
      <w:r w:rsidRPr="00CE50E8">
        <w:t xml:space="preserve">nárok sa podrobiť po skončení práce s expozíciou reprodukčne toxickým faktorom. Náklad pre zamestnávateľa súvisiaci s poskytnutím tejto informácie zamestnancom </w:t>
      </w:r>
      <w:r w:rsidR="00816E53" w:rsidRPr="00CE50E8">
        <w:t xml:space="preserve">exponovaným </w:t>
      </w:r>
      <w:r w:rsidRPr="00CE50E8">
        <w:t xml:space="preserve">reprodukčne toxickým faktorom odhadujeme na </w:t>
      </w:r>
      <w:r w:rsidR="00867B88" w:rsidRPr="00CE50E8">
        <w:t>6</w:t>
      </w:r>
      <w:r w:rsidRPr="00CE50E8">
        <w:t xml:space="preserve"> €, čo je v súčasnosti minimálna hodinová mzda </w:t>
      </w:r>
      <w:r w:rsidR="00867B88" w:rsidRPr="00CE50E8">
        <w:t xml:space="preserve">pre stupeň náročnosti prác tri </w:t>
      </w:r>
      <w:r w:rsidRPr="00CE50E8">
        <w:t>na Slovensku v r. 2023</w:t>
      </w:r>
      <w:r w:rsidR="00867B88" w:rsidRPr="00CE50E8">
        <w:t xml:space="preserve"> zaokrúhlene nahor na celé €</w:t>
      </w:r>
      <w:r w:rsidRPr="00CE50E8">
        <w:t>. Predpokladáme, že táto regulácia bude predstavovať časovú záťaž povereného zamestnanca do 1 hod.</w:t>
      </w:r>
    </w:p>
    <w:p w:rsidR="003802B2" w:rsidRPr="00CE50E8" w:rsidRDefault="003802B2" w:rsidP="007547F2">
      <w:pPr>
        <w:spacing w:after="0" w:line="276" w:lineRule="auto"/>
        <w:jc w:val="both"/>
        <w:rPr>
          <w:rFonts w:ascii="Times New Roman" w:eastAsia="Calibri" w:hAnsi="Times New Roman" w:cs="Times New Roman"/>
          <w:iCs/>
          <w:sz w:val="24"/>
          <w:szCs w:val="24"/>
        </w:rPr>
      </w:pPr>
    </w:p>
    <w:sectPr w:rsidR="003802B2" w:rsidRPr="00CE50E8" w:rsidSect="00A41E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C81" w:rsidRDefault="00CC3C81" w:rsidP="00054C41">
      <w:pPr>
        <w:spacing w:after="0" w:line="240" w:lineRule="auto"/>
      </w:pPr>
      <w:r>
        <w:separator/>
      </w:r>
    </w:p>
  </w:endnote>
  <w:endnote w:type="continuationSeparator" w:id="0">
    <w:p w:rsidR="00CC3C81" w:rsidRDefault="00CC3C8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C63CBF" w:rsidRPr="006045CB" w:rsidRDefault="001601ED"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C63CBF"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F5318">
          <w:rPr>
            <w:rFonts w:ascii="Times New Roman" w:hAnsi="Times New Roman" w:cs="Times New Roman"/>
            <w:noProof/>
            <w:sz w:val="24"/>
            <w:szCs w:val="24"/>
          </w:rPr>
          <w:t>6</w:t>
        </w:r>
        <w:r w:rsidRPr="006045CB">
          <w:rPr>
            <w:rFonts w:ascii="Times New Roman" w:hAnsi="Times New Roman" w:cs="Times New Roman"/>
            <w:sz w:val="24"/>
            <w:szCs w:val="24"/>
          </w:rPr>
          <w:fldChar w:fldCharType="end"/>
        </w:r>
      </w:p>
    </w:sdtContent>
  </w:sdt>
  <w:p w:rsidR="00C63CBF" w:rsidRPr="00FF7125" w:rsidRDefault="00C63CBF" w:rsidP="00054C41">
    <w:pPr>
      <w:pStyle w:val="Pta"/>
      <w:rPr>
        <w:sz w:val="24"/>
        <w:szCs w:val="24"/>
      </w:rPr>
    </w:pPr>
  </w:p>
  <w:p w:rsidR="00C63CBF" w:rsidRDefault="00C63C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C81" w:rsidRDefault="00CC3C81" w:rsidP="00054C41">
      <w:pPr>
        <w:spacing w:after="0" w:line="240" w:lineRule="auto"/>
      </w:pPr>
      <w:r>
        <w:separator/>
      </w:r>
    </w:p>
  </w:footnote>
  <w:footnote w:type="continuationSeparator" w:id="0">
    <w:p w:rsidR="00CC3C81" w:rsidRDefault="00CC3C81"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8B"/>
    <w:multiLevelType w:val="hybridMultilevel"/>
    <w:tmpl w:val="EC2A97BC"/>
    <w:lvl w:ilvl="0" w:tplc="A4524C0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FB7945"/>
    <w:multiLevelType w:val="hybridMultilevel"/>
    <w:tmpl w:val="374609E2"/>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2DB24963"/>
    <w:multiLevelType w:val="hybridMultilevel"/>
    <w:tmpl w:val="374609E2"/>
    <w:lvl w:ilvl="0" w:tplc="940C37AE">
      <w:start w:val="1"/>
      <w:numFmt w:val="decimal"/>
      <w:lvlText w:val="%1."/>
      <w:lvlJc w:val="left"/>
      <w:pPr>
        <w:ind w:left="1069" w:hanging="360"/>
      </w:pPr>
      <w:rPr>
        <w:rFonts w:hint="default"/>
        <w:b/>
        <w:bCs/>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549C28B1"/>
    <w:multiLevelType w:val="hybridMultilevel"/>
    <w:tmpl w:val="374609E2"/>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0558E5"/>
    <w:multiLevelType w:val="hybridMultilevel"/>
    <w:tmpl w:val="374609E2"/>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69C87057"/>
    <w:multiLevelType w:val="hybridMultilevel"/>
    <w:tmpl w:val="374609E2"/>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6AA22485"/>
    <w:multiLevelType w:val="hybridMultilevel"/>
    <w:tmpl w:val="BF86328A"/>
    <w:lvl w:ilvl="0" w:tplc="199819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33806DE"/>
    <w:multiLevelType w:val="hybridMultilevel"/>
    <w:tmpl w:val="932692EA"/>
    <w:lvl w:ilvl="0" w:tplc="D8CEF806">
      <w:start w:val="5"/>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3"/>
  </w:num>
  <w:num w:numId="13">
    <w:abstractNumId w:val="5"/>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4C41"/>
    <w:rsid w:val="000110D8"/>
    <w:rsid w:val="00031206"/>
    <w:rsid w:val="00035279"/>
    <w:rsid w:val="000406DF"/>
    <w:rsid w:val="00054C41"/>
    <w:rsid w:val="00060DA1"/>
    <w:rsid w:val="0006424B"/>
    <w:rsid w:val="000C3296"/>
    <w:rsid w:val="000C5E9A"/>
    <w:rsid w:val="000E2205"/>
    <w:rsid w:val="000F4746"/>
    <w:rsid w:val="00130752"/>
    <w:rsid w:val="00142154"/>
    <w:rsid w:val="001601ED"/>
    <w:rsid w:val="00164774"/>
    <w:rsid w:val="00166792"/>
    <w:rsid w:val="00172FF3"/>
    <w:rsid w:val="001B4C03"/>
    <w:rsid w:val="001C5011"/>
    <w:rsid w:val="001D1083"/>
    <w:rsid w:val="001D3FA0"/>
    <w:rsid w:val="001E53CB"/>
    <w:rsid w:val="00225A83"/>
    <w:rsid w:val="002358F9"/>
    <w:rsid w:val="002359F2"/>
    <w:rsid w:val="00256F62"/>
    <w:rsid w:val="00270EA5"/>
    <w:rsid w:val="00292A13"/>
    <w:rsid w:val="002B2708"/>
    <w:rsid w:val="002B55D1"/>
    <w:rsid w:val="002D5786"/>
    <w:rsid w:val="00340CFD"/>
    <w:rsid w:val="00360193"/>
    <w:rsid w:val="00372E7E"/>
    <w:rsid w:val="003802B2"/>
    <w:rsid w:val="0038255E"/>
    <w:rsid w:val="00391648"/>
    <w:rsid w:val="00392000"/>
    <w:rsid w:val="0039304E"/>
    <w:rsid w:val="003A74D9"/>
    <w:rsid w:val="003C252C"/>
    <w:rsid w:val="003E58B8"/>
    <w:rsid w:val="003E67CA"/>
    <w:rsid w:val="003F06D7"/>
    <w:rsid w:val="004127D1"/>
    <w:rsid w:val="00441225"/>
    <w:rsid w:val="00445638"/>
    <w:rsid w:val="00446432"/>
    <w:rsid w:val="00447E7F"/>
    <w:rsid w:val="00455BEF"/>
    <w:rsid w:val="00463685"/>
    <w:rsid w:val="00473770"/>
    <w:rsid w:val="004D20CB"/>
    <w:rsid w:val="00516E85"/>
    <w:rsid w:val="00517CEC"/>
    <w:rsid w:val="00585DC2"/>
    <w:rsid w:val="005C0035"/>
    <w:rsid w:val="005D39DA"/>
    <w:rsid w:val="005F44E3"/>
    <w:rsid w:val="00610FF7"/>
    <w:rsid w:val="00650418"/>
    <w:rsid w:val="0065571A"/>
    <w:rsid w:val="006B6CCF"/>
    <w:rsid w:val="006E349B"/>
    <w:rsid w:val="006F674A"/>
    <w:rsid w:val="006F754C"/>
    <w:rsid w:val="007259CB"/>
    <w:rsid w:val="007547F2"/>
    <w:rsid w:val="007657AE"/>
    <w:rsid w:val="0077106D"/>
    <w:rsid w:val="007917AB"/>
    <w:rsid w:val="007A0638"/>
    <w:rsid w:val="007B40FB"/>
    <w:rsid w:val="007C488C"/>
    <w:rsid w:val="007E24B2"/>
    <w:rsid w:val="007E2B0E"/>
    <w:rsid w:val="00806F0C"/>
    <w:rsid w:val="00816E53"/>
    <w:rsid w:val="008634E9"/>
    <w:rsid w:val="00867B88"/>
    <w:rsid w:val="00870971"/>
    <w:rsid w:val="00871BCE"/>
    <w:rsid w:val="008801B5"/>
    <w:rsid w:val="008B3B7F"/>
    <w:rsid w:val="008B4AA1"/>
    <w:rsid w:val="008C1C71"/>
    <w:rsid w:val="008E5DD0"/>
    <w:rsid w:val="00901911"/>
    <w:rsid w:val="00913C82"/>
    <w:rsid w:val="00923C0C"/>
    <w:rsid w:val="00937146"/>
    <w:rsid w:val="00954203"/>
    <w:rsid w:val="009A4D56"/>
    <w:rsid w:val="009E09F7"/>
    <w:rsid w:val="009E30B1"/>
    <w:rsid w:val="009F4B6F"/>
    <w:rsid w:val="00A000DA"/>
    <w:rsid w:val="00A017D5"/>
    <w:rsid w:val="00A0605F"/>
    <w:rsid w:val="00A1736E"/>
    <w:rsid w:val="00A216EB"/>
    <w:rsid w:val="00A27A5E"/>
    <w:rsid w:val="00A41E30"/>
    <w:rsid w:val="00A63419"/>
    <w:rsid w:val="00A7435A"/>
    <w:rsid w:val="00A870E7"/>
    <w:rsid w:val="00AB68EF"/>
    <w:rsid w:val="00AE59F1"/>
    <w:rsid w:val="00B33E04"/>
    <w:rsid w:val="00B4681E"/>
    <w:rsid w:val="00B552DF"/>
    <w:rsid w:val="00B66E33"/>
    <w:rsid w:val="00B94AEF"/>
    <w:rsid w:val="00BD0EF7"/>
    <w:rsid w:val="00BE0DEC"/>
    <w:rsid w:val="00BE524F"/>
    <w:rsid w:val="00BE68D2"/>
    <w:rsid w:val="00C009D3"/>
    <w:rsid w:val="00C21399"/>
    <w:rsid w:val="00C560C4"/>
    <w:rsid w:val="00C63CBF"/>
    <w:rsid w:val="00C6748F"/>
    <w:rsid w:val="00C73D86"/>
    <w:rsid w:val="00C83111"/>
    <w:rsid w:val="00CA5BA3"/>
    <w:rsid w:val="00CC3C81"/>
    <w:rsid w:val="00CE50E8"/>
    <w:rsid w:val="00D005F2"/>
    <w:rsid w:val="00D232B9"/>
    <w:rsid w:val="00D631FA"/>
    <w:rsid w:val="00D63A59"/>
    <w:rsid w:val="00D82356"/>
    <w:rsid w:val="00D84EEE"/>
    <w:rsid w:val="00D90A61"/>
    <w:rsid w:val="00DA4FC4"/>
    <w:rsid w:val="00DB152E"/>
    <w:rsid w:val="00DB7327"/>
    <w:rsid w:val="00DD5B3D"/>
    <w:rsid w:val="00DF02CE"/>
    <w:rsid w:val="00E030DA"/>
    <w:rsid w:val="00E460AA"/>
    <w:rsid w:val="00E77337"/>
    <w:rsid w:val="00EB2BEC"/>
    <w:rsid w:val="00EB652E"/>
    <w:rsid w:val="00EC0704"/>
    <w:rsid w:val="00ED6B5D"/>
    <w:rsid w:val="00EE4C99"/>
    <w:rsid w:val="00EE59A4"/>
    <w:rsid w:val="00EF1003"/>
    <w:rsid w:val="00F21D94"/>
    <w:rsid w:val="00F51EEB"/>
    <w:rsid w:val="00F51F90"/>
    <w:rsid w:val="00F633C6"/>
    <w:rsid w:val="00F74FC9"/>
    <w:rsid w:val="00F841D1"/>
    <w:rsid w:val="00F849D6"/>
    <w:rsid w:val="00FA1272"/>
    <w:rsid w:val="00FE6EB6"/>
    <w:rsid w:val="00FF414B"/>
    <w:rsid w:val="00FF4B7A"/>
    <w:rsid w:val="00FF5318"/>
    <w:rsid w:val="00FF58DF"/>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E52DE-F32D-4BAE-A12E-7D74FDFD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aliases w:val="web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customStyle="1" w:styleId="awspan">
    <w:name w:val="awspan"/>
    <w:basedOn w:val="Predvolenpsmoodseku"/>
    <w:rsid w:val="007657AE"/>
  </w:style>
  <w:style w:type="character" w:styleId="Zstupntext">
    <w:name w:val="Placeholder Text"/>
    <w:basedOn w:val="Predvolenpsmoodseku"/>
    <w:uiPriority w:val="99"/>
    <w:semiHidden/>
    <w:rsid w:val="007657AE"/>
    <w:rPr>
      <w:rFonts w:ascii="Times New Roman" w:hAnsi="Times New Roman" w:cs="Times New Roman"/>
      <w:color w:val="808080"/>
    </w:rPr>
  </w:style>
  <w:style w:type="character" w:customStyle="1" w:styleId="Textzstupnhosymbolu1">
    <w:name w:val="Text zástupného symbolu1"/>
    <w:uiPriority w:val="99"/>
    <w:semiHidden/>
    <w:rsid w:val="00DA4FC4"/>
    <w:rPr>
      <w:rFonts w:ascii="Times New Roman" w:hAnsi="Times New Roman" w:cs="Times New Roman" w:hint="default"/>
      <w:color w:val="808080"/>
    </w:rPr>
  </w:style>
  <w:style w:type="paragraph" w:styleId="Zkladntext2">
    <w:name w:val="Body Text 2"/>
    <w:basedOn w:val="Normlny"/>
    <w:link w:val="Zkladntext2Char"/>
    <w:uiPriority w:val="99"/>
    <w:semiHidden/>
    <w:unhideWhenUsed/>
    <w:rsid w:val="00610FF7"/>
    <w:pPr>
      <w:autoSpaceDE w:val="0"/>
      <w:autoSpaceDN w:val="0"/>
      <w:spacing w:after="0" w:line="240" w:lineRule="auto"/>
      <w:jc w:val="center"/>
    </w:pPr>
    <w:rPr>
      <w:rFonts w:ascii="Times New Roman" w:eastAsia="Times New Roman" w:hAnsi="Times New Roman" w:cs="Times New Roman"/>
      <w:sz w:val="20"/>
      <w:szCs w:val="20"/>
      <w:lang w:eastAsia="sk-SK"/>
    </w:rPr>
  </w:style>
  <w:style w:type="character" w:customStyle="1" w:styleId="Zkladntext2Char">
    <w:name w:val="Základný text 2 Char"/>
    <w:basedOn w:val="Predvolenpsmoodseku"/>
    <w:link w:val="Zkladntext2"/>
    <w:uiPriority w:val="99"/>
    <w:semiHidden/>
    <w:rsid w:val="00610FF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4412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41225"/>
    <w:rPr>
      <w:sz w:val="20"/>
      <w:szCs w:val="20"/>
    </w:rPr>
  </w:style>
  <w:style w:type="character" w:styleId="Odkaznapoznmkupodiarou">
    <w:name w:val="footnote reference"/>
    <w:basedOn w:val="Predvolenpsmoodseku"/>
    <w:uiPriority w:val="99"/>
    <w:semiHidden/>
    <w:unhideWhenUsed/>
    <w:rsid w:val="00441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900">
      <w:bodyDiv w:val="1"/>
      <w:marLeft w:val="0"/>
      <w:marRight w:val="0"/>
      <w:marTop w:val="0"/>
      <w:marBottom w:val="0"/>
      <w:divBdr>
        <w:top w:val="none" w:sz="0" w:space="0" w:color="auto"/>
        <w:left w:val="none" w:sz="0" w:space="0" w:color="auto"/>
        <w:bottom w:val="none" w:sz="0" w:space="0" w:color="auto"/>
        <w:right w:val="none" w:sz="0" w:space="0" w:color="auto"/>
      </w:divBdr>
    </w:div>
    <w:div w:id="422453860">
      <w:bodyDiv w:val="1"/>
      <w:marLeft w:val="0"/>
      <w:marRight w:val="0"/>
      <w:marTop w:val="0"/>
      <w:marBottom w:val="0"/>
      <w:divBdr>
        <w:top w:val="none" w:sz="0" w:space="0" w:color="auto"/>
        <w:left w:val="none" w:sz="0" w:space="0" w:color="auto"/>
        <w:bottom w:val="none" w:sz="0" w:space="0" w:color="auto"/>
        <w:right w:val="none" w:sz="0" w:space="0" w:color="auto"/>
      </w:divBdr>
    </w:div>
    <w:div w:id="470249490">
      <w:bodyDiv w:val="1"/>
      <w:marLeft w:val="0"/>
      <w:marRight w:val="0"/>
      <w:marTop w:val="0"/>
      <w:marBottom w:val="0"/>
      <w:divBdr>
        <w:top w:val="none" w:sz="0" w:space="0" w:color="auto"/>
        <w:left w:val="none" w:sz="0" w:space="0" w:color="auto"/>
        <w:bottom w:val="none" w:sz="0" w:space="0" w:color="auto"/>
        <w:right w:val="none" w:sz="0" w:space="0" w:color="auto"/>
      </w:divBdr>
    </w:div>
    <w:div w:id="686490245">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11960773">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89063301">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95238003">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9DD786-5C9E-445C-A15B-1D00FDE9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2909</Words>
  <Characters>16587</Characters>
  <Application>Microsoft Office Word</Application>
  <DocSecurity>0</DocSecurity>
  <Lines>138</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Szakácsová Zuzana</cp:lastModifiedBy>
  <cp:revision>22</cp:revision>
  <cp:lastPrinted>2023-07-17T12:07:00Z</cp:lastPrinted>
  <dcterms:created xsi:type="dcterms:W3CDTF">2023-07-14T07:37:00Z</dcterms:created>
  <dcterms:modified xsi:type="dcterms:W3CDTF">2024-04-12T08:39:00Z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