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Pr="00347F35" w:rsidRDefault="00A340BB" w:rsidP="001B23B7">
      <w:pPr>
        <w:spacing w:after="0" w:line="240" w:lineRule="auto"/>
        <w:jc w:val="center"/>
        <w:rPr>
          <w:rFonts w:ascii="Times New Roman" w:eastAsia="Times New Roman" w:hAnsi="Times New Roman" w:cs="Times New Roman"/>
          <w:b/>
          <w:sz w:val="28"/>
          <w:szCs w:val="28"/>
          <w:lang w:eastAsia="sk-SK"/>
        </w:rPr>
      </w:pPr>
      <w:r w:rsidRPr="00347F35">
        <w:rPr>
          <w:rFonts w:ascii="Times New Roman" w:eastAsia="Times New Roman" w:hAnsi="Times New Roman" w:cs="Times New Roman"/>
          <w:b/>
          <w:sz w:val="28"/>
          <w:szCs w:val="28"/>
          <w:lang w:eastAsia="sk-SK"/>
        </w:rPr>
        <w:t>D</w:t>
      </w:r>
      <w:r w:rsidR="001B23B7" w:rsidRPr="00347F35">
        <w:rPr>
          <w:rFonts w:ascii="Times New Roman" w:eastAsia="Times New Roman" w:hAnsi="Times New Roman" w:cs="Times New Roman"/>
          <w:b/>
          <w:sz w:val="28"/>
          <w:szCs w:val="28"/>
          <w:lang w:eastAsia="sk-SK"/>
        </w:rPr>
        <w:t>oložka vybraných vplyvov</w:t>
      </w:r>
    </w:p>
    <w:p w:rsidR="001B23B7" w:rsidRPr="00347F35"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347F35"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47F35" w:rsidRPr="00347F35" w:rsidTr="006E554D">
        <w:tc>
          <w:tcPr>
            <w:tcW w:w="9180" w:type="dxa"/>
            <w:gridSpan w:val="11"/>
            <w:tcBorders>
              <w:bottom w:val="single" w:sz="4" w:space="0" w:color="FFFFFF"/>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Základné údaje</w:t>
            </w:r>
          </w:p>
        </w:tc>
      </w:tr>
      <w:tr w:rsidR="00347F35" w:rsidRPr="00347F35" w:rsidTr="006E554D">
        <w:tc>
          <w:tcPr>
            <w:tcW w:w="9180" w:type="dxa"/>
            <w:gridSpan w:val="11"/>
            <w:tcBorders>
              <w:bottom w:val="single" w:sz="4" w:space="0" w:color="FFFFFF"/>
            </w:tcBorders>
            <w:shd w:val="clear" w:color="auto" w:fill="E2E2E2"/>
          </w:tcPr>
          <w:p w:rsidR="001B23B7" w:rsidRPr="00347F35" w:rsidRDefault="001B23B7" w:rsidP="006E554D">
            <w:pPr>
              <w:spacing w:after="200" w:line="276" w:lineRule="auto"/>
              <w:ind w:left="142"/>
              <w:contextualSpacing/>
              <w:rPr>
                <w:rFonts w:ascii="Times New Roman" w:eastAsia="Calibri" w:hAnsi="Times New Roman" w:cs="Times New Roman"/>
                <w:b/>
              </w:rPr>
            </w:pPr>
            <w:r w:rsidRPr="00347F35">
              <w:rPr>
                <w:rFonts w:ascii="Times New Roman" w:eastAsia="Calibri" w:hAnsi="Times New Roman" w:cs="Times New Roman"/>
                <w:b/>
              </w:rPr>
              <w:t>Názov materiálu</w:t>
            </w:r>
          </w:p>
        </w:tc>
      </w:tr>
      <w:tr w:rsidR="00347F35" w:rsidRPr="00347F35" w:rsidTr="006E554D">
        <w:tc>
          <w:tcPr>
            <w:tcW w:w="9180" w:type="dxa"/>
            <w:gridSpan w:val="11"/>
            <w:tcBorders>
              <w:top w:val="single" w:sz="4" w:space="0" w:color="FFFFFF"/>
              <w:bottom w:val="single" w:sz="4" w:space="0" w:color="auto"/>
            </w:tcBorders>
          </w:tcPr>
          <w:p w:rsidR="001B23B7" w:rsidRPr="00347F35" w:rsidRDefault="00491CEF" w:rsidP="00491CEF">
            <w:pPr>
              <w:jc w:val="both"/>
              <w:rPr>
                <w:rFonts w:ascii="Times New Roman" w:eastAsia="Times New Roman" w:hAnsi="Times New Roman" w:cs="Times New Roman"/>
                <w:sz w:val="20"/>
                <w:szCs w:val="20"/>
                <w:lang w:eastAsia="sk-SK"/>
              </w:rPr>
            </w:pPr>
            <w:r w:rsidRPr="00347F35">
              <w:rPr>
                <w:rFonts w:ascii="Times New Roman" w:hAnsi="Times New Roman"/>
                <w:sz w:val="24"/>
                <w:szCs w:val="24"/>
              </w:rPr>
              <w:t>Návrh nariadenia vlády Slovenskej republiky o ochrane zdravia zamestnancov pred rizikami súvisiacimi s expozíciou karcinogénnym</w:t>
            </w:r>
            <w:r w:rsidR="00875781" w:rsidRPr="00347F35">
              <w:rPr>
                <w:rFonts w:ascii="Times New Roman" w:hAnsi="Times New Roman"/>
                <w:sz w:val="24"/>
                <w:szCs w:val="24"/>
              </w:rPr>
              <w:t xml:space="preserve"> faktorom</w:t>
            </w:r>
            <w:r w:rsidRPr="00347F35">
              <w:rPr>
                <w:rFonts w:ascii="Times New Roman" w:hAnsi="Times New Roman"/>
                <w:sz w:val="24"/>
                <w:szCs w:val="24"/>
              </w:rPr>
              <w:t>, mutagénnym</w:t>
            </w:r>
            <w:r w:rsidR="00875781" w:rsidRPr="00347F35">
              <w:rPr>
                <w:rFonts w:ascii="Times New Roman" w:hAnsi="Times New Roman"/>
                <w:sz w:val="24"/>
                <w:szCs w:val="24"/>
              </w:rPr>
              <w:t xml:space="preserve"> faktorom</w:t>
            </w:r>
            <w:r w:rsidRPr="00347F35">
              <w:rPr>
                <w:rFonts w:ascii="Times New Roman" w:hAnsi="Times New Roman"/>
                <w:sz w:val="24"/>
                <w:szCs w:val="24"/>
              </w:rPr>
              <w:t xml:space="preserve"> alebo reprodukčne toxickým faktorom pri práci (ďalej len „návrh nariadenia vlády“).</w:t>
            </w:r>
          </w:p>
          <w:p w:rsidR="001B23B7" w:rsidRPr="00347F35" w:rsidRDefault="001B23B7" w:rsidP="006E554D">
            <w:pPr>
              <w:rPr>
                <w:rFonts w:ascii="Times New Roman" w:eastAsia="Times New Roman" w:hAnsi="Times New Roman" w:cs="Times New Roman"/>
                <w:sz w:val="20"/>
                <w:szCs w:val="20"/>
                <w:lang w:eastAsia="sk-SK"/>
              </w:rPr>
            </w:pPr>
          </w:p>
        </w:tc>
      </w:tr>
      <w:tr w:rsidR="00347F35" w:rsidRPr="00347F35" w:rsidTr="006E554D">
        <w:tc>
          <w:tcPr>
            <w:tcW w:w="9180" w:type="dxa"/>
            <w:gridSpan w:val="11"/>
            <w:tcBorders>
              <w:top w:val="single" w:sz="4" w:space="0" w:color="auto"/>
              <w:left w:val="single" w:sz="4" w:space="0" w:color="auto"/>
              <w:bottom w:val="single" w:sz="4" w:space="0" w:color="FFFFFF"/>
            </w:tcBorders>
            <w:shd w:val="clear" w:color="auto" w:fill="E2E2E2"/>
          </w:tcPr>
          <w:p w:rsidR="001B23B7" w:rsidRPr="00347F35" w:rsidRDefault="001B23B7" w:rsidP="006E554D">
            <w:pPr>
              <w:spacing w:after="200" w:line="276" w:lineRule="auto"/>
              <w:ind w:left="142"/>
              <w:contextualSpacing/>
              <w:rPr>
                <w:rFonts w:ascii="Times New Roman" w:eastAsia="Calibri" w:hAnsi="Times New Roman" w:cs="Times New Roman"/>
                <w:b/>
              </w:rPr>
            </w:pPr>
            <w:r w:rsidRPr="00347F35">
              <w:rPr>
                <w:rFonts w:ascii="Times New Roman" w:eastAsia="Calibri" w:hAnsi="Times New Roman" w:cs="Times New Roman"/>
                <w:b/>
              </w:rPr>
              <w:t>Predkladateľ (a spolupredkladateľ)</w:t>
            </w:r>
          </w:p>
        </w:tc>
      </w:tr>
      <w:tr w:rsidR="00347F35" w:rsidRPr="00347F35" w:rsidTr="006E554D">
        <w:tc>
          <w:tcPr>
            <w:tcW w:w="9180" w:type="dxa"/>
            <w:gridSpan w:val="11"/>
            <w:tcBorders>
              <w:top w:val="single" w:sz="4" w:space="0" w:color="FFFFFF"/>
              <w:left w:val="single" w:sz="4" w:space="0" w:color="auto"/>
              <w:bottom w:val="single" w:sz="4" w:space="0" w:color="auto"/>
            </w:tcBorders>
            <w:shd w:val="clear" w:color="auto" w:fill="FFFFFF"/>
          </w:tcPr>
          <w:p w:rsidR="001B23B7" w:rsidRPr="00347F35" w:rsidRDefault="00491CEF" w:rsidP="006E554D">
            <w:pPr>
              <w:rPr>
                <w:rFonts w:ascii="Times New Roman" w:eastAsia="Times New Roman" w:hAnsi="Times New Roman" w:cs="Times New Roman"/>
                <w:sz w:val="20"/>
                <w:szCs w:val="20"/>
                <w:lang w:eastAsia="sk-SK"/>
              </w:rPr>
            </w:pPr>
            <w:r w:rsidRPr="00347F35">
              <w:rPr>
                <w:rFonts w:ascii="Times New Roman" w:eastAsia="Times New Roman" w:hAnsi="Times New Roman"/>
                <w:sz w:val="24"/>
                <w:szCs w:val="24"/>
                <w:lang w:eastAsia="sk-SK"/>
              </w:rPr>
              <w:t>Ministerstvo zdravotníctva Slovenskej republiky (Úrad verejného zdravotníctva Slovenskej republiky)</w:t>
            </w:r>
          </w:p>
          <w:p w:rsidR="001B23B7" w:rsidRPr="00347F35" w:rsidRDefault="001B23B7" w:rsidP="006E554D">
            <w:pPr>
              <w:rPr>
                <w:rFonts w:ascii="Times New Roman" w:eastAsia="Times New Roman" w:hAnsi="Times New Roman" w:cs="Times New Roman"/>
                <w:sz w:val="20"/>
                <w:szCs w:val="20"/>
                <w:lang w:eastAsia="sk-SK"/>
              </w:rPr>
            </w:pPr>
          </w:p>
        </w:tc>
      </w:tr>
      <w:tr w:rsidR="00347F35" w:rsidRPr="00347F35" w:rsidTr="006E554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347F35" w:rsidRDefault="001B23B7" w:rsidP="006E554D">
            <w:pPr>
              <w:spacing w:after="200" w:line="276" w:lineRule="auto"/>
              <w:ind w:left="142"/>
              <w:contextualSpacing/>
              <w:rPr>
                <w:rFonts w:ascii="Times New Roman" w:eastAsia="Calibri" w:hAnsi="Times New Roman" w:cs="Times New Roman"/>
                <w:b/>
              </w:rPr>
            </w:pPr>
            <w:r w:rsidRPr="00347F35">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47F35" w:rsidRDefault="000013C3" w:rsidP="006E554D">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347F35" w:rsidRDefault="001B23B7" w:rsidP="006E554D">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Materiál nelegislatívnej povahy</w:t>
            </w:r>
          </w:p>
        </w:tc>
      </w:tr>
      <w:tr w:rsidR="00347F35" w:rsidRPr="00347F35" w:rsidTr="006E554D">
        <w:tc>
          <w:tcPr>
            <w:tcW w:w="4212" w:type="dxa"/>
            <w:gridSpan w:val="2"/>
            <w:vMerge/>
            <w:tcBorders>
              <w:top w:val="nil"/>
              <w:left w:val="single" w:sz="4" w:space="0" w:color="auto"/>
              <w:bottom w:val="single" w:sz="4" w:space="0" w:color="FFFFFF"/>
            </w:tcBorders>
            <w:shd w:val="clear" w:color="auto" w:fill="E2E2E2"/>
          </w:tcPr>
          <w:p w:rsidR="001B23B7" w:rsidRPr="00347F35" w:rsidRDefault="001B23B7" w:rsidP="006E554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47F35" w:rsidRDefault="00491CEF" w:rsidP="00203EE3">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347F35" w:rsidRDefault="001B23B7" w:rsidP="006E554D">
            <w:pPr>
              <w:ind w:left="175" w:hanging="175"/>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Materiál legislatívnej povahy</w:t>
            </w:r>
          </w:p>
        </w:tc>
      </w:tr>
      <w:tr w:rsidR="00347F35" w:rsidRPr="00347F35" w:rsidTr="006E554D">
        <w:tc>
          <w:tcPr>
            <w:tcW w:w="4212" w:type="dxa"/>
            <w:gridSpan w:val="2"/>
            <w:vMerge/>
            <w:tcBorders>
              <w:top w:val="nil"/>
              <w:left w:val="single" w:sz="4" w:space="0" w:color="auto"/>
              <w:bottom w:val="single" w:sz="4" w:space="0" w:color="auto"/>
            </w:tcBorders>
            <w:shd w:val="clear" w:color="auto" w:fill="E2E2E2"/>
          </w:tcPr>
          <w:p w:rsidR="001B23B7" w:rsidRPr="00347F35" w:rsidRDefault="001B23B7" w:rsidP="006E554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47F35" w:rsidRDefault="00491CEF" w:rsidP="006E554D">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347F35" w:rsidRDefault="001B23B7" w:rsidP="006E554D">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Transpozícia práva EÚ</w:t>
            </w:r>
          </w:p>
        </w:tc>
      </w:tr>
      <w:tr w:rsidR="00347F35" w:rsidRPr="00347F35" w:rsidTr="006E554D">
        <w:tc>
          <w:tcPr>
            <w:tcW w:w="9180" w:type="dxa"/>
            <w:gridSpan w:val="11"/>
            <w:tcBorders>
              <w:top w:val="single" w:sz="4" w:space="0" w:color="auto"/>
              <w:left w:val="single" w:sz="4" w:space="0" w:color="auto"/>
              <w:bottom w:val="single" w:sz="4" w:space="0" w:color="FFFFFF"/>
            </w:tcBorders>
            <w:shd w:val="clear" w:color="auto" w:fill="FFFFFF"/>
          </w:tcPr>
          <w:p w:rsidR="003E5E87" w:rsidRPr="00347F35" w:rsidRDefault="003E5E87" w:rsidP="003E5E87">
            <w:pPr>
              <w:jc w:val="both"/>
              <w:rPr>
                <w:rFonts w:ascii="Times New Roman" w:eastAsia="Times New Roman" w:hAnsi="Times New Roman" w:cs="Times New Roman"/>
                <w:b/>
                <w:sz w:val="24"/>
                <w:szCs w:val="24"/>
                <w:lang w:eastAsia="sk-SK"/>
              </w:rPr>
            </w:pPr>
            <w:r w:rsidRPr="00347F35">
              <w:rPr>
                <w:rFonts w:ascii="Times New Roman" w:eastAsia="Times New Roman" w:hAnsi="Times New Roman" w:cs="Times New Roman"/>
                <w:b/>
                <w:sz w:val="24"/>
                <w:szCs w:val="24"/>
                <w:lang w:eastAsia="sk-SK"/>
              </w:rPr>
              <w:t>V prípade transpozície uveďte zoznam transponovaných predpisov.</w:t>
            </w:r>
          </w:p>
          <w:p w:rsidR="006E554D" w:rsidRPr="00347F35" w:rsidRDefault="006E554D" w:rsidP="006E554D">
            <w:pPr>
              <w:jc w:val="both"/>
              <w:rPr>
                <w:rFonts w:ascii="Times New Roman" w:eastAsia="Times New Roman" w:hAnsi="Times New Roman" w:cs="Times New Roman"/>
                <w:i/>
                <w:sz w:val="24"/>
                <w:szCs w:val="24"/>
                <w:lang w:eastAsia="sk-SK"/>
              </w:rPr>
            </w:pPr>
            <w:r w:rsidRPr="00347F35">
              <w:rPr>
                <w:rFonts w:ascii="Times New Roman" w:hAnsi="Times New Roman" w:cs="Times New Roman"/>
                <w:iCs/>
                <w:sz w:val="24"/>
                <w:szCs w:val="24"/>
              </w:rPr>
              <w:t xml:space="preserve">Smernica 2004/37/ES Európskeho parlamentu a Rady z 29. apríla 2004 o ochrane pracovníkov pred rizikami z vystavenia účinkom </w:t>
            </w:r>
            <w:r w:rsidR="00AC73B2" w:rsidRPr="00347F35">
              <w:rPr>
                <w:rFonts w:ascii="Times New Roman" w:hAnsi="Times New Roman" w:cs="Times New Roman"/>
                <w:iCs/>
                <w:sz w:val="24"/>
                <w:szCs w:val="24"/>
              </w:rPr>
              <w:t xml:space="preserve">karcinogénom, mutagénom alebo reprodukčne toxickým látkam </w:t>
            </w:r>
            <w:r w:rsidRPr="00347F35">
              <w:rPr>
                <w:rFonts w:ascii="Times New Roman" w:hAnsi="Times New Roman" w:cs="Times New Roman"/>
                <w:iCs/>
                <w:sz w:val="24"/>
                <w:szCs w:val="24"/>
              </w:rPr>
              <w:t xml:space="preserve">pri práci (šiesta samostatná smernica v zmysle článku 16 ods. 1 smernice Rady 89/391/EHS) (kodifikované znenie) </w:t>
            </w:r>
            <w:r w:rsidRPr="00347F35">
              <w:rPr>
                <w:rFonts w:ascii="Times" w:hAnsi="Times" w:cs="Times"/>
                <w:sz w:val="24"/>
                <w:szCs w:val="24"/>
              </w:rPr>
              <w:t>(Ú. v. EÚ L 158, 30.4.2004) v platnom znení.</w:t>
            </w:r>
          </w:p>
          <w:p w:rsidR="001B23B7" w:rsidRPr="00347F35" w:rsidRDefault="001B23B7" w:rsidP="006E554D">
            <w:pPr>
              <w:jc w:val="both"/>
              <w:rPr>
                <w:rFonts w:ascii="Times New Roman" w:eastAsia="Times New Roman" w:hAnsi="Times New Roman" w:cs="Times New Roman"/>
                <w:sz w:val="20"/>
                <w:szCs w:val="20"/>
                <w:lang w:eastAsia="sk-SK"/>
              </w:rPr>
            </w:pPr>
          </w:p>
        </w:tc>
      </w:tr>
      <w:tr w:rsidR="00347F35" w:rsidRPr="00347F35" w:rsidTr="006E554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347F35" w:rsidRDefault="001B23B7" w:rsidP="006E554D">
            <w:pPr>
              <w:spacing w:after="200" w:line="276" w:lineRule="auto"/>
              <w:ind w:left="142"/>
              <w:contextualSpacing/>
              <w:rPr>
                <w:rFonts w:ascii="Times New Roman" w:eastAsia="Calibri" w:hAnsi="Times New Roman" w:cs="Times New Roman"/>
                <w:b/>
              </w:rPr>
            </w:pPr>
            <w:r w:rsidRPr="00347F35">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347F35" w:rsidRDefault="00CD4BE8" w:rsidP="006E554D">
            <w:pPr>
              <w:rPr>
                <w:rFonts w:ascii="Times New Roman" w:eastAsia="Times New Roman" w:hAnsi="Times New Roman" w:cs="Times New Roman"/>
                <w:i/>
                <w:sz w:val="20"/>
                <w:szCs w:val="20"/>
                <w:lang w:eastAsia="sk-SK"/>
              </w:rPr>
            </w:pPr>
            <w:r w:rsidRPr="00347F35">
              <w:rPr>
                <w:rFonts w:ascii="Times New Roman" w:eastAsia="Times New Roman" w:hAnsi="Times New Roman" w:cs="Times New Roman"/>
                <w:i/>
                <w:sz w:val="20"/>
                <w:szCs w:val="20"/>
                <w:lang w:eastAsia="sk-SK"/>
              </w:rPr>
              <w:t>0</w:t>
            </w:r>
            <w:r w:rsidR="00887E2A" w:rsidRPr="00347F35">
              <w:rPr>
                <w:rFonts w:ascii="Times New Roman" w:eastAsia="Times New Roman" w:hAnsi="Times New Roman" w:cs="Times New Roman"/>
                <w:i/>
                <w:sz w:val="20"/>
                <w:szCs w:val="20"/>
                <w:lang w:eastAsia="sk-SK"/>
              </w:rPr>
              <w:t>7</w:t>
            </w:r>
            <w:r w:rsidRPr="00347F35">
              <w:rPr>
                <w:rFonts w:ascii="Times New Roman" w:eastAsia="Times New Roman" w:hAnsi="Times New Roman" w:cs="Times New Roman"/>
                <w:i/>
                <w:sz w:val="20"/>
                <w:szCs w:val="20"/>
                <w:lang w:eastAsia="sk-SK"/>
              </w:rPr>
              <w:t>/</w:t>
            </w:r>
            <w:r w:rsidR="00145EDB" w:rsidRPr="00347F35">
              <w:rPr>
                <w:rFonts w:ascii="Times New Roman" w:eastAsia="Times New Roman" w:hAnsi="Times New Roman" w:cs="Times New Roman"/>
                <w:i/>
                <w:sz w:val="20"/>
                <w:szCs w:val="20"/>
                <w:lang w:eastAsia="sk-SK"/>
              </w:rPr>
              <w:t>2023</w:t>
            </w:r>
          </w:p>
        </w:tc>
      </w:tr>
      <w:tr w:rsidR="00347F35" w:rsidRPr="00347F35" w:rsidTr="006E554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A340BB">
            <w:pPr>
              <w:spacing w:after="200" w:line="276" w:lineRule="auto"/>
              <w:ind w:left="142"/>
              <w:contextualSpacing/>
              <w:rPr>
                <w:rFonts w:ascii="Times New Roman" w:eastAsia="Calibri" w:hAnsi="Times New Roman" w:cs="Times New Roman"/>
                <w:b/>
              </w:rPr>
            </w:pPr>
            <w:r w:rsidRPr="00347F35">
              <w:rPr>
                <w:rFonts w:ascii="Times New Roman" w:eastAsia="Calibri" w:hAnsi="Times New Roman" w:cs="Times New Roman"/>
                <w:b/>
              </w:rPr>
              <w:t xml:space="preserve">Predpokladaný termín predloženia na </w:t>
            </w:r>
            <w:r w:rsidR="00A340BB" w:rsidRPr="00347F35">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347F35" w:rsidRDefault="00CD4BE8" w:rsidP="006E554D">
            <w:pPr>
              <w:rPr>
                <w:rFonts w:ascii="Times New Roman" w:eastAsia="Times New Roman" w:hAnsi="Times New Roman" w:cs="Times New Roman"/>
                <w:i/>
                <w:sz w:val="20"/>
                <w:szCs w:val="20"/>
                <w:lang w:eastAsia="sk-SK"/>
              </w:rPr>
            </w:pPr>
            <w:r w:rsidRPr="00347F35">
              <w:rPr>
                <w:rFonts w:ascii="Times New Roman" w:eastAsia="Times New Roman" w:hAnsi="Times New Roman" w:cs="Times New Roman"/>
                <w:i/>
                <w:sz w:val="20"/>
                <w:szCs w:val="20"/>
                <w:lang w:eastAsia="sk-SK"/>
              </w:rPr>
              <w:t>07/</w:t>
            </w:r>
            <w:r w:rsidR="00145EDB" w:rsidRPr="00347F35">
              <w:rPr>
                <w:rFonts w:ascii="Times New Roman" w:eastAsia="Times New Roman" w:hAnsi="Times New Roman" w:cs="Times New Roman"/>
                <w:i/>
                <w:sz w:val="20"/>
                <w:szCs w:val="20"/>
                <w:lang w:eastAsia="sk-SK"/>
              </w:rPr>
              <w:t>2023</w:t>
            </w:r>
          </w:p>
        </w:tc>
      </w:tr>
      <w:tr w:rsidR="00347F35" w:rsidRPr="00347F35"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D2313B">
            <w:pPr>
              <w:spacing w:line="276" w:lineRule="auto"/>
              <w:ind w:left="142"/>
              <w:contextualSpacing/>
              <w:rPr>
                <w:rFonts w:ascii="Calibri" w:eastAsia="Calibri" w:hAnsi="Calibri" w:cs="Times New Roman"/>
                <w:b/>
              </w:rPr>
            </w:pPr>
            <w:r w:rsidRPr="00347F35">
              <w:rPr>
                <w:rFonts w:ascii="Times New Roman" w:eastAsia="Calibri" w:hAnsi="Times New Roman" w:cs="Times New Roman"/>
                <w:b/>
              </w:rPr>
              <w:t>Predpokladaný termín začiatku a ukončenia ZP**</w:t>
            </w:r>
            <w:r w:rsidRPr="00347F35">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347F35" w:rsidRDefault="001B23B7">
            <w:pPr>
              <w:rPr>
                <w:rFonts w:ascii="Times New Roman" w:eastAsia="Times New Roman" w:hAnsi="Times New Roman" w:cs="Times New Roman"/>
                <w:i/>
                <w:sz w:val="20"/>
                <w:szCs w:val="20"/>
                <w:lang w:eastAsia="sk-SK"/>
              </w:rPr>
            </w:pPr>
          </w:p>
        </w:tc>
      </w:tr>
      <w:tr w:rsidR="00347F35" w:rsidRPr="00347F35" w:rsidTr="006E554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spacing w:after="200" w:line="276" w:lineRule="auto"/>
              <w:ind w:left="142"/>
              <w:contextualSpacing/>
              <w:jc w:val="both"/>
              <w:rPr>
                <w:rFonts w:ascii="Times New Roman" w:eastAsia="Calibri" w:hAnsi="Times New Roman" w:cs="Times New Roman"/>
                <w:b/>
              </w:rPr>
            </w:pPr>
            <w:r w:rsidRPr="00347F35">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347F35" w:rsidRDefault="00E45EAA" w:rsidP="00E45EA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04</w:t>
            </w:r>
            <w:r w:rsidR="00CD4BE8" w:rsidRPr="00347F35">
              <w:rPr>
                <w:rFonts w:ascii="Times New Roman" w:eastAsia="Times New Roman" w:hAnsi="Times New Roman" w:cs="Times New Roman"/>
                <w:i/>
                <w:sz w:val="20"/>
                <w:szCs w:val="20"/>
                <w:lang w:eastAsia="sk-SK"/>
              </w:rPr>
              <w:t>/</w:t>
            </w:r>
            <w:r w:rsidR="00145EDB" w:rsidRPr="00347F35">
              <w:rPr>
                <w:rFonts w:ascii="Times New Roman" w:eastAsia="Times New Roman" w:hAnsi="Times New Roman" w:cs="Times New Roman"/>
                <w:i/>
                <w:sz w:val="20"/>
                <w:szCs w:val="20"/>
                <w:lang w:eastAsia="sk-SK"/>
              </w:rPr>
              <w:t>202</w:t>
            </w:r>
            <w:r>
              <w:rPr>
                <w:rFonts w:ascii="Times New Roman" w:eastAsia="Times New Roman" w:hAnsi="Times New Roman" w:cs="Times New Roman"/>
                <w:i/>
                <w:sz w:val="20"/>
                <w:szCs w:val="20"/>
                <w:lang w:eastAsia="sk-SK"/>
              </w:rPr>
              <w:t>4</w:t>
            </w:r>
            <w:bookmarkStart w:id="0" w:name="_GoBack"/>
            <w:bookmarkEnd w:id="0"/>
          </w:p>
        </w:tc>
      </w:tr>
      <w:tr w:rsidR="00347F35" w:rsidRPr="00347F35" w:rsidTr="006E554D">
        <w:tc>
          <w:tcPr>
            <w:tcW w:w="9180" w:type="dxa"/>
            <w:gridSpan w:val="11"/>
            <w:tcBorders>
              <w:top w:val="single" w:sz="4" w:space="0" w:color="auto"/>
              <w:left w:val="nil"/>
              <w:bottom w:val="single" w:sz="4" w:space="0" w:color="auto"/>
              <w:right w:val="nil"/>
            </w:tcBorders>
            <w:shd w:val="clear" w:color="auto" w:fill="FFFFFF"/>
          </w:tcPr>
          <w:p w:rsidR="001B23B7" w:rsidRPr="00347F35" w:rsidRDefault="001B23B7" w:rsidP="006E554D">
            <w:pPr>
              <w:rPr>
                <w:rFonts w:ascii="Times New Roman" w:eastAsia="Times New Roman" w:hAnsi="Times New Roman" w:cs="Times New Roman"/>
                <w:sz w:val="20"/>
                <w:szCs w:val="20"/>
                <w:lang w:eastAsia="sk-SK"/>
              </w:rPr>
            </w:pPr>
          </w:p>
        </w:tc>
      </w:tr>
      <w:tr w:rsidR="00347F35" w:rsidRPr="00347F35" w:rsidTr="006E554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Definovanie problému</w:t>
            </w:r>
          </w:p>
        </w:tc>
      </w:tr>
      <w:tr w:rsidR="00347F35" w:rsidRPr="00347F35" w:rsidTr="006E554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B7B23" w:rsidRPr="00347F35" w:rsidRDefault="005B7B23" w:rsidP="005B7B23">
            <w:pPr>
              <w:pStyle w:val="Odsekzoznamu"/>
              <w:numPr>
                <w:ilvl w:val="0"/>
                <w:numId w:val="3"/>
              </w:numPr>
              <w:ind w:left="357" w:hanging="357"/>
              <w:jc w:val="both"/>
              <w:rPr>
                <w:rFonts w:ascii="Times New Roman" w:eastAsia="Times New Roman" w:hAnsi="Times New Roman" w:cs="Times New Roman"/>
                <w:i/>
                <w:sz w:val="24"/>
                <w:szCs w:val="24"/>
                <w:lang w:eastAsia="sk-SK"/>
              </w:rPr>
            </w:pPr>
            <w:r w:rsidRPr="00347F35">
              <w:rPr>
                <w:rFonts w:ascii="Times New Roman" w:eastAsia="Times New Roman" w:hAnsi="Times New Roman"/>
                <w:sz w:val="24"/>
                <w:szCs w:val="24"/>
                <w:lang w:eastAsia="sk-SK"/>
              </w:rPr>
              <w:t>do právneho poriadku Slovenskej republiky sa preberá smernica Európskeho parlamentu a Rady (EÚ) 2022/431 z 9. marca 2022, ktorou sa mení smernica 2004/37/ES o ochrane pracovníkov pred rizikami súvisiacimi s expozíciou karcinogénom alebo mutagénom pri práci</w:t>
            </w:r>
            <w:r w:rsidR="006E554D" w:rsidRPr="00347F35">
              <w:rPr>
                <w:rFonts w:ascii="Times New Roman" w:eastAsia="Times New Roman" w:hAnsi="Times New Roman"/>
                <w:sz w:val="24"/>
                <w:szCs w:val="24"/>
                <w:lang w:eastAsia="sk-SK"/>
              </w:rPr>
              <w:t xml:space="preserve"> </w:t>
            </w:r>
            <w:r w:rsidR="006E554D" w:rsidRPr="00347F35">
              <w:rPr>
                <w:rFonts w:ascii="Times" w:hAnsi="Times" w:cs="Times"/>
                <w:sz w:val="24"/>
                <w:szCs w:val="24"/>
              </w:rPr>
              <w:t xml:space="preserve">(Ú. v. EÚ L 88, 16.3.2022) </w:t>
            </w:r>
            <w:r w:rsidRPr="00347F35">
              <w:rPr>
                <w:rFonts w:ascii="Times New Roman" w:eastAsia="Times New Roman" w:hAnsi="Times New Roman"/>
                <w:sz w:val="24"/>
                <w:szCs w:val="24"/>
                <w:lang w:eastAsia="sk-SK"/>
              </w:rPr>
              <w:t xml:space="preserve"> (ďalej len „smernica (EÚ) 2022/431“),</w:t>
            </w:r>
          </w:p>
          <w:p w:rsidR="006B23CC" w:rsidRPr="00347F35" w:rsidRDefault="006B23CC" w:rsidP="005B7B23">
            <w:pPr>
              <w:pStyle w:val="Odsekzoznamu"/>
              <w:numPr>
                <w:ilvl w:val="0"/>
                <w:numId w:val="3"/>
              </w:numPr>
              <w:ind w:left="357" w:hanging="357"/>
              <w:jc w:val="both"/>
              <w:rPr>
                <w:rFonts w:ascii="Times New Roman" w:eastAsia="Times New Roman" w:hAnsi="Times New Roman" w:cs="Times New Roman"/>
                <w:i/>
                <w:sz w:val="24"/>
                <w:szCs w:val="24"/>
                <w:lang w:eastAsia="sk-SK"/>
              </w:rPr>
            </w:pPr>
            <w:r w:rsidRPr="00347F35">
              <w:rPr>
                <w:rFonts w:ascii="Times New Roman" w:eastAsia="Times New Roman" w:hAnsi="Times New Roman"/>
                <w:sz w:val="24"/>
                <w:szCs w:val="24"/>
                <w:lang w:eastAsia="sk-SK"/>
              </w:rPr>
              <w:t xml:space="preserve">reprodukčne toxické </w:t>
            </w:r>
            <w:r w:rsidRPr="00347F35">
              <w:rPr>
                <w:rFonts w:ascii="Times New Roman" w:hAnsi="Times New Roman"/>
                <w:sz w:val="24"/>
                <w:szCs w:val="24"/>
              </w:rPr>
              <w:t>faktory</w:t>
            </w:r>
            <w:r w:rsidRPr="00347F35">
              <w:rPr>
                <w:rFonts w:ascii="Times New Roman" w:eastAsia="Times New Roman" w:hAnsi="Times New Roman"/>
                <w:sz w:val="24"/>
                <w:szCs w:val="24"/>
                <w:lang w:eastAsia="sk-SK"/>
              </w:rPr>
              <w:t xml:space="preserve"> môžu byť príčinou nepriaznivých účinkov na pohlavné funkcie a plodnosť dospelých mužov a žien, ako aj na vývoj potomstva;</w:t>
            </w:r>
            <w:r w:rsidRPr="00347F35">
              <w:rPr>
                <w:rFonts w:ascii="Times New Roman" w:hAnsi="Times New Roman"/>
                <w:sz w:val="24"/>
                <w:szCs w:val="24"/>
              </w:rPr>
              <w:t xml:space="preserve"> podobne ako karcinogén</w:t>
            </w:r>
            <w:r w:rsidR="00320891" w:rsidRPr="00347F35">
              <w:rPr>
                <w:rFonts w:ascii="Times New Roman" w:hAnsi="Times New Roman"/>
                <w:sz w:val="24"/>
                <w:szCs w:val="24"/>
              </w:rPr>
              <w:t>ne faktory</w:t>
            </w:r>
            <w:r w:rsidRPr="00347F35">
              <w:rPr>
                <w:rFonts w:ascii="Times New Roman" w:hAnsi="Times New Roman"/>
                <w:sz w:val="24"/>
                <w:szCs w:val="24"/>
              </w:rPr>
              <w:t xml:space="preserve"> a</w:t>
            </w:r>
            <w:r w:rsidR="00320891" w:rsidRPr="00347F35">
              <w:rPr>
                <w:rFonts w:ascii="Times New Roman" w:hAnsi="Times New Roman"/>
                <w:sz w:val="24"/>
                <w:szCs w:val="24"/>
              </w:rPr>
              <w:t> </w:t>
            </w:r>
            <w:r w:rsidRPr="00347F35">
              <w:rPr>
                <w:rFonts w:ascii="Times New Roman" w:hAnsi="Times New Roman"/>
                <w:sz w:val="24"/>
                <w:szCs w:val="24"/>
              </w:rPr>
              <w:t>mutagén</w:t>
            </w:r>
            <w:r w:rsidR="00320891" w:rsidRPr="00347F35">
              <w:rPr>
                <w:rFonts w:ascii="Times New Roman" w:hAnsi="Times New Roman"/>
                <w:sz w:val="24"/>
                <w:szCs w:val="24"/>
              </w:rPr>
              <w:t>ne faktory</w:t>
            </w:r>
            <w:r w:rsidRPr="00347F35">
              <w:rPr>
                <w:rFonts w:ascii="Times New Roman" w:hAnsi="Times New Roman"/>
                <w:sz w:val="24"/>
                <w:szCs w:val="24"/>
              </w:rPr>
              <w:t xml:space="preserve"> patria medzi látky vzbudzujúce veľmi veľké obavy z dôvodu, že môžu mať vážne a nezvratné účinky na zdravie zamestnancov,</w:t>
            </w:r>
          </w:p>
          <w:p w:rsidR="006B23CC" w:rsidRPr="00347F35" w:rsidRDefault="005B7B23" w:rsidP="006B23CC">
            <w:pPr>
              <w:pStyle w:val="Odsekzoznamu"/>
              <w:numPr>
                <w:ilvl w:val="0"/>
                <w:numId w:val="3"/>
              </w:numPr>
              <w:ind w:left="357" w:hanging="357"/>
              <w:jc w:val="both"/>
              <w:rPr>
                <w:rFonts w:ascii="Times New Roman" w:eastAsia="Times New Roman" w:hAnsi="Times New Roman" w:cs="Times New Roman"/>
                <w:i/>
                <w:sz w:val="24"/>
                <w:szCs w:val="24"/>
                <w:lang w:eastAsia="sk-SK"/>
              </w:rPr>
            </w:pPr>
            <w:r w:rsidRPr="00347F35">
              <w:rPr>
                <w:rFonts w:ascii="Times New Roman" w:hAnsi="Times New Roman" w:cs="Times New Roman"/>
                <w:sz w:val="24"/>
                <w:szCs w:val="24"/>
              </w:rPr>
              <w:t xml:space="preserve">v súčasnosti je ochrana zdravia pri práci s expozíciou </w:t>
            </w:r>
            <w:r w:rsidR="00320891" w:rsidRPr="00347F35">
              <w:rPr>
                <w:rFonts w:ascii="Times New Roman" w:hAnsi="Times New Roman"/>
                <w:sz w:val="24"/>
                <w:szCs w:val="24"/>
              </w:rPr>
              <w:t xml:space="preserve">karcinogénnym faktorom a mutagénnym faktorom </w:t>
            </w:r>
            <w:r w:rsidRPr="00347F35">
              <w:rPr>
                <w:rFonts w:ascii="Times New Roman" w:hAnsi="Times New Roman" w:cs="Times New Roman"/>
                <w:sz w:val="24"/>
                <w:szCs w:val="24"/>
              </w:rPr>
              <w:t>upravená  nariadením vlády Slovenskej republiky č. 356/2006 Z. z. o ochrane zdravia zamestnancov pred rizikami súvisiacimi s expozíciou karcinogénnym a mutagénnym faktorom pri práci v znení neskorších predpisov (ďalej len „nariadenie vlády Slovenskej republiky č. 356/2006 Z. z.“), ktoré neobsahuje opatrenia na ochranu zdravia pri expozícii zamestnancov reprodukčne toxickým faktorom pri práci</w:t>
            </w:r>
            <w:r w:rsidR="006B23CC" w:rsidRPr="00347F35">
              <w:rPr>
                <w:rFonts w:ascii="Times New Roman" w:hAnsi="Times New Roman" w:cs="Times New Roman"/>
                <w:sz w:val="24"/>
                <w:szCs w:val="24"/>
              </w:rPr>
              <w:t>,</w:t>
            </w:r>
          </w:p>
          <w:p w:rsidR="006B23CC" w:rsidRPr="00347F35" w:rsidRDefault="006B23CC" w:rsidP="006B23CC">
            <w:pPr>
              <w:pStyle w:val="Odsekzoznamu"/>
              <w:numPr>
                <w:ilvl w:val="0"/>
                <w:numId w:val="3"/>
              </w:numPr>
              <w:ind w:left="357" w:hanging="357"/>
              <w:jc w:val="both"/>
              <w:rPr>
                <w:rFonts w:ascii="Times New Roman" w:eastAsia="Times New Roman" w:hAnsi="Times New Roman" w:cs="Times New Roman"/>
                <w:i/>
                <w:sz w:val="24"/>
                <w:szCs w:val="24"/>
                <w:lang w:eastAsia="sk-SK"/>
              </w:rPr>
            </w:pPr>
            <w:r w:rsidRPr="00347F35">
              <w:rPr>
                <w:rFonts w:ascii="Times New Roman" w:hAnsi="Times New Roman" w:cs="Times New Roman"/>
                <w:sz w:val="24"/>
                <w:szCs w:val="24"/>
              </w:rPr>
              <w:t>z toho dôvodu Ministerstvo zdravotníctva Slovenskej republiky pripravilo návrh nariadenia vlády, ktoré upraví problematiku expozície reprodukčne toxickým faktorom pri práci.</w:t>
            </w:r>
          </w:p>
          <w:p w:rsidR="001B23B7" w:rsidRPr="00347F35" w:rsidRDefault="001B23B7" w:rsidP="006E554D">
            <w:pPr>
              <w:rPr>
                <w:rFonts w:ascii="Times New Roman" w:eastAsia="Times New Roman" w:hAnsi="Times New Roman" w:cs="Times New Roman"/>
                <w:b/>
                <w:sz w:val="20"/>
                <w:szCs w:val="20"/>
                <w:lang w:eastAsia="sk-SK"/>
              </w:rPr>
            </w:pPr>
          </w:p>
        </w:tc>
      </w:tr>
      <w:tr w:rsidR="00347F35" w:rsidRPr="00347F35" w:rsidTr="006E554D">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Ciele a výsledný stav</w:t>
            </w:r>
          </w:p>
        </w:tc>
      </w:tr>
      <w:tr w:rsidR="00347F35" w:rsidRPr="00347F35" w:rsidTr="006E554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347F35" w:rsidRDefault="006B23CC" w:rsidP="006E554D">
            <w:pPr>
              <w:pStyle w:val="Odsekzoznamu"/>
              <w:numPr>
                <w:ilvl w:val="0"/>
                <w:numId w:val="4"/>
              </w:numPr>
              <w:ind w:left="448" w:hanging="448"/>
              <w:jc w:val="both"/>
              <w:rPr>
                <w:rFonts w:ascii="Times New Roman" w:eastAsia="Times New Roman" w:hAnsi="Times New Roman" w:cs="Times New Roman"/>
                <w:i/>
                <w:sz w:val="20"/>
                <w:szCs w:val="20"/>
                <w:lang w:eastAsia="sk-SK"/>
              </w:rPr>
            </w:pPr>
            <w:r w:rsidRPr="00347F35">
              <w:rPr>
                <w:rFonts w:ascii="Times New Roman" w:eastAsia="Times New Roman" w:hAnsi="Times New Roman"/>
                <w:sz w:val="24"/>
                <w:szCs w:val="24"/>
                <w:lang w:eastAsia="sk-SK"/>
              </w:rPr>
              <w:lastRenderedPageBreak/>
              <w:t xml:space="preserve">zlepšiť bezpečnosť a ochranu zdravia zamestnancov pri práci tým, že sa zavádzajú revidované najvyššie prípustné expozičné limity v pracovnom ovzduší (ďalej len „NPEL“) pre vybrané karcinogénne faktory pri práci a dopĺňa sa nový zoznam reprodukčne toxických </w:t>
            </w:r>
            <w:r w:rsidRPr="00347F35">
              <w:rPr>
                <w:rFonts w:ascii="Times New Roman" w:hAnsi="Times New Roman"/>
                <w:sz w:val="24"/>
                <w:szCs w:val="24"/>
              </w:rPr>
              <w:t>faktorov</w:t>
            </w:r>
            <w:r w:rsidRPr="00347F35">
              <w:rPr>
                <w:rFonts w:ascii="Times New Roman" w:eastAsia="Times New Roman" w:hAnsi="Times New Roman"/>
                <w:sz w:val="24"/>
                <w:szCs w:val="24"/>
                <w:lang w:eastAsia="sk-SK"/>
              </w:rPr>
              <w:t xml:space="preserve"> spolu s ich NPEL.</w:t>
            </w:r>
          </w:p>
        </w:tc>
      </w:tr>
      <w:tr w:rsidR="00347F35" w:rsidRPr="00347F35" w:rsidTr="006E554D">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Dotknuté subjekty</w:t>
            </w:r>
          </w:p>
        </w:tc>
      </w:tr>
      <w:tr w:rsidR="00347F35" w:rsidRPr="00347F35" w:rsidTr="006E554D">
        <w:tc>
          <w:tcPr>
            <w:tcW w:w="9180" w:type="dxa"/>
            <w:gridSpan w:val="11"/>
            <w:tcBorders>
              <w:top w:val="nil"/>
              <w:left w:val="single" w:sz="4" w:space="0" w:color="auto"/>
              <w:bottom w:val="single" w:sz="4" w:space="0" w:color="auto"/>
              <w:right w:val="single" w:sz="4" w:space="0" w:color="auto"/>
            </w:tcBorders>
            <w:shd w:val="clear" w:color="auto" w:fill="FFFFFF"/>
          </w:tcPr>
          <w:p w:rsidR="006B23CC" w:rsidRPr="00347F35" w:rsidRDefault="006B23CC" w:rsidP="006E554D">
            <w:pPr>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iCs/>
                <w:sz w:val="24"/>
                <w:szCs w:val="24"/>
                <w:lang w:eastAsia="sk-SK"/>
              </w:rPr>
              <w:t xml:space="preserve">Fyzické osoby – podnikatelia a právnické osoby </w:t>
            </w:r>
          </w:p>
          <w:p w:rsidR="006B23CC" w:rsidRPr="00347F35" w:rsidRDefault="006B23CC" w:rsidP="006E554D">
            <w:pPr>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iCs/>
                <w:sz w:val="24"/>
                <w:szCs w:val="24"/>
                <w:lang w:eastAsia="sk-SK"/>
              </w:rPr>
              <w:t xml:space="preserve">Subjekty, ktorých sa zmeny predkladaného materiálu dotknú priamo sú: </w:t>
            </w:r>
          </w:p>
          <w:p w:rsidR="006B23CC" w:rsidRPr="00347F35" w:rsidRDefault="006B23CC" w:rsidP="00D85D6F">
            <w:pPr>
              <w:pStyle w:val="Odsekzoznamu"/>
              <w:numPr>
                <w:ilvl w:val="0"/>
                <w:numId w:val="4"/>
              </w:numPr>
              <w:jc w:val="both"/>
              <w:rPr>
                <w:rFonts w:ascii="Times New Roman" w:eastAsia="Times New Roman" w:hAnsi="Times New Roman" w:cs="Times New Roman"/>
                <w:bCs/>
                <w:iCs/>
                <w:sz w:val="24"/>
                <w:szCs w:val="24"/>
                <w:lang w:eastAsia="sk-SK"/>
              </w:rPr>
            </w:pPr>
            <w:r w:rsidRPr="00347F35">
              <w:rPr>
                <w:rFonts w:ascii="Times New Roman" w:eastAsia="Times New Roman" w:hAnsi="Times New Roman" w:cs="Times New Roman"/>
                <w:bCs/>
                <w:iCs/>
                <w:sz w:val="24"/>
                <w:szCs w:val="24"/>
                <w:lang w:eastAsia="sk-SK"/>
              </w:rPr>
              <w:t>Zamestnávatelia, ktor</w:t>
            </w:r>
            <w:r w:rsidR="00D85D6F" w:rsidRPr="00347F35">
              <w:rPr>
                <w:rFonts w:ascii="Times New Roman" w:eastAsia="Times New Roman" w:hAnsi="Times New Roman" w:cs="Times New Roman"/>
                <w:bCs/>
                <w:iCs/>
                <w:sz w:val="24"/>
                <w:szCs w:val="24"/>
                <w:lang w:eastAsia="sk-SK"/>
              </w:rPr>
              <w:t>í zamestnávajú zamestnancov exponovaných</w:t>
            </w:r>
            <w:r w:rsidR="00537B65" w:rsidRPr="00347F35">
              <w:rPr>
                <w:rFonts w:ascii="Times New Roman" w:eastAsia="Times New Roman" w:hAnsi="Times New Roman" w:cs="Times New Roman"/>
                <w:bCs/>
                <w:iCs/>
                <w:sz w:val="24"/>
                <w:szCs w:val="24"/>
                <w:lang w:eastAsia="sk-SK"/>
              </w:rPr>
              <w:t xml:space="preserve"> karcinogénnym</w:t>
            </w:r>
            <w:r w:rsidR="00875781" w:rsidRPr="00347F35">
              <w:rPr>
                <w:rFonts w:ascii="Times New Roman" w:eastAsia="Times New Roman" w:hAnsi="Times New Roman" w:cs="Times New Roman"/>
                <w:bCs/>
                <w:iCs/>
                <w:sz w:val="24"/>
                <w:szCs w:val="24"/>
                <w:lang w:eastAsia="sk-SK"/>
              </w:rPr>
              <w:t xml:space="preserve"> faktorom</w:t>
            </w:r>
            <w:r w:rsidR="00537B65" w:rsidRPr="00347F35">
              <w:rPr>
                <w:rFonts w:ascii="Times New Roman" w:eastAsia="Times New Roman" w:hAnsi="Times New Roman" w:cs="Times New Roman"/>
                <w:bCs/>
                <w:iCs/>
                <w:sz w:val="24"/>
                <w:szCs w:val="24"/>
                <w:lang w:eastAsia="sk-SK"/>
              </w:rPr>
              <w:t xml:space="preserve">, mutagénnym </w:t>
            </w:r>
            <w:r w:rsidR="00875781" w:rsidRPr="00347F35">
              <w:rPr>
                <w:rFonts w:ascii="Times New Roman" w:eastAsia="Times New Roman" w:hAnsi="Times New Roman" w:cs="Times New Roman"/>
                <w:bCs/>
                <w:iCs/>
                <w:sz w:val="24"/>
                <w:szCs w:val="24"/>
                <w:lang w:eastAsia="sk-SK"/>
              </w:rPr>
              <w:t xml:space="preserve">faktorom </w:t>
            </w:r>
            <w:r w:rsidR="00537B65" w:rsidRPr="00347F35">
              <w:rPr>
                <w:rFonts w:ascii="Times New Roman" w:eastAsia="Times New Roman" w:hAnsi="Times New Roman" w:cs="Times New Roman"/>
                <w:bCs/>
                <w:iCs/>
                <w:sz w:val="24"/>
                <w:szCs w:val="24"/>
                <w:lang w:eastAsia="sk-SK"/>
              </w:rPr>
              <w:t>a</w:t>
            </w:r>
            <w:r w:rsidR="00320891" w:rsidRPr="00347F35">
              <w:rPr>
                <w:rFonts w:ascii="Times New Roman" w:eastAsia="Times New Roman" w:hAnsi="Times New Roman" w:cs="Times New Roman"/>
                <w:bCs/>
                <w:iCs/>
                <w:sz w:val="24"/>
                <w:szCs w:val="24"/>
                <w:lang w:eastAsia="sk-SK"/>
              </w:rPr>
              <w:t>lebo</w:t>
            </w:r>
            <w:r w:rsidR="00D85D6F" w:rsidRPr="00347F35">
              <w:rPr>
                <w:rFonts w:ascii="Times New Roman" w:eastAsia="Times New Roman" w:hAnsi="Times New Roman" w:cs="Times New Roman"/>
                <w:bCs/>
                <w:iCs/>
                <w:sz w:val="24"/>
                <w:szCs w:val="24"/>
                <w:lang w:eastAsia="sk-SK"/>
              </w:rPr>
              <w:t xml:space="preserve"> reprodukčne toxickým faktorom pri práci</w:t>
            </w:r>
          </w:p>
          <w:p w:rsidR="00D85D6F" w:rsidRPr="00347F35" w:rsidRDefault="00D85D6F" w:rsidP="00D85D6F">
            <w:pPr>
              <w:pStyle w:val="Odsekzoznamu"/>
              <w:numPr>
                <w:ilvl w:val="0"/>
                <w:numId w:val="4"/>
              </w:numPr>
              <w:jc w:val="both"/>
              <w:rPr>
                <w:rFonts w:ascii="Times New Roman" w:eastAsia="Times New Roman" w:hAnsi="Times New Roman" w:cs="Times New Roman"/>
                <w:bCs/>
                <w:iCs/>
                <w:sz w:val="24"/>
                <w:szCs w:val="24"/>
                <w:lang w:eastAsia="sk-SK"/>
              </w:rPr>
            </w:pPr>
            <w:r w:rsidRPr="00347F35">
              <w:rPr>
                <w:rFonts w:ascii="Times New Roman" w:eastAsia="Times New Roman" w:hAnsi="Times New Roman" w:cs="Times New Roman"/>
                <w:bCs/>
                <w:iCs/>
                <w:sz w:val="24"/>
                <w:szCs w:val="24"/>
                <w:lang w:eastAsia="sk-SK"/>
              </w:rPr>
              <w:t xml:space="preserve">Zamestnanci, ktorí sú exponovaní </w:t>
            </w:r>
            <w:r w:rsidR="00537B65" w:rsidRPr="00347F35">
              <w:rPr>
                <w:rFonts w:ascii="Times New Roman" w:eastAsia="Times New Roman" w:hAnsi="Times New Roman" w:cs="Times New Roman"/>
                <w:bCs/>
                <w:iCs/>
                <w:sz w:val="24"/>
                <w:szCs w:val="24"/>
                <w:lang w:eastAsia="sk-SK"/>
              </w:rPr>
              <w:t>karcinogénnym</w:t>
            </w:r>
            <w:r w:rsidR="00875781" w:rsidRPr="00347F35">
              <w:rPr>
                <w:rFonts w:ascii="Times New Roman" w:eastAsia="Times New Roman" w:hAnsi="Times New Roman" w:cs="Times New Roman"/>
                <w:bCs/>
                <w:iCs/>
                <w:sz w:val="24"/>
                <w:szCs w:val="24"/>
                <w:lang w:eastAsia="sk-SK"/>
              </w:rPr>
              <w:t xml:space="preserve"> faktorom</w:t>
            </w:r>
            <w:r w:rsidR="00537B65" w:rsidRPr="00347F35">
              <w:rPr>
                <w:rFonts w:ascii="Times New Roman" w:eastAsia="Times New Roman" w:hAnsi="Times New Roman" w:cs="Times New Roman"/>
                <w:bCs/>
                <w:iCs/>
                <w:sz w:val="24"/>
                <w:szCs w:val="24"/>
                <w:lang w:eastAsia="sk-SK"/>
              </w:rPr>
              <w:t>, mutagénnym</w:t>
            </w:r>
            <w:r w:rsidR="00875781" w:rsidRPr="00347F35">
              <w:rPr>
                <w:rFonts w:ascii="Times New Roman" w:eastAsia="Times New Roman" w:hAnsi="Times New Roman" w:cs="Times New Roman"/>
                <w:bCs/>
                <w:iCs/>
                <w:sz w:val="24"/>
                <w:szCs w:val="24"/>
                <w:lang w:eastAsia="sk-SK"/>
              </w:rPr>
              <w:t xml:space="preserve"> faktorom</w:t>
            </w:r>
            <w:r w:rsidR="00537B65" w:rsidRPr="00347F35">
              <w:rPr>
                <w:rFonts w:ascii="Times New Roman" w:eastAsia="Times New Roman" w:hAnsi="Times New Roman" w:cs="Times New Roman"/>
                <w:bCs/>
                <w:iCs/>
                <w:sz w:val="24"/>
                <w:szCs w:val="24"/>
                <w:lang w:eastAsia="sk-SK"/>
              </w:rPr>
              <w:t xml:space="preserve"> </w:t>
            </w:r>
            <w:r w:rsidR="00320891" w:rsidRPr="00347F35">
              <w:rPr>
                <w:rFonts w:ascii="Times New Roman" w:eastAsia="Times New Roman" w:hAnsi="Times New Roman" w:cs="Times New Roman"/>
                <w:bCs/>
                <w:iCs/>
                <w:sz w:val="24"/>
                <w:szCs w:val="24"/>
                <w:lang w:eastAsia="sk-SK"/>
              </w:rPr>
              <w:t>alebo</w:t>
            </w:r>
            <w:r w:rsidR="00537B65" w:rsidRPr="00347F35">
              <w:rPr>
                <w:rFonts w:ascii="Times New Roman" w:eastAsia="Times New Roman" w:hAnsi="Times New Roman" w:cs="Times New Roman"/>
                <w:bCs/>
                <w:iCs/>
                <w:sz w:val="24"/>
                <w:szCs w:val="24"/>
                <w:lang w:eastAsia="sk-SK"/>
              </w:rPr>
              <w:t xml:space="preserve"> </w:t>
            </w:r>
            <w:r w:rsidRPr="00347F35">
              <w:rPr>
                <w:rFonts w:ascii="Times New Roman" w:eastAsia="Times New Roman" w:hAnsi="Times New Roman" w:cs="Times New Roman"/>
                <w:bCs/>
                <w:iCs/>
                <w:sz w:val="24"/>
                <w:szCs w:val="24"/>
                <w:lang w:eastAsia="sk-SK"/>
              </w:rPr>
              <w:t>reprodukčne toxickým faktorom pri práci</w:t>
            </w:r>
          </w:p>
          <w:p w:rsidR="001B23B7" w:rsidRPr="00347F35" w:rsidRDefault="001B23B7" w:rsidP="00D85D6F">
            <w:pPr>
              <w:jc w:val="both"/>
              <w:rPr>
                <w:rFonts w:ascii="Times New Roman" w:eastAsia="Times New Roman" w:hAnsi="Times New Roman" w:cs="Times New Roman"/>
                <w:bCs/>
                <w:iCs/>
                <w:sz w:val="24"/>
                <w:szCs w:val="24"/>
                <w:lang w:eastAsia="sk-SK"/>
              </w:rPr>
            </w:pPr>
          </w:p>
          <w:p w:rsidR="00D85D6F" w:rsidRPr="00347F35" w:rsidRDefault="00D85D6F" w:rsidP="00D85D6F">
            <w:pPr>
              <w:jc w:val="both"/>
              <w:rPr>
                <w:rFonts w:ascii="Times New Roman" w:eastAsia="Times New Roman" w:hAnsi="Times New Roman" w:cs="Times New Roman"/>
                <w:bCs/>
                <w:iCs/>
                <w:sz w:val="24"/>
                <w:szCs w:val="24"/>
                <w:lang w:eastAsia="sk-SK"/>
              </w:rPr>
            </w:pPr>
            <w:r w:rsidRPr="00347F35">
              <w:rPr>
                <w:rFonts w:ascii="Times New Roman" w:eastAsia="Times New Roman" w:hAnsi="Times New Roman" w:cs="Times New Roman"/>
                <w:bCs/>
                <w:iCs/>
                <w:sz w:val="24"/>
                <w:szCs w:val="24"/>
                <w:lang w:eastAsia="sk-SK"/>
              </w:rPr>
              <w:t>Subjekty, ktorých sa zmeny predkladaného materiálu dotknú nepriamo sú:</w:t>
            </w:r>
          </w:p>
          <w:p w:rsidR="00D85D6F" w:rsidRPr="00347F35" w:rsidRDefault="00D85D6F" w:rsidP="00D85D6F">
            <w:pPr>
              <w:pStyle w:val="Odsekzoznamu"/>
              <w:numPr>
                <w:ilvl w:val="0"/>
                <w:numId w:val="5"/>
              </w:numPr>
              <w:jc w:val="both"/>
              <w:rPr>
                <w:rFonts w:ascii="Times New Roman" w:eastAsia="Times New Roman" w:hAnsi="Times New Roman" w:cs="Times New Roman"/>
                <w:bCs/>
                <w:iCs/>
                <w:sz w:val="24"/>
                <w:szCs w:val="24"/>
                <w:lang w:eastAsia="sk-SK"/>
              </w:rPr>
            </w:pPr>
            <w:r w:rsidRPr="00347F35">
              <w:rPr>
                <w:rFonts w:ascii="Times New Roman" w:eastAsia="Times New Roman" w:hAnsi="Times New Roman" w:cs="Times New Roman"/>
                <w:bCs/>
                <w:iCs/>
                <w:sz w:val="24"/>
                <w:szCs w:val="24"/>
                <w:lang w:eastAsia="sk-SK"/>
              </w:rPr>
              <w:t>Pracovné zdravotné služby</w:t>
            </w:r>
          </w:p>
          <w:p w:rsidR="00D85D6F" w:rsidRPr="00347F35" w:rsidRDefault="00D85D6F" w:rsidP="00D85D6F">
            <w:pPr>
              <w:pStyle w:val="Odsekzoznamu"/>
              <w:numPr>
                <w:ilvl w:val="0"/>
                <w:numId w:val="5"/>
              </w:numPr>
              <w:jc w:val="both"/>
              <w:rPr>
                <w:rFonts w:ascii="Times New Roman" w:eastAsia="Times New Roman" w:hAnsi="Times New Roman" w:cs="Times New Roman"/>
                <w:bCs/>
                <w:iCs/>
                <w:sz w:val="24"/>
                <w:szCs w:val="24"/>
                <w:lang w:eastAsia="sk-SK"/>
              </w:rPr>
            </w:pPr>
            <w:r w:rsidRPr="00347F35">
              <w:rPr>
                <w:rFonts w:ascii="Times New Roman" w:eastAsia="Times New Roman" w:hAnsi="Times New Roman" w:cs="Times New Roman"/>
                <w:bCs/>
                <w:iCs/>
                <w:sz w:val="24"/>
                <w:szCs w:val="24"/>
                <w:lang w:eastAsia="sk-SK"/>
              </w:rPr>
              <w:t>Orgány štátnej správy na úseku verejného zdravotníctva</w:t>
            </w:r>
          </w:p>
          <w:p w:rsidR="00D85D6F" w:rsidRPr="00347F35" w:rsidRDefault="00D85D6F" w:rsidP="00D85D6F">
            <w:pPr>
              <w:pStyle w:val="Odsekzoznamu"/>
              <w:jc w:val="both"/>
              <w:rPr>
                <w:rFonts w:ascii="Times New Roman" w:eastAsia="Times New Roman" w:hAnsi="Times New Roman" w:cs="Times New Roman"/>
                <w:bCs/>
                <w:iCs/>
                <w:sz w:val="24"/>
                <w:szCs w:val="24"/>
                <w:lang w:eastAsia="sk-SK"/>
              </w:rPr>
            </w:pPr>
          </w:p>
        </w:tc>
      </w:tr>
      <w:tr w:rsidR="00347F35" w:rsidRPr="00347F35" w:rsidTr="006E554D">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Alternatívne riešenia</w:t>
            </w:r>
          </w:p>
        </w:tc>
      </w:tr>
      <w:tr w:rsidR="00347F35" w:rsidRPr="00347F35" w:rsidTr="006E554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D85D6F" w:rsidRPr="00347F35" w:rsidRDefault="00D85D6F" w:rsidP="006E554D">
            <w:pPr>
              <w:jc w:val="both"/>
              <w:rPr>
                <w:rFonts w:ascii="Times New Roman" w:eastAsia="Times New Roman" w:hAnsi="Times New Roman" w:cs="Times New Roman"/>
                <w:b/>
                <w:bCs/>
                <w:iCs/>
                <w:sz w:val="24"/>
                <w:szCs w:val="24"/>
                <w:lang w:eastAsia="sk-SK"/>
              </w:rPr>
            </w:pPr>
            <w:r w:rsidRPr="00347F35">
              <w:rPr>
                <w:rFonts w:ascii="Times New Roman" w:eastAsia="Times New Roman" w:hAnsi="Times New Roman" w:cs="Times New Roman"/>
                <w:b/>
                <w:bCs/>
                <w:iCs/>
                <w:sz w:val="24"/>
                <w:szCs w:val="24"/>
                <w:lang w:eastAsia="sk-SK"/>
              </w:rPr>
              <w:t>Alternatíva 0</w:t>
            </w:r>
          </w:p>
          <w:p w:rsidR="00D85D6F" w:rsidRPr="00347F35" w:rsidRDefault="00D85D6F" w:rsidP="006E554D">
            <w:pPr>
              <w:jc w:val="both"/>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b/>
                <w:bCs/>
                <w:iCs/>
                <w:sz w:val="24"/>
                <w:szCs w:val="24"/>
                <w:lang w:eastAsia="sk-SK"/>
              </w:rPr>
              <w:t>Zachovanie doterajšej právnej úpravy:</w:t>
            </w:r>
            <w:r w:rsidRPr="00347F35">
              <w:rPr>
                <w:rFonts w:ascii="Times New Roman" w:eastAsia="Times New Roman" w:hAnsi="Times New Roman" w:cs="Times New Roman"/>
                <w:iCs/>
                <w:sz w:val="24"/>
                <w:szCs w:val="24"/>
                <w:lang w:eastAsia="sk-SK"/>
              </w:rPr>
              <w:t xml:space="preserve"> </w:t>
            </w:r>
          </w:p>
          <w:p w:rsidR="00D85D6F" w:rsidRPr="00347F35" w:rsidRDefault="00D85D6F" w:rsidP="006E554D">
            <w:pPr>
              <w:jc w:val="both"/>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iCs/>
                <w:sz w:val="24"/>
                <w:szCs w:val="24"/>
                <w:lang w:eastAsia="sk-SK"/>
              </w:rPr>
              <w:t xml:space="preserve">Nezosúladenie vnútroštátneho právneho poriadku a netransponovanie smernice do právneho poriadku Slovenskej republiky by mohlo byť Európskou komisiou považované za nesplnenie povinností vyplývajúcich Slovenskej republike z primárneho práva </w:t>
            </w:r>
            <w:r w:rsidR="00FA4802" w:rsidRPr="00347F35">
              <w:rPr>
                <w:rFonts w:ascii="Times New Roman" w:eastAsia="Times New Roman" w:hAnsi="Times New Roman" w:cs="Times New Roman"/>
                <w:iCs/>
                <w:sz w:val="24"/>
                <w:szCs w:val="24"/>
                <w:lang w:eastAsia="sk-SK"/>
              </w:rPr>
              <w:t xml:space="preserve">Európskej únie (Zmluva o Európskej únii a Zmluva o fungovaní Európskej únie) a následne by Európska únia na základe článku 258 Zmluvy o fungovaní Európskej únie mohla predložiť toto svoje zistenie Súdnemu dvoru Európskej únie v rámci </w:t>
            </w:r>
            <w:r w:rsidR="005C3C89" w:rsidRPr="00347F35">
              <w:rPr>
                <w:rFonts w:ascii="Times New Roman" w:eastAsia="Times New Roman" w:hAnsi="Times New Roman" w:cs="Times New Roman"/>
                <w:iCs/>
                <w:sz w:val="24"/>
                <w:szCs w:val="24"/>
                <w:lang w:eastAsia="sk-SK"/>
              </w:rPr>
              <w:t>tzv. infringement proceedings.</w:t>
            </w:r>
          </w:p>
          <w:p w:rsidR="005C3C89" w:rsidRPr="00347F35" w:rsidRDefault="005C3C89" w:rsidP="006E554D">
            <w:pPr>
              <w:jc w:val="both"/>
              <w:rPr>
                <w:rFonts w:ascii="Times New Roman" w:eastAsia="Times New Roman" w:hAnsi="Times New Roman" w:cs="Times New Roman"/>
                <w:iCs/>
                <w:sz w:val="24"/>
                <w:szCs w:val="24"/>
                <w:lang w:eastAsia="sk-SK"/>
              </w:rPr>
            </w:pPr>
          </w:p>
          <w:p w:rsidR="005C3C89" w:rsidRPr="00347F35" w:rsidRDefault="005C3C89" w:rsidP="006E554D">
            <w:pPr>
              <w:jc w:val="both"/>
              <w:rPr>
                <w:rFonts w:ascii="Times New Roman" w:eastAsia="Times New Roman" w:hAnsi="Times New Roman" w:cs="Times New Roman"/>
                <w:b/>
                <w:bCs/>
                <w:iCs/>
                <w:sz w:val="24"/>
                <w:szCs w:val="24"/>
                <w:lang w:eastAsia="sk-SK"/>
              </w:rPr>
            </w:pPr>
            <w:r w:rsidRPr="00347F35">
              <w:rPr>
                <w:rFonts w:ascii="Times New Roman" w:eastAsia="Times New Roman" w:hAnsi="Times New Roman" w:cs="Times New Roman"/>
                <w:b/>
                <w:bCs/>
                <w:iCs/>
                <w:sz w:val="24"/>
                <w:szCs w:val="24"/>
                <w:lang w:eastAsia="sk-SK"/>
              </w:rPr>
              <w:t>Alternatíva 1</w:t>
            </w:r>
          </w:p>
          <w:p w:rsidR="005C3C89" w:rsidRPr="00347F35" w:rsidRDefault="005C3C89" w:rsidP="006E554D">
            <w:pPr>
              <w:jc w:val="both"/>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iCs/>
                <w:sz w:val="24"/>
                <w:szCs w:val="24"/>
                <w:lang w:eastAsia="sk-SK"/>
              </w:rPr>
              <w:t>Znamená prebratie smernice (EÚ) 2022/431 do právneho poriadku Slovenskej republiky a splnenie medzinárodných záväzkov.</w:t>
            </w:r>
          </w:p>
          <w:p w:rsidR="00D85D6F" w:rsidRPr="00347F35" w:rsidRDefault="00D85D6F" w:rsidP="00537B65">
            <w:pPr>
              <w:jc w:val="both"/>
              <w:rPr>
                <w:rFonts w:ascii="Times New Roman" w:eastAsia="Times New Roman" w:hAnsi="Times New Roman" w:cs="Times New Roman"/>
                <w:i/>
                <w:sz w:val="20"/>
                <w:szCs w:val="20"/>
                <w:lang w:eastAsia="sk-SK"/>
              </w:rPr>
            </w:pPr>
          </w:p>
        </w:tc>
      </w:tr>
      <w:tr w:rsidR="00347F35" w:rsidRPr="00347F35" w:rsidTr="006E554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Vykonávacie predpisy</w:t>
            </w:r>
          </w:p>
        </w:tc>
      </w:tr>
      <w:tr w:rsidR="00347F35" w:rsidRPr="00347F35" w:rsidTr="006E554D">
        <w:tc>
          <w:tcPr>
            <w:tcW w:w="6203" w:type="dxa"/>
            <w:gridSpan w:val="7"/>
            <w:tcBorders>
              <w:top w:val="single" w:sz="4" w:space="0" w:color="FFFFFF"/>
              <w:left w:val="single" w:sz="4" w:space="0" w:color="auto"/>
              <w:bottom w:val="nil"/>
              <w:right w:val="nil"/>
            </w:tcBorders>
            <w:shd w:val="clear" w:color="auto" w:fill="FFFFFF"/>
          </w:tcPr>
          <w:p w:rsidR="001B23B7" w:rsidRPr="00347F35" w:rsidRDefault="001B23B7" w:rsidP="006E554D">
            <w:pPr>
              <w:rPr>
                <w:rFonts w:ascii="Times New Roman" w:eastAsia="Times New Roman" w:hAnsi="Times New Roman" w:cs="Times New Roman"/>
                <w:i/>
                <w:sz w:val="20"/>
                <w:szCs w:val="20"/>
                <w:lang w:eastAsia="sk-SK"/>
              </w:rPr>
            </w:pPr>
            <w:r w:rsidRPr="00347F35">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347F35" w:rsidRDefault="00F45543" w:rsidP="006E554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A7788F" w:rsidRPr="00347F35">
                  <w:rPr>
                    <w:rFonts w:ascii="MS Gothic" w:eastAsia="MS Gothic" w:hAnsi="MS Gothic" w:cs="Times New Roman" w:hint="eastAsia"/>
                    <w:b/>
                    <w:sz w:val="20"/>
                    <w:szCs w:val="20"/>
                    <w:lang w:eastAsia="sk-SK"/>
                  </w:rPr>
                  <w:t>☐</w:t>
                </w:r>
              </w:sdtContent>
            </w:sdt>
            <w:r w:rsidR="001B23B7" w:rsidRPr="00347F35">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347F35" w:rsidRDefault="00F45543"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073CBB" w:rsidRPr="00347F35">
                  <w:rPr>
                    <w:rFonts w:ascii="MS Gothic" w:eastAsia="MS Gothic" w:hAnsi="MS Gothic" w:cs="Times New Roman" w:hint="eastAsia"/>
                    <w:b/>
                    <w:sz w:val="20"/>
                    <w:szCs w:val="20"/>
                    <w:lang w:eastAsia="sk-SK"/>
                  </w:rPr>
                  <w:t>☒</w:t>
                </w:r>
              </w:sdtContent>
            </w:sdt>
            <w:r w:rsidR="001B23B7" w:rsidRPr="00347F35">
              <w:rPr>
                <w:rFonts w:ascii="Times New Roman" w:eastAsia="Times New Roman" w:hAnsi="Times New Roman" w:cs="Times New Roman"/>
                <w:b/>
                <w:sz w:val="20"/>
                <w:szCs w:val="20"/>
                <w:lang w:eastAsia="sk-SK"/>
              </w:rPr>
              <w:t xml:space="preserve">  Nie</w:t>
            </w:r>
          </w:p>
        </w:tc>
      </w:tr>
      <w:tr w:rsidR="00347F35" w:rsidRPr="00347F35" w:rsidTr="006E554D">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347F35" w:rsidRDefault="001B23B7" w:rsidP="00073CBB">
            <w:pPr>
              <w:rPr>
                <w:rFonts w:ascii="Times New Roman" w:eastAsia="Times New Roman" w:hAnsi="Times New Roman" w:cs="Times New Roman"/>
                <w:sz w:val="20"/>
                <w:szCs w:val="20"/>
                <w:lang w:eastAsia="sk-SK"/>
              </w:rPr>
            </w:pPr>
          </w:p>
        </w:tc>
      </w:tr>
      <w:tr w:rsidR="00347F35" w:rsidRPr="00347F35" w:rsidTr="006E554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 xml:space="preserve">Transpozícia práva EÚ </w:t>
            </w:r>
          </w:p>
        </w:tc>
      </w:tr>
      <w:tr w:rsidR="00347F35" w:rsidRPr="00347F35" w:rsidTr="006E554D">
        <w:trPr>
          <w:trHeight w:val="157"/>
        </w:trPr>
        <w:tc>
          <w:tcPr>
            <w:tcW w:w="9180" w:type="dxa"/>
            <w:gridSpan w:val="11"/>
            <w:tcBorders>
              <w:top w:val="nil"/>
              <w:left w:val="single" w:sz="4" w:space="0" w:color="000000"/>
              <w:bottom w:val="nil"/>
              <w:right w:val="single" w:sz="4" w:space="0" w:color="auto"/>
            </w:tcBorders>
            <w:shd w:val="clear" w:color="auto" w:fill="FFFFFF"/>
          </w:tcPr>
          <w:tbl>
            <w:tblPr>
              <w:tblW w:w="8987" w:type="dxa"/>
              <w:tblBorders>
                <w:top w:val="nil"/>
                <w:left w:val="nil"/>
                <w:bottom w:val="nil"/>
                <w:right w:val="nil"/>
              </w:tblBorders>
              <w:tblLayout w:type="fixed"/>
              <w:tblLook w:val="0000" w:firstRow="0" w:lastRow="0" w:firstColumn="0" w:lastColumn="0" w:noHBand="0" w:noVBand="0"/>
            </w:tblPr>
            <w:tblGrid>
              <w:gridCol w:w="8987"/>
            </w:tblGrid>
            <w:tr w:rsidR="00347F35" w:rsidRPr="00347F35" w:rsidTr="009B2AD3">
              <w:trPr>
                <w:trHeight w:val="90"/>
              </w:trPr>
              <w:tc>
                <w:tcPr>
                  <w:tcW w:w="8987" w:type="dxa"/>
                </w:tcPr>
                <w:p w:rsidR="00A7788F" w:rsidRPr="00347F35" w:rsidRDefault="00A7788F" w:rsidP="00A7788F">
                  <w:pPr>
                    <w:pStyle w:val="Default"/>
                    <w:rPr>
                      <w:color w:val="auto"/>
                      <w:sz w:val="20"/>
                      <w:szCs w:val="20"/>
                    </w:rPr>
                  </w:pPr>
                  <w:r w:rsidRPr="00347F35">
                    <w:rPr>
                      <w:i/>
                      <w:iCs/>
                      <w:color w:val="auto"/>
                      <w:sz w:val="20"/>
                      <w:szCs w:val="20"/>
                    </w:rPr>
                    <w:t xml:space="preserve">Uveďte, či v predkladanom návrhu právneho predpisu dochádza ku goldplatingu podľa tabuľky zhody. </w:t>
                  </w:r>
                </w:p>
              </w:tc>
            </w:tr>
            <w:tr w:rsidR="00347F35" w:rsidRPr="00347F35" w:rsidTr="009B2AD3">
              <w:trPr>
                <w:trHeight w:val="296"/>
              </w:trPr>
              <w:tc>
                <w:tcPr>
                  <w:tcW w:w="8987" w:type="dxa"/>
                </w:tcPr>
                <w:p w:rsidR="00A7788F" w:rsidRPr="00347F35" w:rsidRDefault="00A7788F" w:rsidP="00A7788F">
                  <w:pPr>
                    <w:pStyle w:val="Default"/>
                    <w:rPr>
                      <w:b/>
                      <w:iCs/>
                      <w:color w:val="auto"/>
                      <w:sz w:val="20"/>
                      <w:szCs w:val="20"/>
                    </w:rPr>
                  </w:pPr>
                  <w:r w:rsidRPr="00347F35">
                    <w:rPr>
                      <w:b/>
                      <w:iCs/>
                      <w:color w:val="auto"/>
                      <w:sz w:val="20"/>
                      <w:szCs w:val="20"/>
                    </w:rPr>
                    <w:t xml:space="preserve">                                                                                                                               </w:t>
                  </w:r>
                  <w:sdt>
                    <w:sdtPr>
                      <w:rPr>
                        <w:b/>
                        <w:iCs/>
                        <w:color w:val="auto"/>
                        <w:sz w:val="20"/>
                        <w:szCs w:val="20"/>
                      </w:rPr>
                      <w:id w:val="1614706761"/>
                    </w:sdtPr>
                    <w:sdtEndPr/>
                    <w:sdtContent>
                      <w:r w:rsidR="00936BE1" w:rsidRPr="00347F35">
                        <w:rPr>
                          <w:rFonts w:ascii="MS Gothic" w:eastAsia="MS Gothic" w:hAnsi="MS Gothic" w:hint="eastAsia"/>
                          <w:b/>
                          <w:iCs/>
                          <w:color w:val="auto"/>
                          <w:sz w:val="20"/>
                          <w:szCs w:val="20"/>
                        </w:rPr>
                        <w:t>☒</w:t>
                      </w:r>
                    </w:sdtContent>
                  </w:sdt>
                  <w:r w:rsidRPr="00347F35">
                    <w:rPr>
                      <w:b/>
                      <w:iCs/>
                      <w:color w:val="auto"/>
                      <w:sz w:val="20"/>
                      <w:szCs w:val="20"/>
                    </w:rPr>
                    <w:t xml:space="preserve"> Áno                  </w:t>
                  </w:r>
                  <w:sdt>
                    <w:sdtPr>
                      <w:rPr>
                        <w:b/>
                        <w:iCs/>
                        <w:color w:val="auto"/>
                        <w:sz w:val="20"/>
                        <w:szCs w:val="20"/>
                      </w:rPr>
                      <w:id w:val="-155225922"/>
                    </w:sdtPr>
                    <w:sdtEndPr/>
                    <w:sdtContent>
                      <w:r w:rsidR="00936BE1" w:rsidRPr="00347F35">
                        <w:rPr>
                          <w:rFonts w:ascii="MS Gothic" w:eastAsia="MS Gothic" w:hAnsi="MS Gothic" w:hint="eastAsia"/>
                          <w:b/>
                          <w:iCs/>
                          <w:color w:val="auto"/>
                          <w:sz w:val="20"/>
                          <w:szCs w:val="20"/>
                        </w:rPr>
                        <w:t>☐</w:t>
                      </w:r>
                    </w:sdtContent>
                  </w:sdt>
                  <w:r w:rsidRPr="00347F35">
                    <w:rPr>
                      <w:b/>
                      <w:iCs/>
                      <w:color w:val="auto"/>
                      <w:sz w:val="20"/>
                      <w:szCs w:val="20"/>
                    </w:rPr>
                    <w:t xml:space="preserve"> Nie</w:t>
                  </w:r>
                </w:p>
              </w:tc>
            </w:tr>
            <w:tr w:rsidR="00347F35" w:rsidRPr="00347F35" w:rsidTr="009B2AD3">
              <w:trPr>
                <w:trHeight w:val="296"/>
              </w:trPr>
              <w:tc>
                <w:tcPr>
                  <w:tcW w:w="8987" w:type="dxa"/>
                </w:tcPr>
                <w:p w:rsidR="001462F6" w:rsidRPr="00347F35" w:rsidRDefault="001462F6" w:rsidP="00A7788F">
                  <w:pPr>
                    <w:pStyle w:val="Default"/>
                    <w:rPr>
                      <w:b/>
                      <w:iCs/>
                      <w:color w:val="auto"/>
                      <w:sz w:val="20"/>
                      <w:szCs w:val="20"/>
                    </w:rPr>
                  </w:pPr>
                </w:p>
                <w:p w:rsidR="001462F6" w:rsidRPr="00347F35" w:rsidRDefault="001462F6" w:rsidP="00A7788F">
                  <w:pPr>
                    <w:pStyle w:val="Default"/>
                    <w:rPr>
                      <w:b/>
                      <w:iCs/>
                      <w:color w:val="auto"/>
                      <w:sz w:val="20"/>
                      <w:szCs w:val="20"/>
                    </w:rPr>
                  </w:pPr>
                </w:p>
                <w:p w:rsidR="001462F6" w:rsidRPr="00347F35" w:rsidRDefault="001462F6" w:rsidP="00A7788F">
                  <w:pPr>
                    <w:pStyle w:val="Default"/>
                    <w:rPr>
                      <w:b/>
                      <w:iCs/>
                      <w:color w:val="auto"/>
                    </w:rPr>
                  </w:pPr>
                  <w:r w:rsidRPr="00347F35">
                    <w:rPr>
                      <w:b/>
                      <w:iCs/>
                      <w:color w:val="auto"/>
                    </w:rPr>
                    <w:t>Vyjadrenie k opodstatnenosti goldplatingu a jeho odôvodnenie:</w:t>
                  </w:r>
                </w:p>
                <w:p w:rsidR="00FE2759" w:rsidRPr="00347F35" w:rsidRDefault="00FE2759" w:rsidP="00A7788F">
                  <w:pPr>
                    <w:pStyle w:val="Default"/>
                    <w:rPr>
                      <w:b/>
                      <w:iCs/>
                      <w:color w:val="auto"/>
                    </w:rPr>
                  </w:pPr>
                </w:p>
                <w:p w:rsidR="001462F6" w:rsidRPr="00347F35" w:rsidRDefault="001462F6" w:rsidP="00FE2759">
                  <w:pPr>
                    <w:pStyle w:val="Default"/>
                    <w:rPr>
                      <w:b/>
                      <w:iCs/>
                      <w:color w:val="auto"/>
                      <w:sz w:val="20"/>
                      <w:szCs w:val="20"/>
                    </w:rPr>
                  </w:pPr>
                </w:p>
              </w:tc>
            </w:tr>
            <w:tr w:rsidR="00347F35" w:rsidRPr="00347F35" w:rsidTr="009B2AD3">
              <w:trPr>
                <w:trHeight w:val="296"/>
              </w:trPr>
              <w:tc>
                <w:tcPr>
                  <w:tcW w:w="8987" w:type="dxa"/>
                </w:tcPr>
                <w:p w:rsidR="009B2AD3" w:rsidRPr="00347F35" w:rsidRDefault="009B2AD3" w:rsidP="009B2AD3">
                  <w:pPr>
                    <w:spacing w:line="240" w:lineRule="auto"/>
                    <w:ind w:left="-108" w:right="-108"/>
                    <w:jc w:val="both"/>
                    <w:rPr>
                      <w:rFonts w:ascii="Times New Roman" w:hAnsi="Times New Roman" w:cs="Times New Roman"/>
                      <w:b/>
                      <w:sz w:val="24"/>
                      <w:szCs w:val="24"/>
                    </w:rPr>
                  </w:pPr>
                  <w:r w:rsidRPr="00347F35">
                    <w:rPr>
                      <w:rFonts w:ascii="Times New Roman" w:hAnsi="Times New Roman" w:cs="Times New Roman"/>
                      <w:b/>
                      <w:sz w:val="24"/>
                      <w:szCs w:val="24"/>
                    </w:rPr>
                    <w:t xml:space="preserve">Príloha č. 1: Zoznam látok zmesí a pracovných procesov s rizikami chemickej karcinogenity. </w:t>
                  </w:r>
                </w:p>
                <w:p w:rsidR="009B2AD3" w:rsidRPr="00347F35" w:rsidRDefault="009B2AD3" w:rsidP="007F2E38">
                  <w:pPr>
                    <w:spacing w:line="240" w:lineRule="auto"/>
                    <w:ind w:left="-108" w:right="-108"/>
                    <w:jc w:val="both"/>
                    <w:rPr>
                      <w:rFonts w:ascii="Times New Roman" w:hAnsi="Times New Roman" w:cs="Times New Roman"/>
                      <w:sz w:val="24"/>
                      <w:szCs w:val="24"/>
                    </w:rPr>
                  </w:pPr>
                  <w:r w:rsidRPr="00347F35">
                    <w:rPr>
                      <w:rFonts w:ascii="Times New Roman" w:hAnsi="Times New Roman" w:cs="Times New Roman"/>
                      <w:sz w:val="24"/>
                      <w:szCs w:val="24"/>
                    </w:rPr>
                    <w:t>Nad rámec smernice</w:t>
                  </w:r>
                  <w:r w:rsidR="007F2E38" w:rsidRPr="00347F35">
                    <w:rPr>
                      <w:rFonts w:ascii="Times New Roman" w:hAnsi="Times New Roman" w:cs="Times New Roman"/>
                      <w:sz w:val="24"/>
                      <w:szCs w:val="24"/>
                    </w:rPr>
                    <w:t xml:space="preserve"> </w:t>
                  </w:r>
                  <w:r w:rsidR="007F2E38" w:rsidRPr="00347F35">
                    <w:rPr>
                      <w:rFonts w:ascii="Times New Roman" w:hAnsi="Times New Roman" w:cs="Times New Roman"/>
                      <w:iCs/>
                      <w:sz w:val="24"/>
                      <w:szCs w:val="24"/>
                    </w:rPr>
                    <w:t xml:space="preserve">2004/37/ES Európskeho parlamentu a Rady z 29. apríla 2004 o ochrane pracovníkov pred rizikami z vystavenia účinkom </w:t>
                  </w:r>
                  <w:r w:rsidR="00AC73B2" w:rsidRPr="00347F35">
                    <w:rPr>
                      <w:rFonts w:ascii="Times New Roman" w:hAnsi="Times New Roman" w:cs="Times New Roman"/>
                      <w:iCs/>
                      <w:sz w:val="24"/>
                      <w:szCs w:val="24"/>
                    </w:rPr>
                    <w:t xml:space="preserve">karcinogénom, mutagénom alebo reprodukčne toxickým látkam </w:t>
                  </w:r>
                  <w:r w:rsidR="007F2E38" w:rsidRPr="00347F35">
                    <w:rPr>
                      <w:rFonts w:ascii="Times New Roman" w:hAnsi="Times New Roman" w:cs="Times New Roman"/>
                      <w:iCs/>
                      <w:sz w:val="24"/>
                      <w:szCs w:val="24"/>
                    </w:rPr>
                    <w:t xml:space="preserve">pri práci (šiesta samostatná smernica v zmysle článku 16 ods. 1 smernice Rady 89/391/EHS) (kodifikované znenie) </w:t>
                  </w:r>
                  <w:r w:rsidR="007F2E38" w:rsidRPr="00347F35">
                    <w:rPr>
                      <w:rFonts w:ascii="Times" w:hAnsi="Times" w:cs="Times"/>
                      <w:sz w:val="24"/>
                      <w:szCs w:val="24"/>
                    </w:rPr>
                    <w:t>(Ú. v. EÚ L 158, 30.4.2004) v platnom znení (ďalej len „</w:t>
                  </w:r>
                  <w:r w:rsidR="007F2E38" w:rsidRPr="00347F35">
                    <w:rPr>
                      <w:rFonts w:ascii="Times New Roman" w:hAnsi="Times New Roman" w:cs="Times New Roman"/>
                      <w:sz w:val="24"/>
                      <w:szCs w:val="24"/>
                    </w:rPr>
                    <w:t xml:space="preserve">smernica </w:t>
                  </w:r>
                  <w:r w:rsidR="007F2E38" w:rsidRPr="00347F35">
                    <w:rPr>
                      <w:rFonts w:ascii="Times New Roman" w:hAnsi="Times New Roman" w:cs="Times New Roman"/>
                      <w:iCs/>
                      <w:sz w:val="24"/>
                      <w:szCs w:val="24"/>
                    </w:rPr>
                    <w:t xml:space="preserve">2004/37/ES </w:t>
                  </w:r>
                  <w:r w:rsidR="007F2E38" w:rsidRPr="00347F35">
                    <w:rPr>
                      <w:rFonts w:ascii="Times" w:hAnsi="Times" w:cs="Times"/>
                      <w:sz w:val="24"/>
                      <w:szCs w:val="24"/>
                    </w:rPr>
                    <w:t xml:space="preserve">v platnom znení“) </w:t>
                  </w:r>
                  <w:r w:rsidRPr="00347F35">
                    <w:rPr>
                      <w:rFonts w:ascii="Times New Roman" w:hAnsi="Times New Roman" w:cs="Times New Roman"/>
                      <w:sz w:val="24"/>
                      <w:szCs w:val="24"/>
                    </w:rPr>
                    <w:t xml:space="preserve">bola medzi pracovné procesy s rizikom chemickej karcinogenity zaradená </w:t>
                  </w:r>
                  <w:r w:rsidRPr="00347F35">
                    <w:rPr>
                      <w:rFonts w:ascii="Times New Roman" w:hAnsi="Times New Roman" w:cs="Times New Roman"/>
                      <w:b/>
                      <w:sz w:val="24"/>
                      <w:szCs w:val="24"/>
                    </w:rPr>
                    <w:t>práca s cytostatikami</w:t>
                  </w:r>
                  <w:r w:rsidRPr="00347F35">
                    <w:rPr>
                      <w:rFonts w:ascii="Times New Roman" w:hAnsi="Times New Roman" w:cs="Times New Roman"/>
                      <w:sz w:val="24"/>
                      <w:szCs w:val="24"/>
                    </w:rPr>
                    <w:t>, ktorých obsahom sú karcinogén</w:t>
                  </w:r>
                  <w:r w:rsidR="00320891" w:rsidRPr="00347F35">
                    <w:rPr>
                      <w:rFonts w:ascii="Times New Roman" w:hAnsi="Times New Roman" w:cs="Times New Roman"/>
                      <w:sz w:val="24"/>
                      <w:szCs w:val="24"/>
                    </w:rPr>
                    <w:t>ne faktory</w:t>
                  </w:r>
                  <w:r w:rsidRPr="00347F35">
                    <w:rPr>
                      <w:rFonts w:ascii="Times New Roman" w:hAnsi="Times New Roman" w:cs="Times New Roman"/>
                      <w:sz w:val="24"/>
                      <w:szCs w:val="24"/>
                    </w:rPr>
                    <w:t>, mutagén</w:t>
                  </w:r>
                  <w:r w:rsidR="00320891" w:rsidRPr="00347F35">
                    <w:rPr>
                      <w:rFonts w:ascii="Times New Roman" w:hAnsi="Times New Roman" w:cs="Times New Roman"/>
                      <w:sz w:val="24"/>
                      <w:szCs w:val="24"/>
                    </w:rPr>
                    <w:t>ne</w:t>
                  </w:r>
                  <w:r w:rsidRPr="00347F35">
                    <w:rPr>
                      <w:rFonts w:ascii="Times New Roman" w:hAnsi="Times New Roman" w:cs="Times New Roman"/>
                      <w:sz w:val="24"/>
                      <w:szCs w:val="24"/>
                    </w:rPr>
                    <w:t xml:space="preserve"> </w:t>
                  </w:r>
                  <w:r w:rsidR="00320891" w:rsidRPr="00347F35">
                    <w:rPr>
                      <w:rFonts w:ascii="Times New Roman" w:hAnsi="Times New Roman" w:cs="Times New Roman"/>
                      <w:sz w:val="24"/>
                      <w:szCs w:val="24"/>
                    </w:rPr>
                    <w:t xml:space="preserve">faktory </w:t>
                  </w:r>
                  <w:r w:rsidRPr="00347F35">
                    <w:rPr>
                      <w:rFonts w:ascii="Times New Roman" w:hAnsi="Times New Roman" w:cs="Times New Roman"/>
                      <w:sz w:val="24"/>
                      <w:szCs w:val="24"/>
                    </w:rPr>
                    <w:t xml:space="preserve">alebo reprodukčne toxické </w:t>
                  </w:r>
                  <w:r w:rsidR="00320891" w:rsidRPr="00347F35">
                    <w:rPr>
                      <w:rFonts w:ascii="Times New Roman" w:hAnsi="Times New Roman" w:cs="Times New Roman"/>
                      <w:sz w:val="24"/>
                      <w:szCs w:val="24"/>
                    </w:rPr>
                    <w:t>faktory</w:t>
                  </w:r>
                  <w:r w:rsidRPr="00347F35">
                    <w:rPr>
                      <w:rFonts w:ascii="Times New Roman" w:hAnsi="Times New Roman" w:cs="Times New Roman"/>
                      <w:sz w:val="24"/>
                      <w:szCs w:val="24"/>
                    </w:rPr>
                    <w:t xml:space="preserve"> už v súčasne platnej legislatívnej úprave, ktorou je nariadenie vlády SR č. 356/2006 Z. z.  o ochrane </w:t>
                  </w:r>
                  <w:r w:rsidRPr="00347F35">
                    <w:rPr>
                      <w:rFonts w:ascii="Times New Roman" w:hAnsi="Times New Roman" w:cs="Times New Roman"/>
                      <w:sz w:val="24"/>
                      <w:szCs w:val="24"/>
                    </w:rPr>
                    <w:lastRenderedPageBreak/>
                    <w:t>zdravia zamestnancov pred rizikami súvisiacimi s expozíciou karcinogénnym a mutagénnym faktorom pri práci v znení neskorších predpisov.</w:t>
                  </w:r>
                </w:p>
                <w:p w:rsidR="009B2AD3" w:rsidRPr="00347F35" w:rsidRDefault="009B2AD3" w:rsidP="009B2AD3">
                  <w:pPr>
                    <w:spacing w:line="240" w:lineRule="auto"/>
                    <w:ind w:left="-108" w:right="-108"/>
                    <w:jc w:val="both"/>
                    <w:rPr>
                      <w:rFonts w:ascii="Times New Roman" w:hAnsi="Times New Roman" w:cs="Times New Roman"/>
                      <w:b/>
                      <w:sz w:val="24"/>
                      <w:szCs w:val="24"/>
                    </w:rPr>
                  </w:pPr>
                  <w:r w:rsidRPr="00347F35">
                    <w:rPr>
                      <w:rFonts w:ascii="Times New Roman" w:hAnsi="Times New Roman" w:cs="Times New Roman"/>
                      <w:b/>
                      <w:sz w:val="24"/>
                      <w:szCs w:val="24"/>
                    </w:rPr>
                    <w:t xml:space="preserve">Cytostatiká patria medzi nebezpečné lieky, ktoré obsahujú </w:t>
                  </w:r>
                  <w:r w:rsidR="00320891" w:rsidRPr="00347F35">
                    <w:rPr>
                      <w:rFonts w:ascii="Times New Roman" w:hAnsi="Times New Roman" w:cs="Times New Roman"/>
                      <w:b/>
                      <w:sz w:val="24"/>
                      <w:szCs w:val="24"/>
                    </w:rPr>
                    <w:t xml:space="preserve">karcinogénne faktory, mutagénne faktory alebo reprodukčne toxické faktory </w:t>
                  </w:r>
                  <w:r w:rsidRPr="00347F35">
                    <w:rPr>
                      <w:rFonts w:ascii="Times New Roman" w:hAnsi="Times New Roman" w:cs="Times New Roman"/>
                      <w:b/>
                      <w:sz w:val="24"/>
                      <w:szCs w:val="24"/>
                    </w:rPr>
                    <w:t>v zmysle článku 11 smernice (EÚ) 2022/431.</w:t>
                  </w:r>
                </w:p>
                <w:p w:rsidR="00AF2A03" w:rsidRPr="00347F35" w:rsidRDefault="00AF2A03" w:rsidP="00AF2A03">
                  <w:pPr>
                    <w:pStyle w:val="Zkladntext2"/>
                    <w:spacing w:after="240"/>
                    <w:ind w:left="-108" w:right="-108"/>
                    <w:jc w:val="both"/>
                    <w:rPr>
                      <w:b/>
                      <w:bCs/>
                      <w:sz w:val="24"/>
                      <w:szCs w:val="24"/>
                    </w:rPr>
                  </w:pPr>
                </w:p>
                <w:p w:rsidR="009B2AD3" w:rsidRPr="00347F35" w:rsidRDefault="009B2AD3" w:rsidP="00AF2A03">
                  <w:pPr>
                    <w:pStyle w:val="Zkladntext2"/>
                    <w:spacing w:after="240"/>
                    <w:ind w:left="-108" w:right="-108"/>
                    <w:jc w:val="both"/>
                    <w:rPr>
                      <w:b/>
                      <w:sz w:val="24"/>
                      <w:szCs w:val="24"/>
                    </w:rPr>
                  </w:pPr>
                  <w:r w:rsidRPr="00347F35">
                    <w:rPr>
                      <w:b/>
                      <w:bCs/>
                      <w:sz w:val="24"/>
                      <w:szCs w:val="24"/>
                    </w:rPr>
                    <w:t>§ 2 ods. 7 a príloha č. 3:</w:t>
                  </w:r>
                  <w:r w:rsidRPr="00347F35">
                    <w:rPr>
                      <w:sz w:val="24"/>
                      <w:szCs w:val="24"/>
                    </w:rPr>
                    <w:t xml:space="preserve"> </w:t>
                  </w:r>
                  <w:r w:rsidRPr="00347F35">
                    <w:rPr>
                      <w:b/>
                      <w:sz w:val="24"/>
                      <w:szCs w:val="24"/>
                    </w:rPr>
                    <w:t xml:space="preserve">Expozičné ekvivalenty niektorých </w:t>
                  </w:r>
                  <w:r w:rsidR="00320891" w:rsidRPr="00347F35">
                    <w:rPr>
                      <w:b/>
                      <w:sz w:val="24"/>
                      <w:szCs w:val="24"/>
                    </w:rPr>
                    <w:t>karcinogénnych faktorov alebo mutagénnych faktorov</w:t>
                  </w:r>
                  <w:r w:rsidRPr="00347F35">
                    <w:rPr>
                      <w:b/>
                      <w:sz w:val="24"/>
                      <w:szCs w:val="24"/>
                    </w:rPr>
                    <w:t>.</w:t>
                  </w:r>
                </w:p>
                <w:p w:rsidR="009B2AD3" w:rsidRPr="00347F35" w:rsidRDefault="009B2AD3" w:rsidP="009B2AD3">
                  <w:pPr>
                    <w:pStyle w:val="Zkladntext2"/>
                    <w:ind w:left="-108" w:right="-108"/>
                    <w:jc w:val="both"/>
                    <w:rPr>
                      <w:sz w:val="24"/>
                      <w:szCs w:val="24"/>
                    </w:rPr>
                  </w:pPr>
                  <w:r w:rsidRPr="00347F35">
                    <w:rPr>
                      <w:sz w:val="24"/>
                      <w:szCs w:val="24"/>
                    </w:rPr>
                    <w:t xml:space="preserve">V </w:t>
                  </w:r>
                  <w:r w:rsidRPr="00347F35">
                    <w:rPr>
                      <w:b/>
                      <w:i/>
                      <w:sz w:val="24"/>
                      <w:szCs w:val="24"/>
                    </w:rPr>
                    <w:t>§ 2 ods. 7</w:t>
                  </w:r>
                  <w:r w:rsidRPr="00347F35">
                    <w:rPr>
                      <w:sz w:val="24"/>
                      <w:szCs w:val="24"/>
                    </w:rPr>
                    <w:t xml:space="preserve"> je ustanovenie, ktorým sa definuje expozičný ekvivalent, ktorý vyjadruje vzťah medzi koncentráciou </w:t>
                  </w:r>
                  <w:r w:rsidR="00320891" w:rsidRPr="00347F35">
                    <w:rPr>
                      <w:sz w:val="24"/>
                      <w:szCs w:val="24"/>
                    </w:rPr>
                    <w:t xml:space="preserve">karcinogénneho faktoru alebo mutagénneho faktoru </w:t>
                  </w:r>
                  <w:r w:rsidRPr="00347F35">
                    <w:rPr>
                      <w:sz w:val="24"/>
                      <w:szCs w:val="24"/>
                    </w:rPr>
                    <w:t xml:space="preserve">v pracovnom ovzduší a koncentráciou </w:t>
                  </w:r>
                  <w:r w:rsidR="00320891" w:rsidRPr="00347F35">
                    <w:rPr>
                      <w:sz w:val="24"/>
                      <w:szCs w:val="24"/>
                    </w:rPr>
                    <w:t xml:space="preserve">karcinogénneho faktoru alebo mutagénneho faktoru </w:t>
                  </w:r>
                  <w:r w:rsidRPr="00347F35">
                    <w:rPr>
                      <w:sz w:val="24"/>
                      <w:szCs w:val="24"/>
                    </w:rPr>
                    <w:t>alebo ich metabolitov v biologickej vzorke (v moči, v krvi), na základe ktorého možno hodnotiť záťaž organizmu výlučne pri expozícii vdychovaním.</w:t>
                  </w:r>
                </w:p>
                <w:p w:rsidR="009B2AD3" w:rsidRPr="00347F35" w:rsidRDefault="009B2AD3" w:rsidP="009B2AD3">
                  <w:pPr>
                    <w:pStyle w:val="Zkladntext2"/>
                    <w:ind w:left="-108" w:right="-108"/>
                    <w:jc w:val="both"/>
                    <w:rPr>
                      <w:sz w:val="24"/>
                      <w:szCs w:val="24"/>
                    </w:rPr>
                  </w:pPr>
                  <w:r w:rsidRPr="00347F35">
                    <w:rPr>
                      <w:b/>
                      <w:i/>
                      <w:sz w:val="24"/>
                      <w:szCs w:val="24"/>
                    </w:rPr>
                    <w:t>Príloha č. 3</w:t>
                  </w:r>
                  <w:r w:rsidRPr="00347F35">
                    <w:rPr>
                      <w:sz w:val="24"/>
                      <w:szCs w:val="24"/>
                    </w:rPr>
                    <w:t xml:space="preserve"> je nad rámec smernice 2004/37/ES </w:t>
                  </w:r>
                  <w:r w:rsidR="007F2E38" w:rsidRPr="00347F35">
                    <w:rPr>
                      <w:rFonts w:ascii="Times" w:hAnsi="Times" w:cs="Times"/>
                      <w:sz w:val="24"/>
                      <w:szCs w:val="24"/>
                    </w:rPr>
                    <w:t>v platnom znení</w:t>
                  </w:r>
                  <w:r w:rsidRPr="00347F35">
                    <w:rPr>
                      <w:sz w:val="24"/>
                      <w:szCs w:val="24"/>
                    </w:rPr>
                    <w:t xml:space="preserve">. </w:t>
                  </w:r>
                  <w:r w:rsidRPr="00347F35">
                    <w:rPr>
                      <w:bCs/>
                      <w:sz w:val="24"/>
                      <w:szCs w:val="24"/>
                    </w:rPr>
                    <w:t>Obsahuje  e</w:t>
                  </w:r>
                  <w:r w:rsidRPr="00347F35">
                    <w:rPr>
                      <w:sz w:val="24"/>
                      <w:szCs w:val="24"/>
                    </w:rPr>
                    <w:t xml:space="preserve">xpozičné ekvivalenty pre 11 </w:t>
                  </w:r>
                  <w:r w:rsidR="00320891" w:rsidRPr="00347F35">
                    <w:rPr>
                      <w:sz w:val="24"/>
                      <w:szCs w:val="24"/>
                    </w:rPr>
                    <w:t>karcinogénnych faktorov a mutagénnych faktorov</w:t>
                  </w:r>
                  <w:r w:rsidRPr="00347F35">
                    <w:rPr>
                      <w:sz w:val="24"/>
                      <w:szCs w:val="24"/>
                    </w:rPr>
                    <w:t xml:space="preserve">. Možnosť použiť </w:t>
                  </w:r>
                  <w:r w:rsidRPr="00347F35">
                    <w:rPr>
                      <w:bCs/>
                      <w:sz w:val="24"/>
                      <w:szCs w:val="24"/>
                    </w:rPr>
                    <w:t>e</w:t>
                  </w:r>
                  <w:r w:rsidRPr="00347F35">
                    <w:rPr>
                      <w:sz w:val="24"/>
                      <w:szCs w:val="24"/>
                    </w:rPr>
                    <w:t xml:space="preserve">xpozičné ekvivalenty pre vybrané </w:t>
                  </w:r>
                  <w:r w:rsidR="00320891" w:rsidRPr="00347F35">
                    <w:rPr>
                      <w:sz w:val="24"/>
                      <w:szCs w:val="24"/>
                    </w:rPr>
                    <w:t xml:space="preserve">karcinogénne faktory alebo mutagénne faktory </w:t>
                  </w:r>
                  <w:r w:rsidRPr="00347F35">
                    <w:rPr>
                      <w:sz w:val="24"/>
                      <w:szCs w:val="24"/>
                    </w:rPr>
                    <w:t xml:space="preserve">je dôležitá pre aplikačnú prax. </w:t>
                  </w:r>
                </w:p>
                <w:p w:rsidR="00C51A95" w:rsidRPr="00347F35" w:rsidRDefault="009B2AD3" w:rsidP="00320891">
                  <w:pPr>
                    <w:spacing w:line="240" w:lineRule="auto"/>
                    <w:ind w:left="-108" w:right="-108"/>
                    <w:jc w:val="both"/>
                    <w:rPr>
                      <w:rFonts w:ascii="Times New Roman" w:hAnsi="Times New Roman" w:cs="Times New Roman"/>
                      <w:b/>
                      <w:sz w:val="24"/>
                      <w:szCs w:val="24"/>
                    </w:rPr>
                  </w:pPr>
                  <w:r w:rsidRPr="00347F35">
                    <w:rPr>
                      <w:rFonts w:ascii="Times New Roman" w:hAnsi="Times New Roman" w:cs="Times New Roman"/>
                      <w:b/>
                      <w:sz w:val="24"/>
                      <w:szCs w:val="24"/>
                    </w:rPr>
                    <w:t xml:space="preserve">V praxi zjednodušuje hodnotenie expozície vybraným </w:t>
                  </w:r>
                  <w:r w:rsidR="00320891" w:rsidRPr="00347F35">
                    <w:rPr>
                      <w:rFonts w:ascii="Times New Roman" w:hAnsi="Times New Roman" w:cs="Times New Roman"/>
                      <w:b/>
                      <w:sz w:val="24"/>
                      <w:szCs w:val="24"/>
                    </w:rPr>
                    <w:t xml:space="preserve">karcinogénnym faktorom alebo mutagénnym faktorom </w:t>
                  </w:r>
                  <w:r w:rsidRPr="00347F35">
                    <w:rPr>
                      <w:rFonts w:ascii="Times New Roman" w:hAnsi="Times New Roman" w:cs="Times New Roman"/>
                      <w:b/>
                      <w:sz w:val="24"/>
                      <w:szCs w:val="24"/>
                    </w:rPr>
                    <w:t>tým, že nie je nutné vykonávať odber biologického materiálu</w:t>
                  </w:r>
                  <w:r w:rsidR="00FE2759" w:rsidRPr="00347F35">
                    <w:rPr>
                      <w:rFonts w:ascii="Times New Roman" w:hAnsi="Times New Roman" w:cs="Times New Roman"/>
                      <w:b/>
                      <w:sz w:val="24"/>
                      <w:szCs w:val="24"/>
                    </w:rPr>
                    <w:t xml:space="preserve"> (krv, moč)</w:t>
                  </w:r>
                  <w:r w:rsidRPr="00347F35">
                    <w:rPr>
                      <w:rFonts w:ascii="Times New Roman" w:hAnsi="Times New Roman" w:cs="Times New Roman"/>
                      <w:b/>
                      <w:sz w:val="24"/>
                      <w:szCs w:val="24"/>
                    </w:rPr>
                    <w:t xml:space="preserve"> u zamestnancov, ktorý je možné nahradiť meraním chemického faktoru v pracovnom ovzduší a následným použitím prepočtu uvedeného v tabuľkách. </w:t>
                  </w:r>
                </w:p>
                <w:p w:rsidR="00AF2A03" w:rsidRPr="00347F35" w:rsidRDefault="00AF2A03" w:rsidP="00AF2A03">
                  <w:pPr>
                    <w:spacing w:after="0" w:line="240" w:lineRule="auto"/>
                    <w:ind w:left="-108" w:right="-108"/>
                    <w:jc w:val="both"/>
                    <w:rPr>
                      <w:rFonts w:ascii="Times New Roman" w:hAnsi="Times New Roman" w:cs="Times New Roman"/>
                      <w:b/>
                      <w:sz w:val="24"/>
                      <w:szCs w:val="24"/>
                    </w:rPr>
                  </w:pPr>
                </w:p>
              </w:tc>
            </w:tr>
          </w:tbl>
          <w:p w:rsidR="001B23B7" w:rsidRPr="00347F35" w:rsidRDefault="001B23B7" w:rsidP="006E554D">
            <w:pPr>
              <w:jc w:val="both"/>
              <w:rPr>
                <w:rFonts w:ascii="Times New Roman" w:eastAsia="Times New Roman" w:hAnsi="Times New Roman" w:cs="Times New Roman"/>
                <w:i/>
                <w:sz w:val="20"/>
                <w:szCs w:val="20"/>
                <w:lang w:eastAsia="sk-SK"/>
              </w:rPr>
            </w:pPr>
          </w:p>
        </w:tc>
      </w:tr>
      <w:tr w:rsidR="00347F35" w:rsidRPr="00347F35" w:rsidTr="00EC6207">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347F35" w:rsidRDefault="001B23B7" w:rsidP="00D47931">
            <w:pPr>
              <w:rPr>
                <w:rFonts w:ascii="Times New Roman" w:eastAsia="Times New Roman" w:hAnsi="Times New Roman" w:cs="Times New Roman"/>
                <w:sz w:val="20"/>
                <w:szCs w:val="20"/>
                <w:lang w:eastAsia="sk-SK"/>
              </w:rPr>
            </w:pPr>
          </w:p>
        </w:tc>
      </w:tr>
      <w:tr w:rsidR="00347F35" w:rsidRPr="00347F35" w:rsidTr="006E554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Preskúmanie účelnosti</w:t>
            </w:r>
          </w:p>
        </w:tc>
      </w:tr>
      <w:tr w:rsidR="00347F35" w:rsidRPr="00347F35" w:rsidTr="006E554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77912" w:rsidRPr="00347F35" w:rsidRDefault="00461AB5" w:rsidP="00EC6207">
            <w:pPr>
              <w:jc w:val="both"/>
              <w:rPr>
                <w:rFonts w:ascii="Times New Roman" w:eastAsia="Times New Roman" w:hAnsi="Times New Roman" w:cs="Times New Roman"/>
                <w:iCs/>
                <w:sz w:val="24"/>
                <w:szCs w:val="24"/>
                <w:lang w:eastAsia="sk-SK"/>
              </w:rPr>
            </w:pPr>
            <w:r w:rsidRPr="00347F35">
              <w:rPr>
                <w:rFonts w:ascii="Times New Roman" w:eastAsia="Times New Roman" w:hAnsi="Times New Roman" w:cs="Times New Roman"/>
                <w:iCs/>
                <w:sz w:val="24"/>
                <w:szCs w:val="24"/>
                <w:lang w:eastAsia="sk-SK"/>
              </w:rPr>
              <w:t>Je potrebné uviesť, že zníženie</w:t>
            </w:r>
            <w:r w:rsidR="00537B65" w:rsidRPr="00347F35">
              <w:rPr>
                <w:rFonts w:ascii="Times New Roman" w:eastAsia="Times New Roman" w:hAnsi="Times New Roman" w:cs="Times New Roman"/>
                <w:iCs/>
                <w:sz w:val="24"/>
                <w:szCs w:val="24"/>
                <w:lang w:eastAsia="sk-SK"/>
              </w:rPr>
              <w:t xml:space="preserve"> (sprísnenie)</w:t>
            </w:r>
            <w:r w:rsidRPr="00347F35">
              <w:rPr>
                <w:rFonts w:ascii="Times New Roman" w:eastAsia="Times New Roman" w:hAnsi="Times New Roman" w:cs="Times New Roman"/>
                <w:iCs/>
                <w:sz w:val="24"/>
                <w:szCs w:val="24"/>
                <w:lang w:eastAsia="sk-SK"/>
              </w:rPr>
              <w:t xml:space="preserve"> najvyšších prípustných expozičných limitov v pracovnom ovzduší sa prejaví až v dlhodobom horizonte, preto nebude možné reálne preskúmať účelnosť prijatia </w:t>
            </w:r>
            <w:r w:rsidRPr="00347F35">
              <w:rPr>
                <w:rFonts w:ascii="Times New Roman" w:eastAsia="Times New Roman" w:hAnsi="Times New Roman"/>
                <w:sz w:val="24"/>
                <w:szCs w:val="24"/>
                <w:lang w:eastAsia="sk-SK"/>
              </w:rPr>
              <w:t xml:space="preserve">smernica (EÚ) 2022/431 v najbližších rokoch. </w:t>
            </w:r>
            <w:r w:rsidR="00777912" w:rsidRPr="00347F35">
              <w:rPr>
                <w:rFonts w:ascii="Times New Roman" w:eastAsia="Times New Roman" w:hAnsi="Times New Roman" w:cs="Times New Roman"/>
                <w:iCs/>
                <w:sz w:val="24"/>
                <w:szCs w:val="24"/>
                <w:lang w:eastAsia="sk-SK"/>
              </w:rPr>
              <w:t xml:space="preserve">Preskúmanie účelnosti návrhu nariadenia vlády </w:t>
            </w:r>
            <w:r w:rsidRPr="00347F35">
              <w:rPr>
                <w:rFonts w:ascii="Times New Roman" w:eastAsia="Times New Roman" w:hAnsi="Times New Roman" w:cs="Times New Roman"/>
                <w:iCs/>
                <w:sz w:val="24"/>
                <w:szCs w:val="24"/>
                <w:lang w:eastAsia="sk-SK"/>
              </w:rPr>
              <w:t xml:space="preserve">vzhľadom na vyššie uvedené </w:t>
            </w:r>
            <w:r w:rsidR="00777912" w:rsidRPr="00347F35">
              <w:rPr>
                <w:rFonts w:ascii="Times New Roman" w:eastAsia="Times New Roman" w:hAnsi="Times New Roman" w:cs="Times New Roman"/>
                <w:iCs/>
                <w:sz w:val="24"/>
                <w:szCs w:val="24"/>
                <w:lang w:eastAsia="sk-SK"/>
              </w:rPr>
              <w:t xml:space="preserve">bude vykonané </w:t>
            </w:r>
            <w:r w:rsidRPr="00347F35">
              <w:rPr>
                <w:rFonts w:ascii="Times New Roman" w:eastAsia="Times New Roman" w:hAnsi="Times New Roman" w:cs="Times New Roman"/>
                <w:iCs/>
                <w:sz w:val="24"/>
                <w:szCs w:val="24"/>
                <w:lang w:eastAsia="sk-SK"/>
              </w:rPr>
              <w:t>1</w:t>
            </w:r>
            <w:r w:rsidR="00537B65" w:rsidRPr="00347F35">
              <w:rPr>
                <w:rFonts w:ascii="Times New Roman" w:eastAsia="Times New Roman" w:hAnsi="Times New Roman" w:cs="Times New Roman"/>
                <w:iCs/>
                <w:sz w:val="24"/>
                <w:szCs w:val="24"/>
                <w:lang w:eastAsia="sk-SK"/>
              </w:rPr>
              <w:t>0</w:t>
            </w:r>
            <w:r w:rsidR="00777912" w:rsidRPr="00347F35">
              <w:rPr>
                <w:rFonts w:ascii="Times New Roman" w:eastAsia="Times New Roman" w:hAnsi="Times New Roman" w:cs="Times New Roman"/>
                <w:iCs/>
                <w:sz w:val="24"/>
                <w:szCs w:val="24"/>
                <w:lang w:eastAsia="sk-SK"/>
              </w:rPr>
              <w:t xml:space="preserve"> rok</w:t>
            </w:r>
            <w:r w:rsidRPr="00347F35">
              <w:rPr>
                <w:rFonts w:ascii="Times New Roman" w:eastAsia="Times New Roman" w:hAnsi="Times New Roman" w:cs="Times New Roman"/>
                <w:iCs/>
                <w:sz w:val="24"/>
                <w:szCs w:val="24"/>
                <w:lang w:eastAsia="sk-SK"/>
              </w:rPr>
              <w:t>ov</w:t>
            </w:r>
            <w:r w:rsidR="00777912" w:rsidRPr="00347F35">
              <w:rPr>
                <w:rFonts w:ascii="Times New Roman" w:eastAsia="Times New Roman" w:hAnsi="Times New Roman" w:cs="Times New Roman"/>
                <w:iCs/>
                <w:sz w:val="24"/>
                <w:szCs w:val="24"/>
                <w:lang w:eastAsia="sk-SK"/>
              </w:rPr>
              <w:t xml:space="preserve"> po nadobudnutí jeho účinnosti, pričom sa bude preskúmavať naplnenie cieľov návrhu nariadenia vlády v aplikačnej praxi a bude náplňou ex post hodnotenia. </w:t>
            </w:r>
          </w:p>
          <w:p w:rsidR="001B23B7" w:rsidRPr="00347F35" w:rsidRDefault="001B23B7" w:rsidP="00EC6207">
            <w:pPr>
              <w:rPr>
                <w:rFonts w:ascii="Times New Roman" w:eastAsia="Times New Roman" w:hAnsi="Times New Roman" w:cs="Times New Roman"/>
                <w:i/>
                <w:sz w:val="20"/>
                <w:szCs w:val="20"/>
                <w:lang w:eastAsia="sk-SK"/>
              </w:rPr>
            </w:pPr>
          </w:p>
        </w:tc>
      </w:tr>
      <w:tr w:rsidR="00347F35" w:rsidRPr="00347F35" w:rsidTr="006E554D">
        <w:tc>
          <w:tcPr>
            <w:tcW w:w="9180" w:type="dxa"/>
            <w:gridSpan w:val="11"/>
            <w:tcBorders>
              <w:top w:val="nil"/>
              <w:left w:val="nil"/>
              <w:bottom w:val="single" w:sz="4" w:space="0" w:color="auto"/>
              <w:right w:val="nil"/>
            </w:tcBorders>
            <w:shd w:val="clear" w:color="auto" w:fill="FFFFFF"/>
          </w:tcPr>
          <w:p w:rsidR="001B23B7" w:rsidRPr="00347F35" w:rsidRDefault="001B23B7" w:rsidP="00A7788F">
            <w:pPr>
              <w:jc w:val="both"/>
              <w:rPr>
                <w:rFonts w:ascii="Times New Roman" w:eastAsia="Times New Roman" w:hAnsi="Times New Roman" w:cs="Times New Roman"/>
                <w:b/>
                <w:sz w:val="20"/>
                <w:szCs w:val="20"/>
                <w:lang w:eastAsia="sk-SK"/>
              </w:rPr>
            </w:pPr>
          </w:p>
          <w:p w:rsidR="001B23B7" w:rsidRPr="00347F35" w:rsidRDefault="001B23B7" w:rsidP="00A7788F">
            <w:pPr>
              <w:jc w:val="both"/>
              <w:rPr>
                <w:rFonts w:ascii="Times New Roman" w:eastAsia="Times New Roman" w:hAnsi="Times New Roman" w:cs="Times New Roman"/>
                <w:b/>
                <w:sz w:val="20"/>
                <w:szCs w:val="20"/>
                <w:lang w:eastAsia="sk-SK"/>
              </w:rPr>
            </w:pPr>
          </w:p>
          <w:p w:rsidR="001B23B7" w:rsidRPr="00347F35" w:rsidRDefault="001B23B7" w:rsidP="00A7788F">
            <w:pPr>
              <w:ind w:left="142" w:hanging="142"/>
              <w:jc w:val="both"/>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347F35" w:rsidRDefault="001B23B7" w:rsidP="00A7788F">
            <w:pPr>
              <w:jc w:val="both"/>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vyplniť iba v prípade, ak sa záverečné posúdenie</w:t>
            </w:r>
            <w:r w:rsidR="00A340BB" w:rsidRPr="00347F35">
              <w:rPr>
                <w:rFonts w:ascii="Times New Roman" w:eastAsia="Times New Roman" w:hAnsi="Times New Roman" w:cs="Times New Roman"/>
                <w:sz w:val="20"/>
                <w:szCs w:val="20"/>
                <w:lang w:eastAsia="sk-SK"/>
              </w:rPr>
              <w:t xml:space="preserve"> vybraných vplyvov</w:t>
            </w:r>
            <w:r w:rsidRPr="00347F35">
              <w:rPr>
                <w:rFonts w:ascii="Times New Roman" w:eastAsia="Times New Roman" w:hAnsi="Times New Roman" w:cs="Times New Roman"/>
                <w:sz w:val="20"/>
                <w:szCs w:val="20"/>
                <w:lang w:eastAsia="sk-SK"/>
              </w:rPr>
              <w:t xml:space="preserve"> uskutočnilo v zmysle bodu 9.1. </w:t>
            </w:r>
            <w:r w:rsidR="00A340BB" w:rsidRPr="00347F35">
              <w:rPr>
                <w:rFonts w:ascii="Times New Roman" w:eastAsia="Times New Roman" w:hAnsi="Times New Roman" w:cs="Times New Roman"/>
                <w:sz w:val="20"/>
                <w:szCs w:val="20"/>
                <w:lang w:eastAsia="sk-SK"/>
              </w:rPr>
              <w:t>j</w:t>
            </w:r>
            <w:r w:rsidRPr="00347F35">
              <w:rPr>
                <w:rFonts w:ascii="Times New Roman" w:eastAsia="Times New Roman" w:hAnsi="Times New Roman" w:cs="Times New Roman"/>
                <w:sz w:val="20"/>
                <w:szCs w:val="20"/>
                <w:lang w:eastAsia="sk-SK"/>
              </w:rPr>
              <w:t>ednotnej metodiky</w:t>
            </w:r>
            <w:r w:rsidR="00A340BB" w:rsidRPr="00347F35">
              <w:rPr>
                <w:rFonts w:ascii="Times New Roman" w:eastAsia="Times New Roman" w:hAnsi="Times New Roman" w:cs="Times New Roman"/>
                <w:sz w:val="20"/>
                <w:szCs w:val="20"/>
                <w:lang w:eastAsia="sk-SK"/>
              </w:rPr>
              <w:t>.</w:t>
            </w:r>
          </w:p>
          <w:p w:rsidR="00A7788F" w:rsidRPr="00347F35" w:rsidRDefault="00A7788F" w:rsidP="00A7788F">
            <w:pPr>
              <w:jc w:val="both"/>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347F35" w:rsidRDefault="004C6831" w:rsidP="00A7788F">
            <w:pPr>
              <w:jc w:val="both"/>
              <w:rPr>
                <w:rFonts w:ascii="Times New Roman" w:eastAsia="Times New Roman" w:hAnsi="Times New Roman" w:cs="Times New Roman"/>
                <w:sz w:val="20"/>
                <w:szCs w:val="20"/>
                <w:lang w:eastAsia="sk-SK"/>
              </w:rPr>
            </w:pPr>
          </w:p>
          <w:p w:rsidR="001B23B7" w:rsidRPr="00347F35" w:rsidRDefault="001B23B7" w:rsidP="00A7788F">
            <w:pPr>
              <w:jc w:val="both"/>
              <w:rPr>
                <w:rFonts w:ascii="Times New Roman" w:eastAsia="Times New Roman" w:hAnsi="Times New Roman" w:cs="Times New Roman"/>
                <w:b/>
                <w:sz w:val="20"/>
                <w:szCs w:val="20"/>
                <w:lang w:eastAsia="sk-SK"/>
              </w:rPr>
            </w:pPr>
          </w:p>
        </w:tc>
      </w:tr>
      <w:tr w:rsidR="00347F35" w:rsidRPr="00347F35"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Vybrané vplyvy  materiálu</w:t>
            </w:r>
          </w:p>
        </w:tc>
      </w:tr>
      <w:tr w:rsidR="00347F35" w:rsidRPr="00347F35"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347F35" w:rsidRDefault="001B23B7" w:rsidP="006E554D">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rsidR="001B23B7" w:rsidRPr="00347F35" w:rsidRDefault="003145AE" w:rsidP="006E554D">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347F35" w:rsidRDefault="001B23B7" w:rsidP="006E554D">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rsidR="001B23B7" w:rsidRPr="00347F35" w:rsidRDefault="00537B65" w:rsidP="006E554D">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347F35" w:rsidRDefault="001B23B7" w:rsidP="006E554D">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rsidR="001B23B7" w:rsidRPr="00347F35" w:rsidRDefault="00203EE3" w:rsidP="006E554D">
                <w:pPr>
                  <w:ind w:left="-107" w:right="-108"/>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347F35" w:rsidRDefault="001B23B7" w:rsidP="006E554D">
            <w:pPr>
              <w:ind w:left="3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4C6831">
        <w:tc>
          <w:tcPr>
            <w:tcW w:w="3812" w:type="dxa"/>
            <w:tcBorders>
              <w:top w:val="nil"/>
              <w:left w:val="single" w:sz="4" w:space="0" w:color="auto"/>
              <w:bottom w:val="nil"/>
              <w:right w:val="single" w:sz="4" w:space="0" w:color="auto"/>
            </w:tcBorders>
            <w:shd w:val="clear" w:color="auto" w:fill="E2E2E2"/>
          </w:tcPr>
          <w:p w:rsidR="00B84F87" w:rsidRPr="00347F35" w:rsidRDefault="00B84F87">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w:t>
            </w:r>
            <w:r w:rsidR="001B23B7" w:rsidRPr="00347F35">
              <w:rPr>
                <w:rFonts w:ascii="Times New Roman" w:eastAsia="Times New Roman" w:hAnsi="Times New Roman" w:cs="Times New Roman"/>
                <w:sz w:val="20"/>
                <w:szCs w:val="20"/>
                <w:lang w:eastAsia="sk-SK"/>
              </w:rPr>
              <w:t xml:space="preserve">z toho rozpočtovo zabezpečené vplyvy, </w:t>
            </w:r>
            <w:r w:rsidR="00A340BB" w:rsidRPr="00347F35">
              <w:rPr>
                <w:rFonts w:ascii="Times New Roman" w:eastAsia="Times New Roman" w:hAnsi="Times New Roman" w:cs="Times New Roman"/>
                <w:sz w:val="20"/>
                <w:szCs w:val="20"/>
                <w:lang w:eastAsia="sk-SK"/>
              </w:rPr>
              <w:t xml:space="preserve">    </w:t>
            </w:r>
            <w:r w:rsidRPr="00347F35">
              <w:rPr>
                <w:rFonts w:ascii="Times New Roman" w:eastAsia="Times New Roman" w:hAnsi="Times New Roman" w:cs="Times New Roman"/>
                <w:sz w:val="20"/>
                <w:szCs w:val="20"/>
                <w:lang w:eastAsia="sk-SK"/>
              </w:rPr>
              <w:t xml:space="preserve">    </w:t>
            </w:r>
          </w:p>
          <w:p w:rsidR="00B84F87" w:rsidRPr="00347F35" w:rsidRDefault="00B84F87">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w:t>
            </w:r>
            <w:r w:rsidR="001B23B7" w:rsidRPr="00347F35">
              <w:rPr>
                <w:rFonts w:ascii="Times New Roman" w:eastAsia="Times New Roman" w:hAnsi="Times New Roman" w:cs="Times New Roman"/>
                <w:sz w:val="20"/>
                <w:szCs w:val="20"/>
                <w:lang w:eastAsia="sk-SK"/>
              </w:rPr>
              <w:t xml:space="preserve">v prípade identifikovaného negatívneho </w:t>
            </w:r>
          </w:p>
          <w:p w:rsidR="003145AE" w:rsidRPr="00347F35" w:rsidRDefault="00B84F87">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w:t>
            </w:r>
            <w:r w:rsidR="001B23B7" w:rsidRPr="00347F35">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347F35" w:rsidRDefault="003145AE" w:rsidP="00203EE3">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347F35" w:rsidRDefault="001B23B7" w:rsidP="00203EE3">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rsidR="001B23B7" w:rsidRPr="00347F35" w:rsidRDefault="00203EE3" w:rsidP="00203EE3">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347F35" w:rsidRDefault="001B23B7" w:rsidP="00203EE3">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rsidR="001B23B7" w:rsidRPr="00347F35" w:rsidRDefault="00203EE3" w:rsidP="00203EE3">
                <w:pPr>
                  <w:ind w:left="-107" w:right="-108"/>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347F35" w:rsidRDefault="001B23B7" w:rsidP="00203EE3">
            <w:pPr>
              <w:ind w:left="34"/>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Čiastočne</w:t>
            </w:r>
          </w:p>
        </w:tc>
      </w:tr>
      <w:tr w:rsidR="00347F35" w:rsidRPr="00347F35" w:rsidTr="004C6831">
        <w:tc>
          <w:tcPr>
            <w:tcW w:w="3812" w:type="dxa"/>
            <w:tcBorders>
              <w:top w:val="nil"/>
              <w:left w:val="single" w:sz="4" w:space="0" w:color="auto"/>
              <w:bottom w:val="nil"/>
              <w:right w:val="single" w:sz="4" w:space="0" w:color="auto"/>
            </w:tcBorders>
            <w:shd w:val="clear" w:color="auto" w:fill="E2E2E2"/>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rsidR="003145AE" w:rsidRPr="00347F35" w:rsidRDefault="00491CEF"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rsidR="003145AE" w:rsidRPr="00347F35" w:rsidRDefault="00537B65"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rsidR="003145AE" w:rsidRPr="00347F35" w:rsidRDefault="003145AE" w:rsidP="003145AE">
                <w:pPr>
                  <w:ind w:left="-107" w:right="-108"/>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347F35" w:rsidRDefault="003145AE" w:rsidP="003145AE">
            <w:pPr>
              <w:ind w:left="3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A7788F">
        <w:tc>
          <w:tcPr>
            <w:tcW w:w="3812" w:type="dxa"/>
            <w:tcBorders>
              <w:top w:val="nil"/>
              <w:left w:val="single" w:sz="4" w:space="0" w:color="auto"/>
              <w:bottom w:val="single" w:sz="4" w:space="0" w:color="auto"/>
              <w:right w:val="single" w:sz="4" w:space="0" w:color="auto"/>
            </w:tcBorders>
            <w:shd w:val="clear" w:color="auto" w:fill="E2E2E2"/>
          </w:tcPr>
          <w:p w:rsidR="003145AE" w:rsidRPr="00347F35" w:rsidRDefault="003145AE" w:rsidP="003145AE">
            <w:pPr>
              <w:ind w:left="171"/>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z toho rozpočtovo zabezpečené vplyvy,</w:t>
            </w:r>
          </w:p>
          <w:p w:rsidR="003145AE" w:rsidRPr="00347F35" w:rsidRDefault="003145AE" w:rsidP="003145AE">
            <w:pPr>
              <w:ind w:left="171"/>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v prípade identifikovaného negatívneho </w:t>
            </w:r>
            <w:r w:rsidRPr="00347F35">
              <w:rPr>
                <w:rFonts w:ascii="Times New Roman" w:eastAsia="Times New Roman" w:hAnsi="Times New Roman" w:cs="Times New Roman"/>
                <w:sz w:val="20"/>
                <w:szCs w:val="20"/>
                <w:lang w:eastAsia="sk-SK"/>
              </w:rPr>
              <w:lastRenderedPageBreak/>
              <w:t>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347F35" w:rsidRDefault="003145AE" w:rsidP="003145AE">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347F35" w:rsidRDefault="003145AE" w:rsidP="003145AE">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single" w:sz="4" w:space="0" w:color="auto"/>
                  <w:right w:val="nil"/>
                </w:tcBorders>
                <w:vAlign w:val="center"/>
              </w:tcPr>
              <w:p w:rsidR="003145AE" w:rsidRPr="00347F35" w:rsidRDefault="003145AE" w:rsidP="003145AE">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347F35" w:rsidRDefault="003145AE" w:rsidP="003145AE">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single" w:sz="4" w:space="0" w:color="auto"/>
                  <w:right w:val="nil"/>
                </w:tcBorders>
                <w:vAlign w:val="center"/>
              </w:tcPr>
              <w:p w:rsidR="003145AE" w:rsidRPr="00347F35" w:rsidRDefault="003145AE" w:rsidP="003145AE">
                <w:pPr>
                  <w:ind w:left="-107" w:right="-108"/>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347F35" w:rsidRDefault="003145AE" w:rsidP="003145AE">
            <w:pPr>
              <w:ind w:left="34"/>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Čiastočne</w:t>
            </w:r>
          </w:p>
        </w:tc>
      </w:tr>
      <w:tr w:rsidR="00347F35" w:rsidRPr="00347F35"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347F35" w:rsidRDefault="00A7788F" w:rsidP="006E554D">
            <w:pPr>
              <w:ind w:left="171"/>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347F35" w:rsidRDefault="00187182" w:rsidP="006E554D">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347F35" w:rsidRDefault="00A7788F" w:rsidP="006E554D">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347F35" w:rsidRDefault="00A7788F" w:rsidP="006E554D">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347F35" w:rsidRDefault="00A7788F" w:rsidP="006E554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sdtPr>
          <w:sdtEndPr/>
          <w:sdtContent>
            <w:tc>
              <w:tcPr>
                <w:tcW w:w="547" w:type="dxa"/>
                <w:gridSpan w:val="2"/>
                <w:tcBorders>
                  <w:top w:val="single" w:sz="4" w:space="0" w:color="auto"/>
                  <w:left w:val="nil"/>
                  <w:bottom w:val="single" w:sz="4" w:space="0" w:color="auto"/>
                  <w:right w:val="nil"/>
                </w:tcBorders>
                <w:vAlign w:val="center"/>
              </w:tcPr>
              <w:p w:rsidR="00A7788F" w:rsidRPr="00347F35" w:rsidRDefault="00187182" w:rsidP="006E554D">
                <w:pPr>
                  <w:ind w:left="-107" w:right="-108"/>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347F35" w:rsidRDefault="00A7788F" w:rsidP="006E554D">
            <w:pPr>
              <w:ind w:left="34"/>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Nie</w:t>
            </w:r>
          </w:p>
        </w:tc>
      </w:tr>
      <w:tr w:rsidR="00347F35" w:rsidRPr="00347F35"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347F35" w:rsidRDefault="00073CBB"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347F35" w:rsidRDefault="003145AE" w:rsidP="003145AE">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rsidR="003145AE" w:rsidRPr="00347F35" w:rsidRDefault="00073CBB"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347F35" w:rsidRDefault="003145AE" w:rsidP="003145AE">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203EE3">
        <w:tc>
          <w:tcPr>
            <w:tcW w:w="3812" w:type="dxa"/>
            <w:tcBorders>
              <w:top w:val="nil"/>
              <w:left w:val="single" w:sz="4" w:space="0" w:color="000000"/>
              <w:bottom w:val="nil"/>
              <w:right w:val="single" w:sz="4" w:space="0" w:color="000000"/>
            </w:tcBorders>
            <w:shd w:val="clear" w:color="auto" w:fill="E2E2E2"/>
          </w:tcPr>
          <w:p w:rsidR="003145AE" w:rsidRPr="00347F35" w:rsidRDefault="003145AE" w:rsidP="003145AE">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z toho vplyvy na MSP</w:t>
            </w:r>
          </w:p>
          <w:p w:rsidR="003145AE" w:rsidRPr="00347F35"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347F35" w:rsidRDefault="00073CBB" w:rsidP="003145AE">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347F35" w:rsidRDefault="003145AE" w:rsidP="003145AE">
            <w:pPr>
              <w:ind w:right="-108"/>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rsidR="003145AE" w:rsidRPr="00347F35" w:rsidRDefault="003145AE" w:rsidP="003145AE">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347F35" w:rsidRDefault="003145AE" w:rsidP="003145AE">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rsidR="003145AE" w:rsidRPr="00347F35" w:rsidRDefault="00073CBB" w:rsidP="003145AE">
                <w:pPr>
                  <w:jc w:val="center"/>
                  <w:rPr>
                    <w:rFonts w:ascii="Times New Roman" w:eastAsia="Times New Roman" w:hAnsi="Times New Roman" w:cs="Times New Roman"/>
                    <w:sz w:val="20"/>
                    <w:szCs w:val="20"/>
                    <w:lang w:eastAsia="sk-SK"/>
                  </w:rPr>
                </w:pPr>
                <w:r w:rsidRPr="00347F3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347F35" w:rsidRDefault="003145AE" w:rsidP="003145AE">
            <w:pPr>
              <w:ind w:left="54"/>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Negatívne</w:t>
            </w:r>
          </w:p>
        </w:tc>
      </w:tr>
      <w:tr w:rsidR="00347F35" w:rsidRPr="00347F35" w:rsidTr="00203EE3">
        <w:tc>
          <w:tcPr>
            <w:tcW w:w="3812" w:type="dxa"/>
            <w:tcBorders>
              <w:top w:val="nil"/>
              <w:left w:val="single" w:sz="4" w:space="0" w:color="auto"/>
              <w:bottom w:val="single" w:sz="4" w:space="0" w:color="auto"/>
              <w:right w:val="single" w:sz="4" w:space="0" w:color="auto"/>
            </w:tcBorders>
            <w:shd w:val="clear" w:color="auto" w:fill="E2E2E2"/>
          </w:tcPr>
          <w:p w:rsidR="003145AE" w:rsidRPr="00347F35" w:rsidRDefault="003145AE" w:rsidP="003145AE">
            <w:pPr>
              <w:rPr>
                <w:rFonts w:ascii="Times New Roman" w:eastAsia="Times New Roman" w:hAnsi="Times New Roman" w:cs="Times New Roman"/>
                <w:sz w:val="20"/>
                <w:szCs w:val="20"/>
                <w:lang w:eastAsia="sk-SK"/>
              </w:rPr>
            </w:pPr>
            <w:r w:rsidRPr="00347F35">
              <w:rPr>
                <w:rFonts w:ascii="Times New Roman" w:eastAsia="Times New Roman" w:hAnsi="Times New Roman" w:cs="Times New Roman"/>
                <w:sz w:val="20"/>
                <w:szCs w:val="20"/>
                <w:lang w:eastAsia="sk-SK"/>
              </w:rPr>
              <w:t xml:space="preserve">    Mechanizmus znižovania byrokracie    </w:t>
            </w:r>
          </w:p>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347F35" w:rsidRDefault="003145AE" w:rsidP="003145AE">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347F35"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347F35"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rsidR="003145AE" w:rsidRPr="00347F35" w:rsidRDefault="00073CBB"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347F35" w:rsidRDefault="003145AE" w:rsidP="003145AE">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sz w:val="20"/>
                <w:szCs w:val="20"/>
                <w:lang w:eastAsia="sk-SK"/>
              </w:rPr>
              <w:t>Nie</w:t>
            </w:r>
          </w:p>
        </w:tc>
      </w:tr>
      <w:tr w:rsidR="00347F35" w:rsidRPr="00347F35"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rsidR="003145AE" w:rsidRPr="00347F35" w:rsidRDefault="00537B65"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47F35" w:rsidRDefault="003145AE" w:rsidP="003145AE">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47F35" w:rsidRDefault="003145AE" w:rsidP="003145AE">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47F35" w:rsidRDefault="003145AE" w:rsidP="003145AE">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rsidR="003145AE" w:rsidRPr="00347F35" w:rsidRDefault="00537B65"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47F35" w:rsidRDefault="003145AE" w:rsidP="003145AE">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47F35" w:rsidRDefault="003145AE" w:rsidP="003145AE">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rsidR="003145AE" w:rsidRPr="00347F35" w:rsidRDefault="00537B65"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47F35" w:rsidRDefault="003145AE" w:rsidP="003145AE">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rsidR="003145AE" w:rsidRPr="00347F35" w:rsidRDefault="003145AE" w:rsidP="003145AE">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47F35" w:rsidRDefault="003145AE" w:rsidP="003145AE">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47F35" w:rsidRPr="00347F35"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347F35" w:rsidRDefault="000F2BE9" w:rsidP="006E554D">
            <w:pPr>
              <w:spacing w:after="0" w:line="240" w:lineRule="auto"/>
              <w:rPr>
                <w:rFonts w:ascii="Times New Roman" w:eastAsia="Times New Roman" w:hAnsi="Times New Roman" w:cs="Times New Roman"/>
                <w:b/>
                <w:sz w:val="20"/>
                <w:szCs w:val="20"/>
                <w:lang w:eastAsia="sk-SK"/>
              </w:rPr>
            </w:pPr>
            <w:r w:rsidRPr="00347F35">
              <w:rPr>
                <w:rFonts w:ascii="Times New Roman" w:eastAsia="Calibri" w:hAnsi="Times New Roman" w:cs="Times New Roman"/>
                <w:b/>
                <w:sz w:val="20"/>
                <w:szCs w:val="20"/>
              </w:rPr>
              <w:t>Vplyvy na služby verejnej správy pre občana, z</w:t>
            </w:r>
            <w:r w:rsidR="00CE6AAE" w:rsidRPr="00347F35">
              <w:rPr>
                <w:rFonts w:ascii="Times New Roman" w:eastAsia="Calibri" w:hAnsi="Times New Roman" w:cs="Times New Roman"/>
                <w:b/>
                <w:sz w:val="20"/>
                <w:szCs w:val="20"/>
              </w:rPr>
              <w:t> </w:t>
            </w:r>
            <w:r w:rsidRPr="00347F35">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347F35" w:rsidRDefault="000F2BE9" w:rsidP="006E554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347F35" w:rsidRDefault="000F2BE9" w:rsidP="006E554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347F35" w:rsidRDefault="000F2BE9" w:rsidP="006E554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347F35" w:rsidRDefault="000F2BE9" w:rsidP="006E554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347F35" w:rsidRDefault="000F2BE9" w:rsidP="006E554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347F35" w:rsidRDefault="000F2BE9" w:rsidP="006E554D">
            <w:pPr>
              <w:spacing w:after="0" w:line="240" w:lineRule="auto"/>
              <w:ind w:left="54"/>
              <w:rPr>
                <w:rFonts w:ascii="Times New Roman" w:eastAsia="Times New Roman" w:hAnsi="Times New Roman" w:cs="Times New Roman"/>
                <w:b/>
                <w:sz w:val="20"/>
                <w:szCs w:val="20"/>
                <w:lang w:eastAsia="sk-SK"/>
              </w:rPr>
            </w:pPr>
          </w:p>
        </w:tc>
      </w:tr>
      <w:tr w:rsidR="00347F35" w:rsidRPr="00347F35" w:rsidTr="00B547F5">
        <w:tc>
          <w:tcPr>
            <w:tcW w:w="3812" w:type="dxa"/>
            <w:tcBorders>
              <w:top w:val="nil"/>
              <w:left w:val="single" w:sz="4" w:space="0" w:color="auto"/>
              <w:bottom w:val="nil"/>
              <w:right w:val="single" w:sz="4" w:space="0" w:color="auto"/>
            </w:tcBorders>
            <w:shd w:val="clear" w:color="auto" w:fill="E2E2E2"/>
          </w:tcPr>
          <w:p w:rsidR="000F2BE9" w:rsidRPr="00347F35" w:rsidRDefault="000F2BE9" w:rsidP="006E554D">
            <w:pPr>
              <w:spacing w:after="0" w:line="240" w:lineRule="auto"/>
              <w:ind w:left="196" w:hanging="196"/>
              <w:rPr>
                <w:rFonts w:ascii="Times New Roman" w:eastAsia="Calibri" w:hAnsi="Times New Roman" w:cs="Times New Roman"/>
                <w:b/>
                <w:sz w:val="20"/>
                <w:szCs w:val="20"/>
              </w:rPr>
            </w:pPr>
            <w:r w:rsidRPr="00347F35">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rsidR="000F2BE9" w:rsidRPr="00347F35" w:rsidRDefault="0023360B"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347F35" w:rsidRDefault="000F2BE9" w:rsidP="00B547F5">
            <w:pPr>
              <w:spacing w:after="0" w:line="240" w:lineRule="auto"/>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rsidR="000F2BE9" w:rsidRPr="00347F35" w:rsidRDefault="00537B65"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347F35" w:rsidRDefault="000F2BE9" w:rsidP="00B547F5">
            <w:pPr>
              <w:spacing w:after="0" w:line="240" w:lineRule="auto"/>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rsidR="000F2BE9" w:rsidRPr="00347F35" w:rsidRDefault="0023360B"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347F35" w:rsidRDefault="000F2BE9" w:rsidP="00B547F5">
            <w:pPr>
              <w:spacing w:after="0" w:line="240" w:lineRule="auto"/>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r w:rsidR="00347F35" w:rsidRPr="00347F35" w:rsidTr="00B547F5">
        <w:tc>
          <w:tcPr>
            <w:tcW w:w="3812" w:type="dxa"/>
            <w:tcBorders>
              <w:top w:val="nil"/>
              <w:left w:val="single" w:sz="4" w:space="0" w:color="auto"/>
              <w:bottom w:val="nil"/>
              <w:right w:val="single" w:sz="4" w:space="0" w:color="auto"/>
            </w:tcBorders>
            <w:shd w:val="clear" w:color="auto" w:fill="E2E2E2"/>
          </w:tcPr>
          <w:p w:rsidR="000F2BE9" w:rsidRPr="00347F35" w:rsidRDefault="000F2BE9" w:rsidP="006E554D">
            <w:pPr>
              <w:spacing w:after="0" w:line="240" w:lineRule="auto"/>
              <w:ind w:left="168" w:hanging="168"/>
              <w:rPr>
                <w:rFonts w:ascii="Times New Roman" w:eastAsia="Calibri" w:hAnsi="Times New Roman" w:cs="Times New Roman"/>
                <w:b/>
                <w:sz w:val="20"/>
                <w:szCs w:val="20"/>
              </w:rPr>
            </w:pPr>
            <w:r w:rsidRPr="00347F35">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347F35" w:rsidRDefault="0023360B"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347F35" w:rsidRDefault="000F2BE9" w:rsidP="00B547F5">
            <w:pPr>
              <w:spacing w:after="0" w:line="240" w:lineRule="auto"/>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347F35" w:rsidRDefault="00555023"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347F35" w:rsidRDefault="000F2BE9" w:rsidP="00B547F5">
            <w:pPr>
              <w:spacing w:after="0" w:line="240" w:lineRule="auto"/>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347F35" w:rsidRDefault="0023360B" w:rsidP="00B547F5">
                <w:pPr>
                  <w:spacing w:after="0" w:line="240" w:lineRule="auto"/>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347F35" w:rsidRDefault="000F2BE9" w:rsidP="00B547F5">
            <w:pPr>
              <w:spacing w:after="0" w:line="240" w:lineRule="auto"/>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47F35" w:rsidRPr="00347F35"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347F35" w:rsidRDefault="00A340BB" w:rsidP="006E554D">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rPr>
              <w:t>Vplyvy na manželstvo</w:t>
            </w:r>
            <w:r w:rsidR="00DF357C" w:rsidRPr="00347F35">
              <w:rPr>
                <w:rFonts w:ascii="Times New Roman" w:eastAsia="Times New Roman" w:hAnsi="Times New Roman" w:cs="Times New Roman"/>
                <w:b/>
                <w:sz w:val="20"/>
                <w:szCs w:val="20"/>
              </w:rPr>
              <w:t>,</w:t>
            </w:r>
            <w:r w:rsidRPr="00347F35">
              <w:rPr>
                <w:rFonts w:ascii="Times New Roman" w:eastAsia="Times New Roman" w:hAnsi="Times New Roman" w:cs="Times New Roman"/>
                <w:b/>
                <w:sz w:val="20"/>
                <w:szCs w:val="20"/>
              </w:rPr>
              <w:t xml:space="preserve"> rodičovstvo a</w:t>
            </w:r>
            <w:r w:rsidR="00CE6AAE" w:rsidRPr="00347F35">
              <w:rPr>
                <w:rFonts w:ascii="Times New Roman" w:eastAsia="Times New Roman" w:hAnsi="Times New Roman" w:cs="Times New Roman"/>
                <w:b/>
                <w:sz w:val="20"/>
                <w:szCs w:val="20"/>
              </w:rPr>
              <w:t> </w:t>
            </w:r>
            <w:r w:rsidRPr="00347F35">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A340BB" w:rsidRPr="00347F35" w:rsidRDefault="00073CBB" w:rsidP="0023360B">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347F35" w:rsidRDefault="00A340BB" w:rsidP="0023360B">
            <w:pPr>
              <w:ind w:right="-108"/>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rsidR="00A340BB" w:rsidRPr="00347F35" w:rsidRDefault="0023360B" w:rsidP="0023360B">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347F35" w:rsidRDefault="00A340BB" w:rsidP="0023360B">
            <w:pPr>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rsidR="00A340BB" w:rsidRPr="00347F35" w:rsidRDefault="0023360B" w:rsidP="0023360B">
                <w:pPr>
                  <w:jc w:val="center"/>
                  <w:rPr>
                    <w:rFonts w:ascii="Times New Roman" w:eastAsia="Times New Roman" w:hAnsi="Times New Roman" w:cs="Times New Roman"/>
                    <w:b/>
                    <w:sz w:val="20"/>
                    <w:szCs w:val="20"/>
                    <w:lang w:eastAsia="sk-SK"/>
                  </w:rPr>
                </w:pPr>
                <w:r w:rsidRPr="00347F3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347F35" w:rsidRDefault="00A340BB" w:rsidP="0023360B">
            <w:pPr>
              <w:ind w:left="54"/>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Negatívne</w:t>
            </w:r>
          </w:p>
        </w:tc>
      </w:tr>
    </w:tbl>
    <w:p w:rsidR="001B23B7" w:rsidRPr="00347F35"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47F35" w:rsidRPr="00347F35" w:rsidTr="006E554D">
        <w:tc>
          <w:tcPr>
            <w:tcW w:w="9176" w:type="dxa"/>
            <w:tcBorders>
              <w:top w:val="single" w:sz="4" w:space="0" w:color="auto"/>
              <w:left w:val="single" w:sz="4" w:space="0" w:color="auto"/>
              <w:bottom w:val="nil"/>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Poznámky</w:t>
            </w:r>
          </w:p>
        </w:tc>
      </w:tr>
      <w:tr w:rsidR="00347F35" w:rsidRPr="00347F35" w:rsidTr="006E554D">
        <w:trPr>
          <w:trHeight w:val="713"/>
        </w:trPr>
        <w:tc>
          <w:tcPr>
            <w:tcW w:w="9176" w:type="dxa"/>
            <w:tcBorders>
              <w:top w:val="nil"/>
              <w:left w:val="single" w:sz="4" w:space="0" w:color="auto"/>
              <w:bottom w:val="single" w:sz="4" w:space="0" w:color="FFFFFF"/>
              <w:right w:val="single" w:sz="4" w:space="0" w:color="auto"/>
            </w:tcBorders>
            <w:shd w:val="clear" w:color="auto" w:fill="auto"/>
          </w:tcPr>
          <w:p w:rsidR="00EC6207" w:rsidRPr="00347F35" w:rsidRDefault="00EC6207" w:rsidP="00EC6207">
            <w:pPr>
              <w:jc w:val="both"/>
              <w:rPr>
                <w:rFonts w:ascii="Times New Roman" w:eastAsia="Times New Roman" w:hAnsi="Times New Roman" w:cs="Times New Roman"/>
                <w:sz w:val="24"/>
                <w:szCs w:val="24"/>
                <w:lang w:eastAsia="sk-SK"/>
              </w:rPr>
            </w:pPr>
            <w:r w:rsidRPr="00347F35">
              <w:rPr>
                <w:rFonts w:ascii="Times New Roman" w:eastAsia="Times New Roman" w:hAnsi="Times New Roman" w:cs="Times New Roman"/>
                <w:sz w:val="24"/>
                <w:szCs w:val="24"/>
                <w:lang w:eastAsia="sk-SK"/>
              </w:rPr>
              <w: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 a pozitívny vplyv na manželstvo, rodičovstvo a rodinu.</w:t>
            </w:r>
          </w:p>
          <w:p w:rsidR="00271704" w:rsidRPr="00347F35" w:rsidRDefault="00271704" w:rsidP="00EC6207">
            <w:pPr>
              <w:jc w:val="both"/>
              <w:rPr>
                <w:rFonts w:ascii="Times New Roman" w:eastAsia="Times New Roman" w:hAnsi="Times New Roman" w:cs="Times New Roman"/>
                <w:sz w:val="24"/>
                <w:szCs w:val="24"/>
                <w:lang w:eastAsia="sk-SK"/>
              </w:rPr>
            </w:pPr>
            <w:r w:rsidRPr="00347F35">
              <w:rPr>
                <w:rFonts w:ascii="Times New Roman" w:eastAsia="Times New Roman" w:hAnsi="Times New Roman" w:cs="Times New Roman"/>
                <w:sz w:val="24"/>
                <w:szCs w:val="24"/>
                <w:lang w:eastAsia="sk-SK"/>
              </w:rPr>
              <w:t xml:space="preserve">Vzhľadom na charakter predkladaného návrhu nariadenia vlády, nie je možné tieto náklady v súčasnosti presne definovať.  </w:t>
            </w:r>
          </w:p>
          <w:p w:rsidR="006C53BD" w:rsidRPr="00347F35" w:rsidRDefault="006C53BD" w:rsidP="00EC6207">
            <w:pPr>
              <w:jc w:val="both"/>
              <w:rPr>
                <w:rFonts w:ascii="Times New Roman" w:eastAsia="Times New Roman" w:hAnsi="Times New Roman" w:cs="Times New Roman"/>
                <w:sz w:val="24"/>
                <w:szCs w:val="24"/>
                <w:lang w:eastAsia="sk-SK"/>
              </w:rPr>
            </w:pPr>
            <w:r w:rsidRPr="00347F35">
              <w:rPr>
                <w:rFonts w:ascii="Times New Roman" w:eastAsia="Times New Roman" w:hAnsi="Times New Roman" w:cs="Times New Roman"/>
                <w:sz w:val="24"/>
                <w:szCs w:val="24"/>
                <w:lang w:eastAsia="sk-SK"/>
              </w:rPr>
              <w:t>Podľa údajov z </w:t>
            </w:r>
            <w:r w:rsidR="00875781" w:rsidRPr="00347F35">
              <w:rPr>
                <w:rFonts w:ascii="Times New Roman" w:eastAsia="Times New Roman" w:hAnsi="Times New Roman" w:cs="Times New Roman"/>
                <w:sz w:val="24"/>
                <w:szCs w:val="24"/>
                <w:lang w:eastAsia="sk-SK"/>
              </w:rPr>
              <w:t xml:space="preserve">centrálneho registra rizikových prác Úradu verejného zdravotníctva Slovenskej republiky </w:t>
            </w:r>
            <w:r w:rsidRPr="00347F35">
              <w:rPr>
                <w:rFonts w:ascii="Times New Roman" w:eastAsia="Times New Roman" w:hAnsi="Times New Roman" w:cs="Times New Roman"/>
                <w:sz w:val="24"/>
                <w:szCs w:val="24"/>
                <w:lang w:eastAsia="sk-SK"/>
              </w:rPr>
              <w:t xml:space="preserve">rizikovú prácu </w:t>
            </w:r>
            <w:r w:rsidR="00312CC8" w:rsidRPr="00347F35">
              <w:rPr>
                <w:rFonts w:ascii="Times New Roman" w:eastAsia="Times New Roman" w:hAnsi="Times New Roman" w:cs="Times New Roman"/>
                <w:sz w:val="24"/>
                <w:szCs w:val="24"/>
                <w:lang w:eastAsia="sk-SK"/>
              </w:rPr>
              <w:t>s</w:t>
            </w:r>
            <w:r w:rsidR="005B5082" w:rsidRPr="00347F35">
              <w:rPr>
                <w:rFonts w:ascii="Times New Roman" w:eastAsia="Times New Roman" w:hAnsi="Times New Roman" w:cs="Times New Roman"/>
                <w:sz w:val="24"/>
                <w:szCs w:val="24"/>
                <w:lang w:eastAsia="sk-SK"/>
              </w:rPr>
              <w:t> chemickou látkou s</w:t>
            </w:r>
            <w:r w:rsidR="00312CC8" w:rsidRPr="00347F35">
              <w:rPr>
                <w:rFonts w:ascii="Times New Roman" w:eastAsia="Times New Roman" w:hAnsi="Times New Roman" w:cs="Times New Roman"/>
                <w:sz w:val="24"/>
                <w:szCs w:val="24"/>
                <w:lang w:eastAsia="sk-SK"/>
              </w:rPr>
              <w:t> reprodukčne toxickým účinkom</w:t>
            </w:r>
            <w:r w:rsidRPr="00347F35">
              <w:rPr>
                <w:rFonts w:ascii="Times New Roman" w:eastAsia="Times New Roman" w:hAnsi="Times New Roman" w:cs="Times New Roman"/>
                <w:sz w:val="24"/>
                <w:szCs w:val="24"/>
                <w:lang w:eastAsia="sk-SK"/>
              </w:rPr>
              <w:t xml:space="preserve"> </w:t>
            </w:r>
            <w:r w:rsidRPr="00347F35">
              <w:rPr>
                <w:rFonts w:ascii="Times New Roman" w:eastAsia="Times New Roman" w:hAnsi="Times New Roman" w:cs="Times New Roman"/>
                <w:i/>
                <w:iCs/>
                <w:sz w:val="24"/>
                <w:szCs w:val="24"/>
                <w:lang w:eastAsia="sk-SK"/>
              </w:rPr>
              <w:t>anorganické olovo a jeho zlúčeniny</w:t>
            </w:r>
            <w:r w:rsidRPr="00347F35">
              <w:rPr>
                <w:rFonts w:ascii="Times New Roman" w:eastAsia="Times New Roman" w:hAnsi="Times New Roman" w:cs="Times New Roman"/>
                <w:sz w:val="24"/>
                <w:szCs w:val="24"/>
                <w:lang w:eastAsia="sk-SK"/>
              </w:rPr>
              <w:t xml:space="preserve"> vykonávalo 267 </w:t>
            </w:r>
            <w:r w:rsidR="00875781" w:rsidRPr="00347F35">
              <w:rPr>
                <w:rFonts w:ascii="Times New Roman" w:eastAsia="Times New Roman" w:hAnsi="Times New Roman" w:cs="Times New Roman"/>
                <w:sz w:val="24"/>
                <w:szCs w:val="24"/>
                <w:lang w:eastAsia="sk-SK"/>
              </w:rPr>
              <w:t>zamestnancov</w:t>
            </w:r>
            <w:r w:rsidRPr="00347F35">
              <w:rPr>
                <w:rFonts w:ascii="Times New Roman" w:eastAsia="Times New Roman" w:hAnsi="Times New Roman" w:cs="Times New Roman"/>
                <w:sz w:val="24"/>
                <w:szCs w:val="24"/>
                <w:lang w:eastAsia="sk-SK"/>
              </w:rPr>
              <w:t>, s</w:t>
            </w:r>
            <w:r w:rsidR="005B5082" w:rsidRPr="00347F35">
              <w:rPr>
                <w:rFonts w:ascii="Times New Roman" w:eastAsia="Times New Roman" w:hAnsi="Times New Roman" w:cs="Times New Roman"/>
                <w:sz w:val="24"/>
                <w:szCs w:val="24"/>
                <w:lang w:eastAsia="sk-SK"/>
              </w:rPr>
              <w:t> chemickou látkou</w:t>
            </w:r>
            <w:r w:rsidRPr="00347F35">
              <w:rPr>
                <w:rFonts w:ascii="Times New Roman" w:eastAsia="Times New Roman" w:hAnsi="Times New Roman" w:cs="Times New Roman"/>
                <w:sz w:val="24"/>
                <w:szCs w:val="24"/>
                <w:lang w:eastAsia="sk-SK"/>
              </w:rPr>
              <w:t xml:space="preserve"> </w:t>
            </w:r>
            <w:r w:rsidRPr="00347F35">
              <w:rPr>
                <w:rFonts w:ascii="Times New Roman" w:eastAsia="Times New Roman" w:hAnsi="Times New Roman" w:cs="Times New Roman"/>
                <w:i/>
                <w:iCs/>
                <w:sz w:val="24"/>
                <w:szCs w:val="24"/>
                <w:lang w:eastAsia="sk-SK"/>
              </w:rPr>
              <w:t>ortuť a dvojmocné anorganické zlúčeniny</w:t>
            </w:r>
            <w:r w:rsidR="00312CC8" w:rsidRPr="00347F35">
              <w:rPr>
                <w:rFonts w:ascii="Times New Roman" w:eastAsia="Times New Roman" w:hAnsi="Times New Roman" w:cs="Times New Roman"/>
                <w:i/>
                <w:iCs/>
                <w:sz w:val="24"/>
                <w:szCs w:val="24"/>
                <w:lang w:eastAsia="sk-SK"/>
              </w:rPr>
              <w:t xml:space="preserve">, </w:t>
            </w:r>
            <w:r w:rsidR="00312CC8" w:rsidRPr="00347F35">
              <w:rPr>
                <w:rFonts w:ascii="Times New Roman" w:eastAsia="Times New Roman" w:hAnsi="Times New Roman" w:cs="Times New Roman"/>
                <w:sz w:val="24"/>
                <w:szCs w:val="24"/>
                <w:lang w:eastAsia="sk-SK"/>
              </w:rPr>
              <w:t>u ktorého sa sprísňuje NPEL</w:t>
            </w:r>
            <w:r w:rsidRPr="00347F35">
              <w:rPr>
                <w:rFonts w:ascii="Times New Roman" w:eastAsia="Times New Roman" w:hAnsi="Times New Roman" w:cs="Times New Roman"/>
                <w:sz w:val="24"/>
                <w:szCs w:val="24"/>
                <w:lang w:eastAsia="sk-SK"/>
              </w:rPr>
              <w:t xml:space="preserve"> vykonával 1 </w:t>
            </w:r>
            <w:r w:rsidR="00581235" w:rsidRPr="00347F35">
              <w:rPr>
                <w:rFonts w:ascii="Times New Roman" w:eastAsia="Times New Roman" w:hAnsi="Times New Roman" w:cs="Times New Roman"/>
                <w:sz w:val="24"/>
                <w:szCs w:val="24"/>
                <w:lang w:eastAsia="sk-SK"/>
              </w:rPr>
              <w:t>zamestnanec</w:t>
            </w:r>
            <w:r w:rsidRPr="00347F35">
              <w:rPr>
                <w:rFonts w:ascii="Times New Roman" w:eastAsia="Times New Roman" w:hAnsi="Times New Roman" w:cs="Times New Roman"/>
                <w:sz w:val="24"/>
                <w:szCs w:val="24"/>
                <w:lang w:eastAsia="sk-SK"/>
              </w:rPr>
              <w:t xml:space="preserve"> a s</w:t>
            </w:r>
            <w:r w:rsidR="005B5082" w:rsidRPr="00347F35">
              <w:rPr>
                <w:rFonts w:ascii="Times New Roman" w:eastAsia="Times New Roman" w:hAnsi="Times New Roman" w:cs="Times New Roman"/>
                <w:sz w:val="24"/>
                <w:szCs w:val="24"/>
                <w:lang w:eastAsia="sk-SK"/>
              </w:rPr>
              <w:t xml:space="preserve"> chemickou látkou </w:t>
            </w:r>
            <w:r w:rsidRPr="00347F35">
              <w:rPr>
                <w:rFonts w:ascii="Times New Roman" w:eastAsia="Times New Roman" w:hAnsi="Times New Roman" w:cs="Times New Roman"/>
                <w:i/>
                <w:iCs/>
                <w:sz w:val="24"/>
                <w:szCs w:val="24"/>
                <w:lang w:eastAsia="sk-SK"/>
              </w:rPr>
              <w:t>oxid uhoľnatý</w:t>
            </w:r>
            <w:r w:rsidRPr="00347F35">
              <w:rPr>
                <w:rFonts w:ascii="Times New Roman" w:eastAsia="Times New Roman" w:hAnsi="Times New Roman" w:cs="Times New Roman"/>
                <w:sz w:val="24"/>
                <w:szCs w:val="24"/>
                <w:lang w:eastAsia="sk-SK"/>
              </w:rPr>
              <w:t xml:space="preserve"> </w:t>
            </w:r>
            <w:r w:rsidR="00312CC8" w:rsidRPr="00347F35">
              <w:rPr>
                <w:rFonts w:ascii="Times New Roman" w:eastAsia="Times New Roman" w:hAnsi="Times New Roman" w:cs="Times New Roman"/>
                <w:sz w:val="24"/>
                <w:szCs w:val="24"/>
                <w:lang w:eastAsia="sk-SK"/>
              </w:rPr>
              <w:t xml:space="preserve">vykonávalo 174 </w:t>
            </w:r>
            <w:r w:rsidR="00581235" w:rsidRPr="00347F35">
              <w:rPr>
                <w:rFonts w:ascii="Times New Roman" w:eastAsia="Times New Roman" w:hAnsi="Times New Roman" w:cs="Times New Roman"/>
                <w:sz w:val="24"/>
                <w:szCs w:val="24"/>
                <w:lang w:eastAsia="sk-SK"/>
              </w:rPr>
              <w:t>zamestnancov</w:t>
            </w:r>
            <w:r w:rsidR="00312CC8" w:rsidRPr="00347F35">
              <w:rPr>
                <w:rFonts w:ascii="Times New Roman" w:eastAsia="Times New Roman" w:hAnsi="Times New Roman" w:cs="Times New Roman"/>
                <w:sz w:val="24"/>
                <w:szCs w:val="24"/>
                <w:lang w:eastAsia="sk-SK"/>
              </w:rPr>
              <w:t xml:space="preserve">. </w:t>
            </w:r>
            <w:r w:rsidRPr="00347F35">
              <w:rPr>
                <w:rFonts w:ascii="Times New Roman" w:eastAsia="Times New Roman" w:hAnsi="Times New Roman" w:cs="Times New Roman"/>
                <w:sz w:val="24"/>
                <w:szCs w:val="24"/>
                <w:lang w:eastAsia="sk-SK"/>
              </w:rPr>
              <w:t xml:space="preserve"> </w:t>
            </w:r>
          </w:p>
          <w:p w:rsidR="00312CC8" w:rsidRPr="00347F35" w:rsidRDefault="005B5082" w:rsidP="00EC6207">
            <w:pPr>
              <w:jc w:val="both"/>
              <w:rPr>
                <w:rFonts w:ascii="Times New Roman" w:eastAsia="Times New Roman" w:hAnsi="Times New Roman" w:cs="Times New Roman"/>
                <w:sz w:val="24"/>
                <w:szCs w:val="24"/>
                <w:lang w:eastAsia="sk-SK"/>
              </w:rPr>
            </w:pPr>
            <w:r w:rsidRPr="00347F35">
              <w:rPr>
                <w:rFonts w:ascii="Times New Roman" w:eastAsia="Times New Roman" w:hAnsi="Times New Roman" w:cs="Times New Roman"/>
                <w:sz w:val="24"/>
                <w:szCs w:val="24"/>
                <w:lang w:eastAsia="sk-SK"/>
              </w:rPr>
              <w:t>S</w:t>
            </w:r>
            <w:r w:rsidR="00320891" w:rsidRPr="00347F35">
              <w:rPr>
                <w:rFonts w:ascii="Times New Roman" w:eastAsia="Times New Roman" w:hAnsi="Times New Roman" w:cs="Times New Roman"/>
                <w:sz w:val="24"/>
                <w:szCs w:val="24"/>
                <w:lang w:eastAsia="sk-SK"/>
              </w:rPr>
              <w:t> </w:t>
            </w:r>
            <w:r w:rsidRPr="00347F35">
              <w:rPr>
                <w:rFonts w:ascii="Times New Roman" w:eastAsia="Times New Roman" w:hAnsi="Times New Roman" w:cs="Times New Roman"/>
                <w:sz w:val="24"/>
                <w:szCs w:val="24"/>
                <w:lang w:eastAsia="sk-SK"/>
              </w:rPr>
              <w:t>k</w:t>
            </w:r>
            <w:r w:rsidR="00312CC8" w:rsidRPr="00347F35">
              <w:rPr>
                <w:rFonts w:ascii="Times New Roman" w:eastAsia="Times New Roman" w:hAnsi="Times New Roman" w:cs="Times New Roman"/>
                <w:sz w:val="24"/>
                <w:szCs w:val="24"/>
                <w:lang w:eastAsia="sk-SK"/>
              </w:rPr>
              <w:t>arcinogénn</w:t>
            </w:r>
            <w:r w:rsidRPr="00347F35">
              <w:rPr>
                <w:rFonts w:ascii="Times New Roman" w:eastAsia="Times New Roman" w:hAnsi="Times New Roman" w:cs="Times New Roman"/>
                <w:sz w:val="24"/>
                <w:szCs w:val="24"/>
                <w:lang w:eastAsia="sk-SK"/>
              </w:rPr>
              <w:t>ymi</w:t>
            </w:r>
            <w:r w:rsidR="00320891" w:rsidRPr="00347F35">
              <w:rPr>
                <w:rFonts w:ascii="Times New Roman" w:eastAsia="Times New Roman" w:hAnsi="Times New Roman" w:cs="Times New Roman"/>
                <w:sz w:val="24"/>
                <w:szCs w:val="24"/>
                <w:lang w:eastAsia="sk-SK"/>
              </w:rPr>
              <w:t xml:space="preserve"> faktormi</w:t>
            </w:r>
            <w:r w:rsidR="00312CC8" w:rsidRPr="00347F35">
              <w:rPr>
                <w:rFonts w:ascii="Times New Roman" w:eastAsia="Times New Roman" w:hAnsi="Times New Roman" w:cs="Times New Roman"/>
                <w:sz w:val="24"/>
                <w:szCs w:val="24"/>
                <w:lang w:eastAsia="sk-SK"/>
              </w:rPr>
              <w:t xml:space="preserve"> a</w:t>
            </w:r>
            <w:r w:rsidRPr="00347F35">
              <w:rPr>
                <w:rFonts w:ascii="Times New Roman" w:eastAsia="Times New Roman" w:hAnsi="Times New Roman" w:cs="Times New Roman"/>
                <w:sz w:val="24"/>
                <w:szCs w:val="24"/>
                <w:lang w:eastAsia="sk-SK"/>
              </w:rPr>
              <w:t> </w:t>
            </w:r>
            <w:r w:rsidR="00312CC8" w:rsidRPr="00347F35">
              <w:rPr>
                <w:rFonts w:ascii="Times New Roman" w:eastAsia="Times New Roman" w:hAnsi="Times New Roman" w:cs="Times New Roman"/>
                <w:sz w:val="24"/>
                <w:szCs w:val="24"/>
                <w:lang w:eastAsia="sk-SK"/>
              </w:rPr>
              <w:t>mutagénn</w:t>
            </w:r>
            <w:r w:rsidRPr="00347F35">
              <w:rPr>
                <w:rFonts w:ascii="Times New Roman" w:eastAsia="Times New Roman" w:hAnsi="Times New Roman" w:cs="Times New Roman"/>
                <w:sz w:val="24"/>
                <w:szCs w:val="24"/>
                <w:lang w:eastAsia="sk-SK"/>
              </w:rPr>
              <w:t>ymi faktormi</w:t>
            </w:r>
            <w:r w:rsidR="00312CC8" w:rsidRPr="00347F35">
              <w:rPr>
                <w:rFonts w:ascii="Times New Roman" w:eastAsia="Times New Roman" w:hAnsi="Times New Roman" w:cs="Times New Roman"/>
                <w:sz w:val="24"/>
                <w:szCs w:val="24"/>
                <w:lang w:eastAsia="sk-SK"/>
              </w:rPr>
              <w:t>, u ktorých sa sprísňuj</w:t>
            </w:r>
            <w:r w:rsidRPr="00347F35">
              <w:rPr>
                <w:rFonts w:ascii="Times New Roman" w:eastAsia="Times New Roman" w:hAnsi="Times New Roman" w:cs="Times New Roman"/>
                <w:sz w:val="24"/>
                <w:szCs w:val="24"/>
                <w:lang w:eastAsia="sk-SK"/>
              </w:rPr>
              <w:t>ú najvyššie prípustné expozičné limity (NPEL) podľa údajov z </w:t>
            </w:r>
            <w:r w:rsidR="00581235" w:rsidRPr="00347F35">
              <w:rPr>
                <w:rFonts w:ascii="Times New Roman" w:eastAsia="Times New Roman" w:hAnsi="Times New Roman" w:cs="Times New Roman"/>
                <w:sz w:val="24"/>
                <w:szCs w:val="24"/>
                <w:lang w:eastAsia="sk-SK"/>
              </w:rPr>
              <w:t xml:space="preserve">centrálneho registra rizikových prác Úradu verejného zdravotníctva Slovenskej republiky </w:t>
            </w:r>
            <w:r w:rsidRPr="00347F35">
              <w:rPr>
                <w:rFonts w:ascii="Times New Roman" w:eastAsia="Times New Roman" w:hAnsi="Times New Roman" w:cs="Times New Roman"/>
                <w:sz w:val="24"/>
                <w:szCs w:val="24"/>
                <w:lang w:eastAsia="sk-SK"/>
              </w:rPr>
              <w:t xml:space="preserve">vykonáva rizikovú prácu s chemickou látkou </w:t>
            </w:r>
            <w:r w:rsidRPr="00347F35">
              <w:rPr>
                <w:rFonts w:ascii="Times New Roman" w:eastAsia="Times New Roman" w:hAnsi="Times New Roman" w:cs="Times New Roman"/>
                <w:i/>
                <w:iCs/>
                <w:sz w:val="24"/>
                <w:szCs w:val="24"/>
                <w:lang w:eastAsia="sk-SK"/>
              </w:rPr>
              <w:t>benzén</w:t>
            </w:r>
            <w:r w:rsidRPr="00347F35">
              <w:rPr>
                <w:rFonts w:ascii="Times New Roman" w:eastAsia="Times New Roman" w:hAnsi="Times New Roman" w:cs="Times New Roman"/>
                <w:sz w:val="24"/>
                <w:szCs w:val="24"/>
                <w:lang w:eastAsia="sk-SK"/>
              </w:rPr>
              <w:t xml:space="preserve"> 314 </w:t>
            </w:r>
            <w:r w:rsidR="00581235" w:rsidRPr="00347F35">
              <w:rPr>
                <w:rFonts w:ascii="Times New Roman" w:eastAsia="Times New Roman" w:hAnsi="Times New Roman" w:cs="Times New Roman"/>
                <w:sz w:val="24"/>
                <w:szCs w:val="24"/>
                <w:lang w:eastAsia="sk-SK"/>
              </w:rPr>
              <w:t>zamestnancov</w:t>
            </w:r>
            <w:r w:rsidRPr="00347F35">
              <w:rPr>
                <w:rFonts w:ascii="Times New Roman" w:eastAsia="Times New Roman" w:hAnsi="Times New Roman" w:cs="Times New Roman"/>
                <w:sz w:val="24"/>
                <w:szCs w:val="24"/>
                <w:lang w:eastAsia="sk-SK"/>
              </w:rPr>
              <w:t xml:space="preserve">, so </w:t>
            </w:r>
            <w:r w:rsidRPr="00347F35">
              <w:rPr>
                <w:rFonts w:ascii="Times New Roman" w:eastAsia="Times New Roman" w:hAnsi="Times New Roman" w:cs="Times New Roman"/>
                <w:i/>
                <w:iCs/>
                <w:sz w:val="24"/>
                <w:szCs w:val="24"/>
                <w:lang w:eastAsia="sk-SK"/>
              </w:rPr>
              <w:t>zlúčeninami niklu</w:t>
            </w:r>
            <w:r w:rsidRPr="00347F35">
              <w:rPr>
                <w:rFonts w:ascii="Times New Roman" w:eastAsia="Times New Roman" w:hAnsi="Times New Roman" w:cs="Times New Roman"/>
                <w:sz w:val="24"/>
                <w:szCs w:val="24"/>
                <w:lang w:eastAsia="sk-SK"/>
              </w:rPr>
              <w:t xml:space="preserve"> 9 </w:t>
            </w:r>
            <w:r w:rsidR="00581235" w:rsidRPr="00347F35">
              <w:rPr>
                <w:rFonts w:ascii="Times New Roman" w:eastAsia="Times New Roman" w:hAnsi="Times New Roman" w:cs="Times New Roman"/>
                <w:sz w:val="24"/>
                <w:szCs w:val="24"/>
                <w:lang w:eastAsia="sk-SK"/>
              </w:rPr>
              <w:t>zamestnancov</w:t>
            </w:r>
            <w:r w:rsidRPr="00347F35">
              <w:rPr>
                <w:rFonts w:ascii="Times New Roman" w:eastAsia="Times New Roman" w:hAnsi="Times New Roman" w:cs="Times New Roman"/>
                <w:sz w:val="24"/>
                <w:szCs w:val="24"/>
                <w:lang w:eastAsia="sk-SK"/>
              </w:rPr>
              <w:t xml:space="preserve"> a s chemickou látkou </w:t>
            </w:r>
            <w:r w:rsidRPr="00347F35">
              <w:rPr>
                <w:rFonts w:ascii="Times New Roman" w:eastAsia="Times New Roman" w:hAnsi="Times New Roman" w:cs="Times New Roman"/>
                <w:i/>
                <w:iCs/>
                <w:sz w:val="24"/>
                <w:szCs w:val="24"/>
                <w:lang w:eastAsia="sk-SK"/>
              </w:rPr>
              <w:t>akrylonitril</w:t>
            </w:r>
            <w:r w:rsidRPr="00347F35">
              <w:rPr>
                <w:rFonts w:ascii="Times New Roman" w:eastAsia="Times New Roman" w:hAnsi="Times New Roman" w:cs="Times New Roman"/>
                <w:sz w:val="24"/>
                <w:szCs w:val="24"/>
                <w:lang w:eastAsia="sk-SK"/>
              </w:rPr>
              <w:t xml:space="preserve"> žiadny </w:t>
            </w:r>
            <w:r w:rsidR="00581235" w:rsidRPr="00347F35">
              <w:rPr>
                <w:rFonts w:ascii="Times New Roman" w:eastAsia="Times New Roman" w:hAnsi="Times New Roman" w:cs="Times New Roman"/>
                <w:sz w:val="24"/>
                <w:szCs w:val="24"/>
                <w:lang w:eastAsia="sk-SK"/>
              </w:rPr>
              <w:t>zamestnanec</w:t>
            </w:r>
            <w:r w:rsidRPr="00347F35">
              <w:rPr>
                <w:rFonts w:ascii="Times New Roman" w:eastAsia="Times New Roman" w:hAnsi="Times New Roman" w:cs="Times New Roman"/>
                <w:sz w:val="24"/>
                <w:szCs w:val="24"/>
                <w:lang w:eastAsia="sk-SK"/>
              </w:rPr>
              <w:t xml:space="preserve">. </w:t>
            </w:r>
          </w:p>
          <w:p w:rsidR="00FD6ED9" w:rsidRPr="00347F35" w:rsidRDefault="00FD6ED9" w:rsidP="00197E5F">
            <w:pPr>
              <w:pStyle w:val="Normlnywebov"/>
              <w:spacing w:after="160"/>
              <w:jc w:val="both"/>
            </w:pPr>
            <w:r w:rsidRPr="00347F35">
              <w:t xml:space="preserve">Reprodukčne toxické faktory môžu byť príčinou nepriaznivých účinkov na pohlavné funkcie a plodnosť dospelých mužov a žien, na laktáciu žien, ako aj na vývoj potomstva; podobne ako karcinogénne </w:t>
            </w:r>
            <w:r w:rsidR="00320891" w:rsidRPr="00347F35">
              <w:t xml:space="preserve">faktory </w:t>
            </w:r>
            <w:r w:rsidRPr="00347F35">
              <w:t xml:space="preserve">a mutagénne faktory patria medzi látky vzbudzujúce veľmi veľké obavy z dôvodu, že môžu mať vážne a nezvratné účinky na zdravie zamestnancov. Z tohto dôvodu sa v návrhu nariadenia vlády dopĺňajú prísnejšie opatrenia na ochranu zdravia zamestnancov exponovaných reprodukčne toxickým faktorom. Z dlhodobého hľadiska tak môže byť zabezpečená návratnosť vynaložených finančných prostriedkov. </w:t>
            </w:r>
          </w:p>
          <w:p w:rsidR="00FD6ED9" w:rsidRPr="00347F35" w:rsidRDefault="00FD6ED9" w:rsidP="00197E5F">
            <w:pPr>
              <w:pStyle w:val="Normlnywebov"/>
              <w:spacing w:after="160"/>
              <w:jc w:val="both"/>
            </w:pPr>
            <w:r w:rsidRPr="00347F35">
              <w:t xml:space="preserve">Ekonomické náklady zamestnávateľov sú zanedbateľné oproti škodám, ktoré môžu vzniknúť na zdraví zamestnancov v súvislosti s prácou s reprodukčne toxickými faktormi.  </w:t>
            </w:r>
          </w:p>
          <w:p w:rsidR="001B23B7" w:rsidRPr="00347F35" w:rsidRDefault="001B23B7" w:rsidP="00271704">
            <w:pPr>
              <w:jc w:val="both"/>
              <w:rPr>
                <w:rFonts w:ascii="Times New Roman" w:eastAsia="Calibri" w:hAnsi="Times New Roman" w:cs="Times New Roman"/>
                <w:b/>
              </w:rPr>
            </w:pPr>
          </w:p>
        </w:tc>
      </w:tr>
      <w:tr w:rsidR="00347F35" w:rsidRPr="00347F35" w:rsidTr="006E554D">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t>Kontakt na spracovateľa</w:t>
            </w:r>
          </w:p>
        </w:tc>
      </w:tr>
      <w:tr w:rsidR="00347F35" w:rsidRPr="00347F35" w:rsidTr="006E554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73CBB" w:rsidRPr="00347F35" w:rsidRDefault="00EC6207" w:rsidP="00073CBB">
            <w:pPr>
              <w:spacing w:line="276" w:lineRule="auto"/>
              <w:rPr>
                <w:rFonts w:ascii="Times New Roman" w:hAnsi="Times New Roman" w:cs="Times New Roman"/>
                <w:sz w:val="24"/>
                <w:szCs w:val="24"/>
              </w:rPr>
            </w:pPr>
            <w:r w:rsidRPr="00347F35">
              <w:rPr>
                <w:rFonts w:ascii="Times New Roman" w:hAnsi="Times New Roman" w:cs="Times New Roman"/>
                <w:sz w:val="24"/>
                <w:szCs w:val="24"/>
              </w:rPr>
              <w:t>Mgr. Miroslava Hrčková</w:t>
            </w:r>
          </w:p>
          <w:p w:rsidR="00073CBB" w:rsidRPr="00347F35" w:rsidRDefault="00073CBB" w:rsidP="00073CBB">
            <w:pPr>
              <w:spacing w:line="276" w:lineRule="auto"/>
              <w:rPr>
                <w:rFonts w:ascii="Times New Roman" w:hAnsi="Times New Roman" w:cs="Times New Roman"/>
                <w:sz w:val="24"/>
                <w:szCs w:val="24"/>
              </w:rPr>
            </w:pPr>
            <w:r w:rsidRPr="00347F35">
              <w:rPr>
                <w:rFonts w:ascii="Times New Roman" w:hAnsi="Times New Roman" w:cs="Times New Roman"/>
                <w:sz w:val="24"/>
                <w:szCs w:val="24"/>
              </w:rPr>
              <w:t>Úrad verejného zdravotníctva SR</w:t>
            </w:r>
          </w:p>
          <w:p w:rsidR="00073CBB" w:rsidRPr="00347F35" w:rsidRDefault="00073CBB" w:rsidP="00073CBB">
            <w:pPr>
              <w:spacing w:line="276" w:lineRule="auto"/>
              <w:rPr>
                <w:rFonts w:ascii="Times New Roman" w:hAnsi="Times New Roman" w:cs="Times New Roman"/>
                <w:sz w:val="24"/>
                <w:szCs w:val="24"/>
              </w:rPr>
            </w:pPr>
            <w:r w:rsidRPr="00347F35">
              <w:rPr>
                <w:rFonts w:ascii="Times New Roman" w:hAnsi="Times New Roman" w:cs="Times New Roman"/>
                <w:sz w:val="24"/>
                <w:szCs w:val="24"/>
              </w:rPr>
              <w:lastRenderedPageBreak/>
              <w:t>tel.: + 421 2 49 284 248 </w:t>
            </w:r>
          </w:p>
          <w:p w:rsidR="00073CBB" w:rsidRPr="00347F35" w:rsidRDefault="00F45543" w:rsidP="00073CBB">
            <w:pPr>
              <w:rPr>
                <w:rStyle w:val="Hypertextovprepojenie"/>
                <w:rFonts w:ascii="Times New Roman" w:hAnsi="Times New Roman"/>
                <w:color w:val="auto"/>
                <w:sz w:val="24"/>
                <w:szCs w:val="24"/>
              </w:rPr>
            </w:pPr>
            <w:hyperlink r:id="rId9" w:history="1">
              <w:r w:rsidR="00073CBB" w:rsidRPr="00347F35">
                <w:rPr>
                  <w:rStyle w:val="Hypertextovprepojenie"/>
                  <w:rFonts w:ascii="Times New Roman" w:hAnsi="Times New Roman"/>
                  <w:color w:val="auto"/>
                  <w:sz w:val="24"/>
                  <w:szCs w:val="24"/>
                </w:rPr>
                <w:t>ppl@uvzsr.sk</w:t>
              </w:r>
            </w:hyperlink>
          </w:p>
          <w:p w:rsidR="00073CBB" w:rsidRPr="00347F35" w:rsidRDefault="00073CBB" w:rsidP="00073CBB">
            <w:pPr>
              <w:rPr>
                <w:rFonts w:ascii="Times New Roman" w:eastAsia="Times New Roman" w:hAnsi="Times New Roman" w:cs="Times New Roman"/>
                <w:i/>
                <w:sz w:val="20"/>
                <w:szCs w:val="20"/>
                <w:lang w:eastAsia="sk-SK"/>
              </w:rPr>
            </w:pPr>
          </w:p>
        </w:tc>
      </w:tr>
      <w:tr w:rsidR="00347F35" w:rsidRPr="00347F35" w:rsidTr="006E554D">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26"/>
              <w:contextualSpacing/>
              <w:rPr>
                <w:rFonts w:ascii="Times New Roman" w:eastAsia="Calibri" w:hAnsi="Times New Roman" w:cs="Times New Roman"/>
                <w:b/>
              </w:rPr>
            </w:pPr>
            <w:r w:rsidRPr="00347F35">
              <w:rPr>
                <w:rFonts w:ascii="Times New Roman" w:eastAsia="Calibri" w:hAnsi="Times New Roman" w:cs="Times New Roman"/>
                <w:b/>
              </w:rPr>
              <w:lastRenderedPageBreak/>
              <w:t>Zdroje</w:t>
            </w:r>
          </w:p>
        </w:tc>
      </w:tr>
      <w:tr w:rsidR="00347F35" w:rsidRPr="00347F35" w:rsidTr="006E554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C6207" w:rsidRPr="00347F35" w:rsidRDefault="00EC6207" w:rsidP="00EC6207">
            <w:pPr>
              <w:pStyle w:val="Odsekzoznamu"/>
              <w:numPr>
                <w:ilvl w:val="0"/>
                <w:numId w:val="2"/>
              </w:numPr>
              <w:ind w:left="306" w:hanging="284"/>
              <w:jc w:val="both"/>
              <w:rPr>
                <w:rFonts w:ascii="Times New Roman" w:eastAsia="Calibri" w:hAnsi="Times New Roman" w:cs="Times New Roman"/>
                <w:sz w:val="24"/>
                <w:szCs w:val="24"/>
              </w:rPr>
            </w:pPr>
            <w:r w:rsidRPr="00347F35">
              <w:rPr>
                <w:rFonts w:ascii="Times New Roman" w:eastAsia="Calibri" w:hAnsi="Times New Roman" w:cs="Times New Roman"/>
                <w:sz w:val="24"/>
                <w:szCs w:val="24"/>
              </w:rPr>
              <w:t>Právne predpisy SR, Slov-Lex</w:t>
            </w:r>
          </w:p>
          <w:p w:rsidR="00EC6207" w:rsidRPr="00347F35" w:rsidRDefault="00EC6207" w:rsidP="00EC6207">
            <w:pPr>
              <w:pStyle w:val="Odsekzoznamu"/>
              <w:numPr>
                <w:ilvl w:val="0"/>
                <w:numId w:val="2"/>
              </w:numPr>
              <w:ind w:left="306" w:hanging="284"/>
              <w:jc w:val="both"/>
              <w:rPr>
                <w:rFonts w:ascii="Times New Roman" w:eastAsia="Times New Roman" w:hAnsi="Times New Roman" w:cs="Times New Roman"/>
                <w:i/>
                <w:sz w:val="24"/>
                <w:szCs w:val="24"/>
                <w:lang w:eastAsia="sk-SK"/>
              </w:rPr>
            </w:pPr>
            <w:r w:rsidRPr="00347F35">
              <w:rPr>
                <w:rFonts w:ascii="Times New Roman" w:hAnsi="Times New Roman" w:cs="Times New Roman"/>
                <w:sz w:val="24"/>
                <w:szCs w:val="24"/>
              </w:rPr>
              <w:t xml:space="preserve">Smernica Európskeho parlamentu a Rady (EÚ) 2022/431 z 9. marca 2022, ktorou sa mení smernica 2004/37/ES o ochrane pracovníkov pred rizikami súvisiacimi s expozíciou karcinogénom alebo mutagénom pri práci (Ú. </w:t>
            </w:r>
            <w:r w:rsidR="006E554D" w:rsidRPr="00347F35">
              <w:rPr>
                <w:rFonts w:ascii="Times New Roman" w:hAnsi="Times New Roman" w:cs="Times New Roman"/>
                <w:sz w:val="24"/>
                <w:szCs w:val="24"/>
              </w:rPr>
              <w:t>v</w:t>
            </w:r>
            <w:r w:rsidRPr="00347F35">
              <w:rPr>
                <w:rFonts w:ascii="Times New Roman" w:hAnsi="Times New Roman" w:cs="Times New Roman"/>
                <w:sz w:val="24"/>
                <w:szCs w:val="24"/>
              </w:rPr>
              <w:t>. EÚ L 88, 16.03.2022)</w:t>
            </w:r>
          </w:p>
          <w:p w:rsidR="00AB5082" w:rsidRPr="00347F35" w:rsidRDefault="00AB5082" w:rsidP="00EC6207">
            <w:pPr>
              <w:pStyle w:val="Odsekzoznamu"/>
              <w:numPr>
                <w:ilvl w:val="0"/>
                <w:numId w:val="2"/>
              </w:numPr>
              <w:ind w:left="306" w:hanging="284"/>
              <w:jc w:val="both"/>
              <w:rPr>
                <w:rFonts w:ascii="Times New Roman" w:eastAsia="Times New Roman" w:hAnsi="Times New Roman" w:cs="Times New Roman"/>
                <w:i/>
                <w:sz w:val="24"/>
                <w:szCs w:val="24"/>
                <w:lang w:eastAsia="sk-SK"/>
              </w:rPr>
            </w:pPr>
            <w:r w:rsidRPr="00347F35">
              <w:rPr>
                <w:rFonts w:ascii="Times New Roman" w:hAnsi="Times New Roman" w:cs="Times New Roman"/>
                <w:sz w:val="24"/>
                <w:szCs w:val="24"/>
              </w:rPr>
              <w:t>Study to collect recent information relevant to modernising EU Occupational Safety and health chemicals legislation with the view to analyse the health, socio-economic and enviromental inpacts in connection with possible impacts in connection with possible amendments of Directive  2004/37/EC and Directive 98/24/EC, Final repost – Baseline assesment, March 2019</w:t>
            </w:r>
          </w:p>
          <w:p w:rsidR="00E46420" w:rsidRPr="00347F35" w:rsidRDefault="00ED23F0" w:rsidP="00EC6207">
            <w:pPr>
              <w:pStyle w:val="Odsekzoznamu"/>
              <w:numPr>
                <w:ilvl w:val="0"/>
                <w:numId w:val="2"/>
              </w:numPr>
              <w:ind w:left="306" w:hanging="284"/>
              <w:jc w:val="both"/>
              <w:rPr>
                <w:rFonts w:ascii="Times New Roman" w:eastAsia="Times New Roman" w:hAnsi="Times New Roman" w:cs="Times New Roman"/>
                <w:i/>
                <w:sz w:val="24"/>
                <w:szCs w:val="24"/>
                <w:lang w:eastAsia="sk-SK"/>
              </w:rPr>
            </w:pPr>
            <w:r w:rsidRPr="00347F35">
              <w:rPr>
                <w:rFonts w:ascii="Times New Roman" w:hAnsi="Times New Roman" w:cs="Times New Roman"/>
                <w:sz w:val="24"/>
                <w:szCs w:val="24"/>
              </w:rPr>
              <w:t xml:space="preserve">centrálny register rizikových prác </w:t>
            </w:r>
          </w:p>
          <w:p w:rsidR="001B23B7" w:rsidRPr="00347F35" w:rsidRDefault="001B23B7" w:rsidP="006E554D">
            <w:pPr>
              <w:rPr>
                <w:rFonts w:ascii="Times New Roman" w:eastAsia="Times New Roman" w:hAnsi="Times New Roman" w:cs="Times New Roman"/>
                <w:b/>
                <w:sz w:val="20"/>
                <w:szCs w:val="20"/>
                <w:lang w:eastAsia="sk-SK"/>
              </w:rPr>
            </w:pPr>
          </w:p>
        </w:tc>
      </w:tr>
      <w:tr w:rsidR="00347F35" w:rsidRPr="00347F35" w:rsidTr="006E554D">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347F35" w:rsidRDefault="001B23B7" w:rsidP="006E554D">
            <w:pPr>
              <w:numPr>
                <w:ilvl w:val="0"/>
                <w:numId w:val="1"/>
              </w:numPr>
              <w:ind w:left="447" w:hanging="425"/>
              <w:contextualSpacing/>
              <w:rPr>
                <w:rFonts w:ascii="Times New Roman" w:eastAsia="Calibri" w:hAnsi="Times New Roman" w:cs="Times New Roman"/>
                <w:b/>
              </w:rPr>
            </w:pPr>
            <w:r w:rsidRPr="00347F35">
              <w:rPr>
                <w:rFonts w:ascii="Times New Roman" w:eastAsia="Calibri" w:hAnsi="Times New Roman" w:cs="Times New Roman"/>
                <w:b/>
              </w:rPr>
              <w:t xml:space="preserve">Stanovisko Komisie na posudzovanie vybraných vplyvov z PPK č. </w:t>
            </w:r>
            <w:r w:rsidR="0092554C" w:rsidRPr="00347F35">
              <w:rPr>
                <w:rFonts w:ascii="Times New Roman" w:eastAsia="Calibri" w:hAnsi="Times New Roman" w:cs="Times New Roman"/>
                <w:b/>
              </w:rPr>
              <w:t>139/2023</w:t>
            </w:r>
            <w:r w:rsidRPr="00347F35">
              <w:rPr>
                <w:rFonts w:ascii="Calibri" w:eastAsia="Calibri" w:hAnsi="Calibri" w:cs="Times New Roman"/>
              </w:rPr>
              <w:t xml:space="preserve"> </w:t>
            </w:r>
          </w:p>
          <w:p w:rsidR="001B23B7" w:rsidRPr="00347F35" w:rsidRDefault="001B23B7" w:rsidP="006E554D">
            <w:pPr>
              <w:ind w:left="502"/>
              <w:rPr>
                <w:rFonts w:ascii="Times New Roman" w:eastAsia="Times New Roman" w:hAnsi="Times New Roman" w:cs="Times New Roman"/>
                <w:b/>
                <w:sz w:val="20"/>
                <w:szCs w:val="20"/>
                <w:lang w:eastAsia="sk-SK"/>
              </w:rPr>
            </w:pPr>
            <w:r w:rsidRPr="00347F35">
              <w:rPr>
                <w:rFonts w:ascii="Times New Roman" w:eastAsia="Calibri" w:hAnsi="Times New Roman" w:cs="Times New Roman"/>
              </w:rPr>
              <w:t>(v prípade, ak sa uskutočnilo v zmysle bodu 8.1 Jednotnej metodiky)</w:t>
            </w:r>
          </w:p>
        </w:tc>
      </w:tr>
      <w:tr w:rsidR="00347F35" w:rsidRPr="00347F35"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347F35" w:rsidRDefault="001B23B7" w:rsidP="006E554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7F35" w:rsidRPr="00347F35" w:rsidTr="006E554D">
              <w:trPr>
                <w:trHeight w:val="396"/>
              </w:trPr>
              <w:tc>
                <w:tcPr>
                  <w:tcW w:w="2552" w:type="dxa"/>
                </w:tcPr>
                <w:p w:rsidR="001B23B7" w:rsidRPr="00347F35" w:rsidRDefault="00F45543" w:rsidP="006E554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sidRPr="00347F35">
                        <w:rPr>
                          <w:rFonts w:ascii="MS Gothic" w:eastAsia="MS Gothic" w:hAnsi="MS Gothic" w:cs="Times New Roman" w:hint="eastAsia"/>
                          <w:b/>
                          <w:sz w:val="20"/>
                          <w:szCs w:val="20"/>
                          <w:lang w:eastAsia="sk-SK"/>
                        </w:rPr>
                        <w:t>☐</w:t>
                      </w:r>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 xml:space="preserve">Súhlasné </w:t>
                  </w:r>
                </w:p>
              </w:tc>
              <w:tc>
                <w:tcPr>
                  <w:tcW w:w="3827" w:type="dxa"/>
                </w:tcPr>
                <w:p w:rsidR="001B23B7" w:rsidRPr="00347F35" w:rsidRDefault="00F45543" w:rsidP="006E554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sdt>
                        <w:sdtPr>
                          <w:rPr>
                            <w:rFonts w:ascii="Times New Roman" w:eastAsia="Times New Roman" w:hAnsi="Times New Roman" w:cs="Times New Roman"/>
                            <w:b/>
                            <w:sz w:val="20"/>
                            <w:szCs w:val="20"/>
                            <w:lang w:eastAsia="sk-SK"/>
                          </w:rPr>
                          <w:id w:val="-1075590429"/>
                        </w:sdtPr>
                        <w:sdtEndPr/>
                        <w:sdtContent>
                          <w:r w:rsidR="00F073AB" w:rsidRPr="00347F35">
                            <w:rPr>
                              <w:rFonts w:ascii="MS Gothic" w:eastAsia="MS Gothic" w:hAnsi="MS Gothic" w:cs="Times New Roman" w:hint="eastAsia"/>
                              <w:b/>
                              <w:sz w:val="20"/>
                              <w:szCs w:val="20"/>
                              <w:lang w:eastAsia="sk-SK"/>
                            </w:rPr>
                            <w:t>☒</w:t>
                          </w:r>
                        </w:sdtContent>
                      </w:sdt>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Súhlasné s návrhom na dopracovanie</w:t>
                  </w:r>
                </w:p>
              </w:tc>
              <w:tc>
                <w:tcPr>
                  <w:tcW w:w="2534" w:type="dxa"/>
                </w:tcPr>
                <w:p w:rsidR="001B23B7" w:rsidRPr="00347F35" w:rsidRDefault="00F45543" w:rsidP="006E554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23360B" w:rsidRPr="00347F35">
                        <w:rPr>
                          <w:rFonts w:ascii="MS Gothic" w:eastAsia="MS Gothic" w:hAnsi="MS Gothic" w:cs="Times New Roman" w:hint="eastAsia"/>
                          <w:b/>
                          <w:sz w:val="20"/>
                          <w:szCs w:val="20"/>
                          <w:lang w:eastAsia="sk-SK"/>
                        </w:rPr>
                        <w:t>☐</w:t>
                      </w:r>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Nesúhlasné</w:t>
                  </w:r>
                </w:p>
              </w:tc>
            </w:tr>
          </w:tbl>
          <w:p w:rsidR="001B23B7" w:rsidRPr="00347F35" w:rsidRDefault="001B23B7" w:rsidP="006E554D">
            <w:pPr>
              <w:jc w:val="both"/>
              <w:rPr>
                <w:rFonts w:ascii="Times New Roman" w:eastAsia="Times New Roman" w:hAnsi="Times New Roman" w:cs="Times New Roman"/>
                <w:b/>
                <w:sz w:val="24"/>
                <w:szCs w:val="24"/>
                <w:lang w:eastAsia="sk-SK"/>
              </w:rPr>
            </w:pPr>
            <w:r w:rsidRPr="00347F35">
              <w:rPr>
                <w:rFonts w:ascii="Times New Roman" w:eastAsia="Times New Roman" w:hAnsi="Times New Roman" w:cs="Times New Roman"/>
                <w:b/>
                <w:sz w:val="24"/>
                <w:szCs w:val="24"/>
                <w:lang w:eastAsia="sk-SK"/>
              </w:rPr>
              <w:t>Uveďte pripomienky zo stanoviska Komisie z časti II. spolu s Vaším vyhodnotením:</w:t>
            </w:r>
          </w:p>
          <w:p w:rsidR="001B23B7" w:rsidRPr="00347F35" w:rsidRDefault="001B23B7" w:rsidP="006E554D">
            <w:pPr>
              <w:rPr>
                <w:rFonts w:ascii="Times New Roman" w:eastAsia="Times New Roman" w:hAnsi="Times New Roman" w:cs="Times New Roman"/>
                <w:b/>
                <w:sz w:val="24"/>
                <w:szCs w:val="24"/>
                <w:lang w:eastAsia="sk-SK"/>
              </w:rPr>
            </w:pPr>
          </w:p>
          <w:p w:rsidR="00F073AB" w:rsidRPr="00347F35" w:rsidRDefault="00F073AB" w:rsidP="00F073AB">
            <w:pPr>
              <w:jc w:val="both"/>
              <w:rPr>
                <w:rFonts w:ascii="Times New Roman" w:hAnsi="Times New Roman" w:cs="Times New Roman"/>
                <w:sz w:val="24"/>
                <w:szCs w:val="24"/>
              </w:rPr>
            </w:pPr>
            <w:r w:rsidRPr="00347F35">
              <w:rPr>
                <w:rFonts w:ascii="Times New Roman" w:hAnsi="Times New Roman" w:cs="Times New Roman"/>
                <w:sz w:val="24"/>
                <w:szCs w:val="24"/>
              </w:rPr>
              <w:t xml:space="preserve">Stála pracovná komisia na posudzovanie vybraných vplyvov vyjadruje </w:t>
            </w:r>
            <w:r w:rsidRPr="00347F35">
              <w:rPr>
                <w:rFonts w:ascii="Times New Roman" w:hAnsi="Times New Roman" w:cs="Times New Roman"/>
                <w:b/>
                <w:bCs/>
                <w:sz w:val="24"/>
                <w:szCs w:val="24"/>
                <w:lang w:eastAsia="sk-SK"/>
              </w:rPr>
              <w:t>súhlasné stanovisko s návrhom na dopracovanie</w:t>
            </w:r>
            <w:r w:rsidRPr="00347F35">
              <w:rPr>
                <w:rFonts w:ascii="Times New Roman" w:hAnsi="Times New Roman" w:cs="Times New Roman"/>
                <w:sz w:val="24"/>
                <w:szCs w:val="24"/>
                <w:lang w:eastAsia="sk-SK"/>
              </w:rPr>
              <w:t> s materiálom predloženým na predbežné pripomienkové konanie s odporúčaním na jeho dopracovanie podľa pripomienok v bode II.</w:t>
            </w:r>
          </w:p>
          <w:p w:rsidR="00F073AB" w:rsidRPr="00347F35" w:rsidRDefault="00F073AB" w:rsidP="00F073AB">
            <w:pPr>
              <w:jc w:val="both"/>
              <w:rPr>
                <w:rFonts w:ascii="Times New Roman" w:hAnsi="Times New Roman" w:cs="Times New Roman"/>
                <w:sz w:val="24"/>
                <w:szCs w:val="24"/>
              </w:rPr>
            </w:pPr>
          </w:p>
          <w:p w:rsidR="00F073AB" w:rsidRPr="00347F35" w:rsidRDefault="00F073AB" w:rsidP="00F073AB">
            <w:pPr>
              <w:spacing w:after="160" w:line="259" w:lineRule="auto"/>
              <w:jc w:val="both"/>
              <w:rPr>
                <w:rFonts w:ascii="Times New Roman" w:hAnsi="Times New Roman" w:cs="Times New Roman"/>
                <w:sz w:val="24"/>
                <w:szCs w:val="24"/>
              </w:rPr>
            </w:pPr>
            <w:r w:rsidRPr="00347F35">
              <w:rPr>
                <w:rFonts w:ascii="Times New Roman" w:hAnsi="Times New Roman" w:cs="Times New Roman"/>
                <w:bCs/>
                <w:sz w:val="24"/>
                <w:szCs w:val="24"/>
              </w:rPr>
              <w:t>Komisia uplatňuje k materiálu nasledovné pripomienky a odporúčania:</w:t>
            </w:r>
          </w:p>
          <w:p w:rsidR="00F073AB" w:rsidRPr="00347F35" w:rsidRDefault="00F073AB" w:rsidP="00F073AB">
            <w:pPr>
              <w:tabs>
                <w:tab w:val="center" w:pos="6379"/>
              </w:tabs>
              <w:ind w:right="-2"/>
              <w:jc w:val="both"/>
              <w:rPr>
                <w:rFonts w:ascii="Times New Roman" w:hAnsi="Times New Roman" w:cs="Times New Roman"/>
                <w:b/>
                <w:bCs/>
                <w:sz w:val="24"/>
                <w:szCs w:val="24"/>
              </w:rPr>
            </w:pPr>
            <w:r w:rsidRPr="00347F35">
              <w:rPr>
                <w:rFonts w:ascii="Times New Roman" w:hAnsi="Times New Roman" w:cs="Times New Roman"/>
                <w:b/>
                <w:bCs/>
                <w:sz w:val="24"/>
                <w:szCs w:val="24"/>
              </w:rPr>
              <w:t xml:space="preserve">K sociálnym vplyvom </w:t>
            </w:r>
          </w:p>
          <w:p w:rsidR="00F073AB" w:rsidRPr="00347F35" w:rsidRDefault="00F073AB" w:rsidP="00F073AB">
            <w:pPr>
              <w:jc w:val="both"/>
              <w:rPr>
                <w:rFonts w:ascii="Times New Roman" w:hAnsi="Times New Roman" w:cs="Times New Roman"/>
                <w:sz w:val="24"/>
                <w:szCs w:val="24"/>
              </w:rPr>
            </w:pPr>
            <w:r w:rsidRPr="00347F35">
              <w:rPr>
                <w:rFonts w:ascii="Times New Roman" w:hAnsi="Times New Roman" w:cs="Times New Roman"/>
                <w:sz w:val="24"/>
                <w:szCs w:val="24"/>
              </w:rPr>
              <w:t xml:space="preserve">Analýzu sociálnych vplyvov je potrebné v bode 4.2 dopracovať tak, aby z nej bolo  zrejmé, aké konkrétne opatrenia v rámci predkladaného návrhu v porovnaní so súčasným (nielen) právnym stavom budú zabezpečovať  zlepšenie bezpečnosti a ochrany zdravia zamestnancov pri práci. Analýzu sociálnych vplyvov je potrebné vypracovať tak, aby boli  návrhy opatrení so sociálnymi vplyvmi hodnotené, pokiaľ možno, jednotlivo, pri každom hodnotenom návrhu opatrenia bol zrejmý jeho opis, vplyv, porovnanie navrhovaného opatrenia so súčasným stavom, špecifikácia dotknutých skupín a kvalitatívne a  aj kvantitatívne zhodnotenie sociálnych vplyvov. V tejto súvislosti je potrebné zhodnotiť nielen nové povinnosti zamestnávateľov, ale aj rozšírenie súčasných povinností zamestnávateľov vo vzťahu k novej dotknutej  skupine zamestnancov. </w:t>
            </w:r>
          </w:p>
          <w:p w:rsidR="00F073AB" w:rsidRPr="00347F35" w:rsidRDefault="00F073AB" w:rsidP="00F073AB">
            <w:pPr>
              <w:jc w:val="both"/>
              <w:rPr>
                <w:rFonts w:ascii="Times New Roman" w:hAnsi="Times New Roman" w:cs="Times New Roman"/>
                <w:sz w:val="24"/>
                <w:szCs w:val="24"/>
              </w:rPr>
            </w:pPr>
          </w:p>
          <w:p w:rsidR="00F073AB" w:rsidRPr="00347F35" w:rsidRDefault="00F073AB" w:rsidP="00F073AB">
            <w:pPr>
              <w:jc w:val="both"/>
              <w:rPr>
                <w:rFonts w:ascii="Times New Roman" w:hAnsi="Times New Roman" w:cs="Times New Roman"/>
                <w:i/>
                <w:iCs/>
                <w:sz w:val="24"/>
                <w:szCs w:val="24"/>
              </w:rPr>
            </w:pPr>
            <w:r w:rsidRPr="00347F35">
              <w:rPr>
                <w:rFonts w:ascii="Times New Roman" w:hAnsi="Times New Roman" w:cs="Times New Roman"/>
                <w:b/>
                <w:bCs/>
                <w:i/>
                <w:iCs/>
                <w:sz w:val="24"/>
                <w:szCs w:val="24"/>
                <w:u w:val="single"/>
              </w:rPr>
              <w:t>Vyjadrenie:</w:t>
            </w:r>
            <w:r w:rsidRPr="00347F35">
              <w:rPr>
                <w:rFonts w:ascii="Times New Roman" w:hAnsi="Times New Roman" w:cs="Times New Roman"/>
                <w:i/>
                <w:iCs/>
                <w:sz w:val="24"/>
                <w:szCs w:val="24"/>
              </w:rPr>
              <w:t xml:space="preserve"> </w:t>
            </w:r>
            <w:r w:rsidRPr="00347F35">
              <w:rPr>
                <w:rFonts w:ascii="Times New Roman" w:hAnsi="Times New Roman" w:cs="Times New Roman"/>
                <w:b/>
                <w:bCs/>
                <w:sz w:val="24"/>
                <w:szCs w:val="24"/>
              </w:rPr>
              <w:t>Pripomienk</w:t>
            </w:r>
            <w:r w:rsidR="0092554C" w:rsidRPr="00347F35">
              <w:rPr>
                <w:rFonts w:ascii="Times New Roman" w:hAnsi="Times New Roman" w:cs="Times New Roman"/>
                <w:b/>
                <w:bCs/>
                <w:sz w:val="24"/>
                <w:szCs w:val="24"/>
              </w:rPr>
              <w:t xml:space="preserve">a </w:t>
            </w:r>
            <w:r w:rsidRPr="00347F35">
              <w:rPr>
                <w:rFonts w:ascii="Times New Roman" w:hAnsi="Times New Roman" w:cs="Times New Roman"/>
                <w:b/>
                <w:bCs/>
                <w:sz w:val="24"/>
                <w:szCs w:val="24"/>
              </w:rPr>
              <w:t>akcept</w:t>
            </w:r>
            <w:r w:rsidR="0092554C" w:rsidRPr="00347F35">
              <w:rPr>
                <w:rFonts w:ascii="Times New Roman" w:hAnsi="Times New Roman" w:cs="Times New Roman"/>
                <w:b/>
                <w:bCs/>
                <w:sz w:val="24"/>
                <w:szCs w:val="24"/>
              </w:rPr>
              <w:t>ovaná</w:t>
            </w:r>
            <w:r w:rsidRPr="00347F35">
              <w:rPr>
                <w:rFonts w:ascii="Times New Roman" w:hAnsi="Times New Roman" w:cs="Times New Roman"/>
                <w:b/>
                <w:bCs/>
                <w:sz w:val="24"/>
                <w:szCs w:val="24"/>
              </w:rPr>
              <w:t>.</w:t>
            </w:r>
            <w:r w:rsidRPr="00347F35">
              <w:rPr>
                <w:rFonts w:ascii="Times New Roman" w:hAnsi="Times New Roman" w:cs="Times New Roman"/>
                <w:sz w:val="24"/>
                <w:szCs w:val="24"/>
              </w:rPr>
              <w:t xml:space="preserve"> Analýza sociálnych vplyvov bola dopracovaná v zmysle pripomienok a odporúčaní.</w:t>
            </w:r>
            <w:r w:rsidRPr="00347F35">
              <w:rPr>
                <w:rFonts w:ascii="Times New Roman" w:hAnsi="Times New Roman" w:cs="Times New Roman"/>
                <w:i/>
                <w:iCs/>
                <w:sz w:val="24"/>
                <w:szCs w:val="24"/>
              </w:rPr>
              <w:t xml:space="preserve"> </w:t>
            </w:r>
          </w:p>
          <w:p w:rsidR="00F073AB" w:rsidRPr="00347F35" w:rsidRDefault="00F073AB" w:rsidP="00F073AB">
            <w:pPr>
              <w:jc w:val="both"/>
              <w:rPr>
                <w:rFonts w:ascii="Times New Roman" w:hAnsi="Times New Roman" w:cs="Times New Roman"/>
                <w:sz w:val="24"/>
                <w:szCs w:val="24"/>
              </w:rPr>
            </w:pPr>
          </w:p>
          <w:p w:rsidR="00F073AB" w:rsidRPr="00347F35" w:rsidRDefault="00F073AB" w:rsidP="00F073AB">
            <w:pPr>
              <w:jc w:val="both"/>
              <w:rPr>
                <w:rFonts w:ascii="Times New Roman" w:hAnsi="Times New Roman" w:cs="Times New Roman"/>
                <w:b/>
                <w:sz w:val="24"/>
                <w:szCs w:val="24"/>
              </w:rPr>
            </w:pPr>
            <w:r w:rsidRPr="00347F35">
              <w:rPr>
                <w:rFonts w:ascii="Times New Roman" w:hAnsi="Times New Roman" w:cs="Times New Roman"/>
                <w:b/>
                <w:sz w:val="24"/>
                <w:szCs w:val="24"/>
              </w:rPr>
              <w:t>Ku goldplatingu</w:t>
            </w:r>
          </w:p>
          <w:p w:rsidR="00F073AB" w:rsidRPr="00347F35" w:rsidRDefault="00F073AB" w:rsidP="00F073AB">
            <w:pPr>
              <w:pStyle w:val="Default"/>
              <w:jc w:val="both"/>
              <w:rPr>
                <w:color w:val="auto"/>
              </w:rPr>
            </w:pPr>
            <w:r w:rsidRPr="00347F35">
              <w:rPr>
                <w:color w:val="auto"/>
              </w:rPr>
              <w:t xml:space="preserve">Pri transponovaní čl. 5 ods. 5 písm. a) smernice 2004/37/ES sa Komisia domnieva, že dochádza ku goldplatingu, kedy slovenská právna úprava nad rámec európskej požaduje nielen obmedzenie množstva karcinogénu, mutagénu alebo reprodukčne toxickej látky na pracovisku, ale žiada ju obmedziť </w:t>
            </w:r>
            <w:r w:rsidRPr="00347F35">
              <w:rPr>
                <w:bCs/>
                <w:color w:val="auto"/>
                <w:u w:val="single"/>
              </w:rPr>
              <w:t>„na najnižšiu technicky dosiahnuteľnú úroveň“,</w:t>
            </w:r>
            <w:r w:rsidRPr="00347F35">
              <w:rPr>
                <w:color w:val="auto"/>
              </w:rPr>
              <w:t xml:space="preserve"> preto Komisia žiada náležite vyplniť stĺpce (9) a (10) tabuľky zhody a pod tabuľkou zhody doplniť poznámku </w:t>
            </w:r>
            <w:r w:rsidRPr="00347F35">
              <w:rPr>
                <w:i/>
                <w:iCs/>
                <w:color w:val="auto"/>
              </w:rPr>
              <w:t>„Vyjadrenie k opodstatnenosti goldplatingu a jeho odôvodnenie“</w:t>
            </w:r>
            <w:r w:rsidRPr="00347F35">
              <w:rPr>
                <w:color w:val="auto"/>
              </w:rPr>
              <w:t xml:space="preserve"> a doplniť uvedené do doložky vybraných vplyvov.</w:t>
            </w:r>
          </w:p>
          <w:p w:rsidR="00F073AB" w:rsidRPr="00347F35" w:rsidRDefault="00F073AB" w:rsidP="00F073AB">
            <w:pPr>
              <w:pStyle w:val="Default"/>
              <w:jc w:val="both"/>
              <w:rPr>
                <w:color w:val="auto"/>
              </w:rPr>
            </w:pPr>
            <w:r w:rsidRPr="00347F35">
              <w:rPr>
                <w:color w:val="auto"/>
              </w:rPr>
              <w:t xml:space="preserve">Pri transponovaní čl. 10 ods. 1 písm. e) smernice 2004/37/ES v platnom znení sa Komisia  </w:t>
            </w:r>
            <w:r w:rsidRPr="00347F35">
              <w:rPr>
                <w:color w:val="auto"/>
              </w:rPr>
              <w:lastRenderedPageBreak/>
              <w:t xml:space="preserve">domnieva, že dochádza ku goldplatingu, kedy slovenská právna úprava nad rámec európskej požaduje očistenie ochranných prostriedkov </w:t>
            </w:r>
            <w:r w:rsidRPr="00347F35">
              <w:rPr>
                <w:bCs/>
                <w:color w:val="auto"/>
                <w:u w:val="single"/>
              </w:rPr>
              <w:t>pred každým použitím</w:t>
            </w:r>
            <w:r w:rsidRPr="00347F35">
              <w:rPr>
                <w:color w:val="auto"/>
              </w:rPr>
              <w:t xml:space="preserve">, pričom smernica 2004/37/ES v platnom znení ustanovuje, že sa ochranné prostriedky očistia </w:t>
            </w:r>
            <w:r w:rsidRPr="00347F35">
              <w:rPr>
                <w:bCs/>
                <w:color w:val="auto"/>
                <w:u w:val="single"/>
              </w:rPr>
              <w:t>podľa možnosti pred každým použitím</w:t>
            </w:r>
            <w:r w:rsidRPr="00347F35">
              <w:rPr>
                <w:color w:val="auto"/>
              </w:rPr>
              <w:t xml:space="preserve"> a v každom prípade po každom použití, preto Komisia žiada náležite vyplniť stĺpce (9) a (10) tabuľky zhody a pod tabuľkou zhody doplniť poznámku </w:t>
            </w:r>
            <w:r w:rsidRPr="00347F35">
              <w:rPr>
                <w:i/>
                <w:iCs/>
                <w:color w:val="auto"/>
              </w:rPr>
              <w:t>„Vyjadrenie k opodstatnenosti goldplatingu a jeho odôvodnenie“</w:t>
            </w:r>
            <w:r w:rsidRPr="00347F35">
              <w:rPr>
                <w:color w:val="auto"/>
              </w:rPr>
              <w:t xml:space="preserve"> a doplniť uvedené do doložky vybraných vplyvov.</w:t>
            </w:r>
          </w:p>
          <w:p w:rsidR="00F073AB" w:rsidRPr="00347F35" w:rsidRDefault="00F073AB" w:rsidP="00F073AB">
            <w:pPr>
              <w:pStyle w:val="Default"/>
              <w:jc w:val="both"/>
              <w:rPr>
                <w:color w:val="auto"/>
              </w:rPr>
            </w:pPr>
            <w:r w:rsidRPr="00347F35">
              <w:rPr>
                <w:color w:val="auto"/>
              </w:rPr>
              <w:t xml:space="preserve">Pri preukazovaní (čl. 21 smernice 2004/37/ES v platnom znení) v tabuľke zhody- resp. </w:t>
            </w:r>
            <w:r w:rsidRPr="00347F35">
              <w:rPr>
                <w:bCs/>
                <w:color w:val="auto"/>
              </w:rPr>
              <w:t>ide o čl. 2 ods. 1 smernice (EÚ) 2022/431</w:t>
            </w:r>
            <w:r w:rsidRPr="00347F35">
              <w:rPr>
                <w:color w:val="auto"/>
              </w:rPr>
              <w:t xml:space="preserve"> žiada Komisia vyznačiť, že sa jedná o goldplating, a to GP-A e), kedy ide o skoršiu transpozíciu pred termínom, ktorý ustanovuje smernica, preto Komisia žiada náležite vyplniť stĺpce (9) a (10) tabuľky zhody a pod tabuľkou zhody doplniť poznámku </w:t>
            </w:r>
            <w:r w:rsidRPr="00347F35">
              <w:rPr>
                <w:i/>
                <w:iCs/>
                <w:color w:val="auto"/>
              </w:rPr>
              <w:t>„Vyjadrenie k opodstatnenosti goldplatingu a jeho odôvodnenie“</w:t>
            </w:r>
            <w:r w:rsidRPr="00347F35">
              <w:rPr>
                <w:color w:val="auto"/>
              </w:rPr>
              <w:t xml:space="preserve"> a doplniť uvedené do doložky vybraných vplyvov.</w:t>
            </w:r>
          </w:p>
          <w:p w:rsidR="004C3C52" w:rsidRPr="00347F35" w:rsidRDefault="004C3C52" w:rsidP="00F073AB">
            <w:pPr>
              <w:pStyle w:val="Default"/>
              <w:jc w:val="both"/>
              <w:rPr>
                <w:b/>
                <w:bCs/>
                <w:i/>
                <w:iCs/>
                <w:color w:val="auto"/>
                <w:u w:val="single"/>
              </w:rPr>
            </w:pPr>
          </w:p>
          <w:p w:rsidR="0023072A" w:rsidRPr="00347F35" w:rsidRDefault="0023072A" w:rsidP="00F073AB">
            <w:pPr>
              <w:pStyle w:val="Default"/>
              <w:jc w:val="both"/>
              <w:rPr>
                <w:b/>
                <w:bCs/>
                <w:i/>
                <w:iCs/>
                <w:color w:val="auto"/>
                <w:u w:val="single"/>
              </w:rPr>
            </w:pPr>
            <w:r w:rsidRPr="00347F35">
              <w:rPr>
                <w:b/>
                <w:bCs/>
                <w:i/>
                <w:iCs/>
                <w:color w:val="auto"/>
                <w:u w:val="single"/>
              </w:rPr>
              <w:t>Vyjadrenie:</w:t>
            </w:r>
          </w:p>
          <w:p w:rsidR="0092554C" w:rsidRPr="00347F35" w:rsidRDefault="0092554C" w:rsidP="0092554C">
            <w:pPr>
              <w:pStyle w:val="Default"/>
              <w:jc w:val="both"/>
              <w:rPr>
                <w:b/>
                <w:bCs/>
                <w:color w:val="auto"/>
              </w:rPr>
            </w:pPr>
            <w:r w:rsidRPr="00347F35">
              <w:rPr>
                <w:b/>
                <w:bCs/>
                <w:color w:val="auto"/>
              </w:rPr>
              <w:t>Pripomienka akceptovaná.</w:t>
            </w:r>
          </w:p>
          <w:p w:rsidR="0092554C" w:rsidRPr="00347F35" w:rsidRDefault="0092554C" w:rsidP="0092554C">
            <w:pPr>
              <w:pStyle w:val="Default"/>
              <w:jc w:val="both"/>
              <w:rPr>
                <w:color w:val="auto"/>
              </w:rPr>
            </w:pPr>
            <w:r w:rsidRPr="00347F35">
              <w:rPr>
                <w:color w:val="auto"/>
              </w:rPr>
              <w:t xml:space="preserve">Text </w:t>
            </w:r>
            <w:r w:rsidRPr="00347F35">
              <w:rPr>
                <w:bCs/>
                <w:color w:val="auto"/>
              </w:rPr>
              <w:t>„na najnižšiu technicky dosiahnuteľnú úroveň“ bol z § 5 ods. 7 písm. a) vypustený. Text je v súlade so smernicou</w:t>
            </w:r>
            <w:r w:rsidRPr="00347F35">
              <w:rPr>
                <w:color w:val="auto"/>
              </w:rPr>
              <w:t xml:space="preserve"> 2004/37/ES v platnom znení.</w:t>
            </w:r>
          </w:p>
          <w:p w:rsidR="0092554C" w:rsidRPr="00347F35" w:rsidRDefault="0092554C" w:rsidP="00F073AB">
            <w:pPr>
              <w:pStyle w:val="Default"/>
              <w:jc w:val="both"/>
              <w:rPr>
                <w:color w:val="auto"/>
              </w:rPr>
            </w:pPr>
            <w:r w:rsidRPr="00347F35">
              <w:rPr>
                <w:color w:val="auto"/>
              </w:rPr>
              <w:t xml:space="preserve">V </w:t>
            </w:r>
            <w:r w:rsidR="0023072A" w:rsidRPr="00347F35">
              <w:rPr>
                <w:color w:val="auto"/>
              </w:rPr>
              <w:t>§ 5 ods. 7 písm. a)</w:t>
            </w:r>
            <w:r w:rsidRPr="00347F35">
              <w:rPr>
                <w:color w:val="auto"/>
              </w:rPr>
              <w:t xml:space="preserve"> text</w:t>
            </w:r>
            <w:r w:rsidR="0023072A" w:rsidRPr="00347F35">
              <w:rPr>
                <w:color w:val="auto"/>
              </w:rPr>
              <w:t xml:space="preserve"> znie: </w:t>
            </w:r>
          </w:p>
          <w:p w:rsidR="0092554C" w:rsidRPr="00347F35" w:rsidRDefault="0092554C" w:rsidP="00F073AB">
            <w:pPr>
              <w:pStyle w:val="Default"/>
              <w:jc w:val="both"/>
              <w:rPr>
                <w:color w:val="auto"/>
              </w:rPr>
            </w:pPr>
            <w:r w:rsidRPr="00347F35">
              <w:rPr>
                <w:color w:val="auto"/>
              </w:rPr>
              <w:t>Zamestnávateľ je povinný na účel zníženia expozície zamestnancov karcinogén</w:t>
            </w:r>
            <w:r w:rsidR="00320891" w:rsidRPr="00347F35">
              <w:rPr>
                <w:color w:val="auto"/>
              </w:rPr>
              <w:t>nym faktorom</w:t>
            </w:r>
            <w:r w:rsidRPr="00347F35">
              <w:rPr>
                <w:color w:val="auto"/>
              </w:rPr>
              <w:t>, mutagén</w:t>
            </w:r>
            <w:r w:rsidR="00320891" w:rsidRPr="00347F35">
              <w:rPr>
                <w:color w:val="auto"/>
              </w:rPr>
              <w:t>nym faktorom</w:t>
            </w:r>
            <w:r w:rsidRPr="00347F35">
              <w:rPr>
                <w:color w:val="auto"/>
              </w:rPr>
              <w:t xml:space="preserve"> alebo reprodukčne toxickým </w:t>
            </w:r>
            <w:r w:rsidR="00320891" w:rsidRPr="00347F35">
              <w:rPr>
                <w:color w:val="auto"/>
              </w:rPr>
              <w:t>faktorom</w:t>
            </w:r>
            <w:r w:rsidRPr="00347F35">
              <w:rPr>
                <w:color w:val="auto"/>
              </w:rPr>
              <w:t xml:space="preserve"> na pracovisku zabezpečiť tieto ochranné opatrenia:</w:t>
            </w:r>
          </w:p>
          <w:p w:rsidR="0023072A" w:rsidRPr="00347F35" w:rsidRDefault="0023072A" w:rsidP="00F073AB">
            <w:pPr>
              <w:pStyle w:val="Default"/>
              <w:jc w:val="both"/>
              <w:rPr>
                <w:color w:val="auto"/>
              </w:rPr>
            </w:pPr>
            <w:r w:rsidRPr="00347F35">
              <w:rPr>
                <w:color w:val="auto"/>
              </w:rPr>
              <w:t>„</w:t>
            </w:r>
            <w:r w:rsidR="0092554C" w:rsidRPr="00347F35">
              <w:rPr>
                <w:color w:val="auto"/>
              </w:rPr>
              <w:t xml:space="preserve">a) </w:t>
            </w:r>
            <w:r w:rsidRPr="00347F35">
              <w:rPr>
                <w:color w:val="auto"/>
              </w:rPr>
              <w:t xml:space="preserve">obmedziť množstvo </w:t>
            </w:r>
            <w:r w:rsidR="00873E96" w:rsidRPr="00347F35">
              <w:rPr>
                <w:color w:val="auto"/>
              </w:rPr>
              <w:t xml:space="preserve">karcinogénnych faktorov, mutagénnych faktorov alebo reprodukčne toxických faktorov </w:t>
            </w:r>
            <w:r w:rsidRPr="00347F35">
              <w:rPr>
                <w:color w:val="auto"/>
              </w:rPr>
              <w:t>látok na pracovisku,“.</w:t>
            </w:r>
          </w:p>
          <w:p w:rsidR="0023072A" w:rsidRPr="00347F35" w:rsidRDefault="0023072A" w:rsidP="00F073AB">
            <w:pPr>
              <w:pStyle w:val="Default"/>
              <w:jc w:val="both"/>
              <w:rPr>
                <w:color w:val="auto"/>
              </w:rPr>
            </w:pPr>
          </w:p>
          <w:p w:rsidR="0092554C" w:rsidRPr="00347F35" w:rsidRDefault="0092554C" w:rsidP="0092554C">
            <w:pPr>
              <w:pStyle w:val="Default"/>
              <w:jc w:val="both"/>
              <w:rPr>
                <w:b/>
                <w:bCs/>
                <w:color w:val="auto"/>
              </w:rPr>
            </w:pPr>
            <w:r w:rsidRPr="00347F35">
              <w:rPr>
                <w:b/>
                <w:bCs/>
                <w:color w:val="auto"/>
              </w:rPr>
              <w:t>Pripomienka akceptovaná.</w:t>
            </w:r>
          </w:p>
          <w:p w:rsidR="0092554C" w:rsidRPr="00347F35" w:rsidRDefault="0092554C" w:rsidP="0092554C">
            <w:pPr>
              <w:pStyle w:val="Default"/>
              <w:jc w:val="both"/>
              <w:rPr>
                <w:color w:val="auto"/>
              </w:rPr>
            </w:pPr>
            <w:r w:rsidRPr="00347F35">
              <w:rPr>
                <w:color w:val="auto"/>
              </w:rPr>
              <w:t>Text týkajúci sa čistenia osobných ochranných pracovných prostriedkov pred každým použitím bol upravený v zmysle pripomienky.</w:t>
            </w:r>
          </w:p>
          <w:p w:rsidR="0092554C" w:rsidRPr="00347F35" w:rsidRDefault="0092554C" w:rsidP="00F073AB">
            <w:pPr>
              <w:pStyle w:val="Default"/>
              <w:jc w:val="both"/>
              <w:rPr>
                <w:color w:val="auto"/>
              </w:rPr>
            </w:pPr>
            <w:r w:rsidRPr="00347F35">
              <w:rPr>
                <w:color w:val="auto"/>
              </w:rPr>
              <w:t xml:space="preserve">V </w:t>
            </w:r>
            <w:r w:rsidR="0023072A" w:rsidRPr="00347F35">
              <w:rPr>
                <w:color w:val="auto"/>
              </w:rPr>
              <w:t>§ 10 ods. 1 písm. d)</w:t>
            </w:r>
            <w:r w:rsidRPr="00347F35">
              <w:rPr>
                <w:color w:val="auto"/>
              </w:rPr>
              <w:t xml:space="preserve"> text</w:t>
            </w:r>
            <w:r w:rsidR="0023072A" w:rsidRPr="00347F35">
              <w:rPr>
                <w:color w:val="auto"/>
              </w:rPr>
              <w:t xml:space="preserve"> znie: </w:t>
            </w:r>
          </w:p>
          <w:p w:rsidR="0092554C" w:rsidRPr="00347F35" w:rsidRDefault="0092554C" w:rsidP="00F073AB">
            <w:pPr>
              <w:pStyle w:val="Default"/>
              <w:jc w:val="both"/>
              <w:rPr>
                <w:color w:val="auto"/>
              </w:rPr>
            </w:pPr>
            <w:r w:rsidRPr="00347F35">
              <w:rPr>
                <w:color w:val="auto"/>
              </w:rPr>
              <w:t xml:space="preserve">Zamestnávateľ je povinný pri všetkých činnostiach, pri ktorých je riziko kontaminácie </w:t>
            </w:r>
            <w:r w:rsidR="00873E96" w:rsidRPr="00347F35">
              <w:rPr>
                <w:color w:val="auto"/>
              </w:rPr>
              <w:t xml:space="preserve">karcinogénnymi faktormi, mutagénnymi faktormi alebo reprodukčne toxickými faktormi </w:t>
            </w:r>
            <w:r w:rsidRPr="00347F35">
              <w:rPr>
                <w:color w:val="auto"/>
              </w:rPr>
              <w:t>pre zamestnancov zabezpečiť</w:t>
            </w:r>
          </w:p>
          <w:p w:rsidR="0023072A" w:rsidRPr="00347F35" w:rsidRDefault="0092554C" w:rsidP="00F073AB">
            <w:pPr>
              <w:pStyle w:val="Default"/>
              <w:jc w:val="both"/>
              <w:rPr>
                <w:color w:val="auto"/>
              </w:rPr>
            </w:pPr>
            <w:r w:rsidRPr="00347F35">
              <w:rPr>
                <w:color w:val="auto"/>
              </w:rPr>
              <w:t xml:space="preserve">„d) </w:t>
            </w:r>
            <w:r w:rsidR="0023072A" w:rsidRPr="00347F35">
              <w:rPr>
                <w:color w:val="auto"/>
              </w:rPr>
              <w:t>skladovanie osobných ochranných pracovných prostriedkov na určenom mieste; ich kontrolu vykonať pred každým použitím, čistenie vykonať pred každým použitím, ak je to potrebné, a vždy po každom použití,“</w:t>
            </w:r>
            <w:r w:rsidRPr="00347F35">
              <w:rPr>
                <w:color w:val="auto"/>
              </w:rPr>
              <w:t>.</w:t>
            </w:r>
          </w:p>
          <w:p w:rsidR="006968E8" w:rsidRPr="00347F35" w:rsidRDefault="006968E8" w:rsidP="00F073AB">
            <w:pPr>
              <w:pStyle w:val="Default"/>
              <w:jc w:val="both"/>
              <w:rPr>
                <w:color w:val="auto"/>
              </w:rPr>
            </w:pPr>
          </w:p>
          <w:p w:rsidR="006968E8" w:rsidRPr="00347F35" w:rsidRDefault="006968E8" w:rsidP="00F073AB">
            <w:pPr>
              <w:pStyle w:val="Default"/>
              <w:jc w:val="both"/>
              <w:rPr>
                <w:b/>
                <w:bCs/>
                <w:color w:val="auto"/>
              </w:rPr>
            </w:pPr>
            <w:r w:rsidRPr="00347F35">
              <w:rPr>
                <w:b/>
                <w:bCs/>
                <w:color w:val="auto"/>
              </w:rPr>
              <w:t>Pripomienka neakceptovaná.</w:t>
            </w:r>
          </w:p>
          <w:p w:rsidR="006968E8" w:rsidRPr="00347F35" w:rsidRDefault="006968E8" w:rsidP="00F073AB">
            <w:pPr>
              <w:pStyle w:val="Default"/>
              <w:jc w:val="both"/>
              <w:rPr>
                <w:color w:val="auto"/>
              </w:rPr>
            </w:pPr>
            <w:r w:rsidRPr="00347F35">
              <w:rPr>
                <w:color w:val="auto"/>
              </w:rPr>
              <w:t xml:space="preserve">Smernica Európskeho parlamentu a Rady (EÚ) 2022/431 z 9. marca 2022, ktorou sa mení smernica 2004/37/ES o ochrane pracovníkov pred rizikami súvisiacimi s expozíciou karcinogénom alebo mutagénom pri práci v článku 2 (Transpozícia) v bode 1 uvádza „Členské štáty uvedú do účinnosti zákony, iné právne predpisy a správne opatrenia potrebné na dosiahnutie súladu s touto smernicou do 5. apríla 2024.“ </w:t>
            </w:r>
          </w:p>
          <w:p w:rsidR="00487072" w:rsidRPr="00347F35" w:rsidRDefault="006968E8" w:rsidP="00F073AB">
            <w:pPr>
              <w:pStyle w:val="Default"/>
              <w:jc w:val="both"/>
              <w:rPr>
                <w:color w:val="auto"/>
              </w:rPr>
            </w:pPr>
            <w:r w:rsidRPr="00347F35">
              <w:rPr>
                <w:color w:val="auto"/>
              </w:rPr>
              <w:t>Z uvedeného vyplýva, že členské štáty majú prijať príslušné právne predpisy, ktorými sa vykoná transpozícia tento smernice do národnej legislatívy v období od 9.3.2022 do 5.4.2024</w:t>
            </w:r>
            <w:r w:rsidR="00095C47" w:rsidRPr="00347F35">
              <w:rPr>
                <w:color w:val="auto"/>
              </w:rPr>
              <w:t>. Účinnosť návrhu nariadenia vlády je navrhnutá 1.1.2024. Domnievame sa,</w:t>
            </w:r>
            <w:r w:rsidR="00487072" w:rsidRPr="00347F35">
              <w:rPr>
                <w:color w:val="auto"/>
              </w:rPr>
              <w:t xml:space="preserve"> že</w:t>
            </w:r>
            <w:r w:rsidR="00095C47" w:rsidRPr="00347F35">
              <w:rPr>
                <w:color w:val="auto"/>
              </w:rPr>
              <w:t xml:space="preserve"> členské štáty nemajú povinnosť vykonať transpozíciu tejto smernice až posledný deň určenej lehoty na transpozíciu. Navrhovaný termín účinnosti návrhu nariadenia vlády 1.1.2024 spĺňa požiadavku</w:t>
            </w:r>
            <w:r w:rsidR="00487072" w:rsidRPr="00347F35">
              <w:rPr>
                <w:color w:val="auto"/>
              </w:rPr>
              <w:t xml:space="preserve"> smernice</w:t>
            </w:r>
            <w:r w:rsidR="00095C47" w:rsidRPr="00347F35">
              <w:rPr>
                <w:color w:val="auto"/>
              </w:rPr>
              <w:t xml:space="preserve"> prijať príslušné právne predpisy do 5.4.2024</w:t>
            </w:r>
            <w:r w:rsidR="00487072" w:rsidRPr="00347F35">
              <w:rPr>
                <w:color w:val="auto"/>
              </w:rPr>
              <w:t xml:space="preserve">. </w:t>
            </w:r>
          </w:p>
          <w:p w:rsidR="00F073AB" w:rsidRPr="00347F35" w:rsidRDefault="00487072" w:rsidP="00487072">
            <w:pPr>
              <w:pStyle w:val="Default"/>
              <w:jc w:val="both"/>
              <w:rPr>
                <w:color w:val="auto"/>
                <w:shd w:val="clear" w:color="auto" w:fill="FFFFFF"/>
              </w:rPr>
            </w:pPr>
            <w:r w:rsidRPr="00347F35">
              <w:rPr>
                <w:color w:val="auto"/>
              </w:rPr>
              <w:t xml:space="preserve">Zároveň poukazujeme na požiadavku podnikateľského prostredia, aby právny predpis, ktorý má podľa doložky vplyvov alebo analýzy vplyvov vplyv na podnikateľské prostredie </w:t>
            </w:r>
            <w:r w:rsidRPr="00347F35">
              <w:rPr>
                <w:color w:val="auto"/>
              </w:rPr>
              <w:lastRenderedPageBreak/>
              <w:t xml:space="preserve">nadobúdal účinnosť len 1. januára alebo 1. júla príslušného kalendárneho roka (§ 19 ods. 6 zákona č. 400/2015 Z. z. </w:t>
            </w:r>
            <w:r w:rsidRPr="00347F35">
              <w:rPr>
                <w:color w:val="auto"/>
                <w:shd w:val="clear" w:color="auto" w:fill="FFFFFF"/>
              </w:rPr>
              <w:t xml:space="preserve">o tvorbe právnych predpisov a o Zbierke zákonov Slovenskej republiky a o zmene a doplnení niektorých zákonov). </w:t>
            </w:r>
          </w:p>
          <w:p w:rsidR="00487072" w:rsidRPr="00347F35" w:rsidRDefault="00487072" w:rsidP="00F073AB">
            <w:pPr>
              <w:jc w:val="both"/>
              <w:rPr>
                <w:rFonts w:ascii="Times New Roman" w:hAnsi="Times New Roman" w:cs="Times New Roman"/>
                <w:sz w:val="24"/>
                <w:szCs w:val="24"/>
                <w:shd w:val="clear" w:color="auto" w:fill="FFFFFF"/>
              </w:rPr>
            </w:pPr>
            <w:r w:rsidRPr="00347F35">
              <w:rPr>
                <w:rFonts w:ascii="Times New Roman" w:hAnsi="Times New Roman" w:cs="Times New Roman"/>
                <w:sz w:val="24"/>
                <w:szCs w:val="24"/>
                <w:shd w:val="clear" w:color="auto" w:fill="FFFFFF"/>
              </w:rPr>
              <w:t>Navrhnutou účinnosťou návrhu nariadenia vlády 1.1.2024 vyhovujeme vyššie uvedenej požiadavke podnikateľského prostredia.</w:t>
            </w:r>
          </w:p>
          <w:p w:rsidR="00487072" w:rsidRPr="00347F35" w:rsidRDefault="00487072" w:rsidP="00F073AB">
            <w:pPr>
              <w:jc w:val="both"/>
              <w:rPr>
                <w:rFonts w:ascii="Times New Roman" w:hAnsi="Times New Roman" w:cs="Times New Roman"/>
                <w:sz w:val="24"/>
                <w:szCs w:val="24"/>
                <w:shd w:val="clear" w:color="auto" w:fill="FFFFFF"/>
              </w:rPr>
            </w:pPr>
            <w:r w:rsidRPr="00347F35">
              <w:rPr>
                <w:rFonts w:ascii="Times New Roman" w:hAnsi="Times New Roman" w:cs="Times New Roman"/>
                <w:sz w:val="24"/>
                <w:szCs w:val="24"/>
                <w:shd w:val="clear" w:color="auto" w:fill="FFFFFF"/>
              </w:rPr>
              <w:t>Na základe vyššie uvedeného termín účinnosti návrhu nariadenia vlády 1.1.20</w:t>
            </w:r>
            <w:r w:rsidR="007F2E38" w:rsidRPr="00347F35">
              <w:rPr>
                <w:rFonts w:ascii="Times New Roman" w:hAnsi="Times New Roman" w:cs="Times New Roman"/>
                <w:sz w:val="24"/>
                <w:szCs w:val="24"/>
                <w:shd w:val="clear" w:color="auto" w:fill="FFFFFF"/>
              </w:rPr>
              <w:t>2</w:t>
            </w:r>
            <w:r w:rsidRPr="00347F35">
              <w:rPr>
                <w:rFonts w:ascii="Times New Roman" w:hAnsi="Times New Roman" w:cs="Times New Roman"/>
                <w:sz w:val="24"/>
                <w:szCs w:val="24"/>
                <w:shd w:val="clear" w:color="auto" w:fill="FFFFFF"/>
              </w:rPr>
              <w:t>4 za goldplating nepovažujeme.</w:t>
            </w:r>
          </w:p>
          <w:p w:rsidR="001B23B7" w:rsidRPr="00347F35" w:rsidRDefault="001B23B7" w:rsidP="00AF2A03">
            <w:pPr>
              <w:pStyle w:val="Default"/>
              <w:jc w:val="both"/>
              <w:rPr>
                <w:rFonts w:eastAsia="Times New Roman"/>
                <w:b/>
                <w:color w:val="auto"/>
                <w:sz w:val="20"/>
                <w:szCs w:val="20"/>
                <w:lang w:eastAsia="sk-SK"/>
              </w:rPr>
            </w:pPr>
          </w:p>
        </w:tc>
      </w:tr>
      <w:tr w:rsidR="00347F35" w:rsidRPr="00347F35" w:rsidTr="006E554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347F35" w:rsidRDefault="001B23B7" w:rsidP="006E554D">
            <w:pPr>
              <w:numPr>
                <w:ilvl w:val="0"/>
                <w:numId w:val="1"/>
              </w:numPr>
              <w:ind w:left="450" w:hanging="425"/>
              <w:contextualSpacing/>
              <w:jc w:val="both"/>
              <w:rPr>
                <w:rFonts w:ascii="Times New Roman" w:eastAsia="Calibri" w:hAnsi="Times New Roman" w:cs="Times New Roman"/>
                <w:b/>
              </w:rPr>
            </w:pPr>
            <w:r w:rsidRPr="00347F35">
              <w:rPr>
                <w:rFonts w:ascii="Times New Roman" w:eastAsia="Calibri" w:hAnsi="Times New Roman" w:cs="Times New Roman"/>
                <w:b/>
              </w:rPr>
              <w:lastRenderedPageBreak/>
              <w:t>Stanovisko Komisie na posudzovanie vybraných vplyvov zo záverečného posúdenia č. ..........</w:t>
            </w:r>
            <w:r w:rsidRPr="00347F35">
              <w:rPr>
                <w:rFonts w:ascii="Times New Roman" w:eastAsia="Calibri" w:hAnsi="Times New Roman" w:cs="Times New Roman"/>
              </w:rPr>
              <w:t xml:space="preserve"> (v prípade, ak sa uskutočnilo v zmysle bodu 9.1. Jednotnej metodiky) </w:t>
            </w:r>
          </w:p>
        </w:tc>
      </w:tr>
      <w:tr w:rsidR="00347F35" w:rsidRPr="00347F35" w:rsidTr="006E554D">
        <w:tblPrEx>
          <w:tblBorders>
            <w:insideH w:val="single" w:sz="4" w:space="0" w:color="FFFFFF"/>
            <w:insideV w:val="single" w:sz="4" w:space="0" w:color="FFFFFF"/>
          </w:tblBorders>
        </w:tblPrEx>
        <w:tc>
          <w:tcPr>
            <w:tcW w:w="9176" w:type="dxa"/>
            <w:shd w:val="clear" w:color="auto" w:fill="FFFFFF"/>
          </w:tcPr>
          <w:p w:rsidR="001B23B7" w:rsidRPr="00347F35" w:rsidRDefault="001B23B7" w:rsidP="006E554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7F35" w:rsidRPr="00347F35" w:rsidTr="006E554D">
              <w:trPr>
                <w:trHeight w:val="396"/>
              </w:trPr>
              <w:tc>
                <w:tcPr>
                  <w:tcW w:w="2552" w:type="dxa"/>
                </w:tcPr>
                <w:p w:rsidR="001B23B7" w:rsidRPr="00347F35" w:rsidRDefault="00F45543" w:rsidP="006E554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sidRPr="00347F35">
                        <w:rPr>
                          <w:rFonts w:ascii="MS Gothic" w:eastAsia="MS Gothic" w:hAnsi="MS Gothic" w:cs="Times New Roman" w:hint="eastAsia"/>
                          <w:b/>
                          <w:sz w:val="20"/>
                          <w:szCs w:val="20"/>
                          <w:lang w:eastAsia="sk-SK"/>
                        </w:rPr>
                        <w:t>☐</w:t>
                      </w:r>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 xml:space="preserve">Súhlasné </w:t>
                  </w:r>
                </w:p>
              </w:tc>
              <w:tc>
                <w:tcPr>
                  <w:tcW w:w="3827" w:type="dxa"/>
                </w:tcPr>
                <w:p w:rsidR="001B23B7" w:rsidRPr="00347F35" w:rsidRDefault="00F45543" w:rsidP="006E554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sidRPr="00347F35">
                        <w:rPr>
                          <w:rFonts w:ascii="MS Gothic" w:eastAsia="MS Gothic" w:hAnsi="MS Gothic" w:cs="Times New Roman" w:hint="eastAsia"/>
                          <w:b/>
                          <w:sz w:val="20"/>
                          <w:szCs w:val="20"/>
                          <w:lang w:eastAsia="sk-SK"/>
                        </w:rPr>
                        <w:t>☐</w:t>
                      </w:r>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Súhlasné s  návrhom na dopracovanie</w:t>
                  </w:r>
                </w:p>
              </w:tc>
              <w:tc>
                <w:tcPr>
                  <w:tcW w:w="2534" w:type="dxa"/>
                </w:tcPr>
                <w:p w:rsidR="001B23B7" w:rsidRPr="00347F35" w:rsidRDefault="00F45543" w:rsidP="006E554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75197E" w:rsidRPr="00347F35">
                        <w:rPr>
                          <w:rFonts w:ascii="MS Gothic" w:eastAsia="MS Gothic" w:hAnsi="MS Gothic" w:cs="Times New Roman" w:hint="eastAsia"/>
                          <w:b/>
                          <w:sz w:val="20"/>
                          <w:szCs w:val="20"/>
                          <w:lang w:eastAsia="sk-SK"/>
                        </w:rPr>
                        <w:t>☐</w:t>
                      </w:r>
                    </w:sdtContent>
                  </w:sdt>
                  <w:r w:rsidR="0023360B" w:rsidRPr="00347F35">
                    <w:rPr>
                      <w:rFonts w:ascii="Times New Roman" w:eastAsia="Times New Roman" w:hAnsi="Times New Roman" w:cs="Times New Roman"/>
                      <w:b/>
                      <w:sz w:val="20"/>
                      <w:szCs w:val="20"/>
                      <w:lang w:eastAsia="sk-SK"/>
                    </w:rPr>
                    <w:t xml:space="preserve">  </w:t>
                  </w:r>
                  <w:r w:rsidR="001B23B7" w:rsidRPr="00347F35">
                    <w:rPr>
                      <w:rFonts w:ascii="Times New Roman" w:eastAsia="Times New Roman" w:hAnsi="Times New Roman" w:cs="Times New Roman"/>
                      <w:b/>
                      <w:sz w:val="20"/>
                      <w:szCs w:val="20"/>
                      <w:lang w:eastAsia="sk-SK"/>
                    </w:rPr>
                    <w:t>Nesúhlasné</w:t>
                  </w:r>
                </w:p>
              </w:tc>
            </w:tr>
          </w:tbl>
          <w:p w:rsidR="001B23B7" w:rsidRPr="00347F35" w:rsidRDefault="001B23B7" w:rsidP="006E554D">
            <w:pPr>
              <w:jc w:val="both"/>
              <w:rPr>
                <w:rFonts w:ascii="Times New Roman" w:eastAsia="Times New Roman" w:hAnsi="Times New Roman" w:cs="Times New Roman"/>
                <w:b/>
                <w:sz w:val="20"/>
                <w:szCs w:val="20"/>
                <w:lang w:eastAsia="sk-SK"/>
              </w:rPr>
            </w:pPr>
            <w:r w:rsidRPr="00347F35">
              <w:rPr>
                <w:rFonts w:ascii="Times New Roman" w:eastAsia="Times New Roman" w:hAnsi="Times New Roman" w:cs="Times New Roman"/>
                <w:b/>
                <w:sz w:val="20"/>
                <w:szCs w:val="20"/>
                <w:lang w:eastAsia="sk-SK"/>
              </w:rPr>
              <w:t>Uveďte pripomienky zo stanoviska Komisie z časti II. spolu s Vaším vyhodnotením:</w:t>
            </w:r>
          </w:p>
          <w:p w:rsidR="001B23B7" w:rsidRPr="00347F35" w:rsidRDefault="001B23B7" w:rsidP="006E554D">
            <w:pPr>
              <w:rPr>
                <w:rFonts w:ascii="Times New Roman" w:eastAsia="Times New Roman" w:hAnsi="Times New Roman" w:cs="Times New Roman"/>
                <w:b/>
                <w:sz w:val="20"/>
                <w:szCs w:val="20"/>
                <w:lang w:eastAsia="sk-SK"/>
              </w:rPr>
            </w:pPr>
          </w:p>
        </w:tc>
      </w:tr>
    </w:tbl>
    <w:p w:rsidR="006E554D" w:rsidRPr="00347F35" w:rsidRDefault="006E554D" w:rsidP="00487072"/>
    <w:sectPr w:rsidR="006E554D" w:rsidRPr="00347F35"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43" w:rsidRDefault="00F45543" w:rsidP="001B23B7">
      <w:pPr>
        <w:spacing w:after="0" w:line="240" w:lineRule="auto"/>
      </w:pPr>
      <w:r>
        <w:separator/>
      </w:r>
    </w:p>
  </w:endnote>
  <w:endnote w:type="continuationSeparator" w:id="0">
    <w:p w:rsidR="00F45543" w:rsidRDefault="00F4554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320891" w:rsidRPr="006045CB" w:rsidRDefault="00A21067"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320891"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45EAA">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320891" w:rsidRDefault="003208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43" w:rsidRDefault="00F45543" w:rsidP="001B23B7">
      <w:pPr>
        <w:spacing w:after="0" w:line="240" w:lineRule="auto"/>
      </w:pPr>
      <w:r>
        <w:separator/>
      </w:r>
    </w:p>
  </w:footnote>
  <w:footnote w:type="continuationSeparator" w:id="0">
    <w:p w:rsidR="00F45543" w:rsidRDefault="00F45543"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AC7"/>
    <w:multiLevelType w:val="hybridMultilevel"/>
    <w:tmpl w:val="2D0ED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72765B"/>
    <w:multiLevelType w:val="hybridMultilevel"/>
    <w:tmpl w:val="A378CDBC"/>
    <w:lvl w:ilvl="0" w:tplc="0226CDE4">
      <w:numFmt w:val="bullet"/>
      <w:lvlText w:val="-"/>
      <w:lvlJc w:val="left"/>
      <w:pPr>
        <w:ind w:left="720" w:hanging="360"/>
      </w:pPr>
      <w:rPr>
        <w:rFonts w:ascii="Calibri" w:eastAsiaTheme="minorHAnsi" w:hAnsi="Calibri" w:cs="Calibri" w:hint="default"/>
        <w:i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5B96D29"/>
    <w:multiLevelType w:val="hybridMultilevel"/>
    <w:tmpl w:val="A2786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5A91CFE"/>
    <w:multiLevelType w:val="hybridMultilevel"/>
    <w:tmpl w:val="C9881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3B7"/>
    <w:rsid w:val="000013C3"/>
    <w:rsid w:val="00043706"/>
    <w:rsid w:val="00073CBB"/>
    <w:rsid w:val="00095C47"/>
    <w:rsid w:val="00097069"/>
    <w:rsid w:val="000C279F"/>
    <w:rsid w:val="000D348F"/>
    <w:rsid w:val="000F2BE9"/>
    <w:rsid w:val="00113AE4"/>
    <w:rsid w:val="00143C22"/>
    <w:rsid w:val="00145EDB"/>
    <w:rsid w:val="001462F6"/>
    <w:rsid w:val="0018058D"/>
    <w:rsid w:val="00187182"/>
    <w:rsid w:val="00197E5F"/>
    <w:rsid w:val="001A6554"/>
    <w:rsid w:val="001B23B7"/>
    <w:rsid w:val="001E3562"/>
    <w:rsid w:val="001E75D9"/>
    <w:rsid w:val="00203EE3"/>
    <w:rsid w:val="002243BB"/>
    <w:rsid w:val="0023072A"/>
    <w:rsid w:val="0023360B"/>
    <w:rsid w:val="00243652"/>
    <w:rsid w:val="00271704"/>
    <w:rsid w:val="002C03E8"/>
    <w:rsid w:val="002F6ADB"/>
    <w:rsid w:val="00312CC8"/>
    <w:rsid w:val="003145AE"/>
    <w:rsid w:val="00320891"/>
    <w:rsid w:val="00344096"/>
    <w:rsid w:val="00344D1E"/>
    <w:rsid w:val="00347F35"/>
    <w:rsid w:val="003A057B"/>
    <w:rsid w:val="003A381E"/>
    <w:rsid w:val="003D0956"/>
    <w:rsid w:val="003E5E87"/>
    <w:rsid w:val="00411898"/>
    <w:rsid w:val="00461AB5"/>
    <w:rsid w:val="00487072"/>
    <w:rsid w:val="00491CEF"/>
    <w:rsid w:val="0049476D"/>
    <w:rsid w:val="004A4383"/>
    <w:rsid w:val="004C3C52"/>
    <w:rsid w:val="004C6831"/>
    <w:rsid w:val="004E3931"/>
    <w:rsid w:val="005201B1"/>
    <w:rsid w:val="00537B65"/>
    <w:rsid w:val="00555023"/>
    <w:rsid w:val="00581235"/>
    <w:rsid w:val="00591EC6"/>
    <w:rsid w:val="00591ED3"/>
    <w:rsid w:val="005B5082"/>
    <w:rsid w:val="005B647B"/>
    <w:rsid w:val="005B7B23"/>
    <w:rsid w:val="005C3C89"/>
    <w:rsid w:val="005C5DB2"/>
    <w:rsid w:val="00604AF8"/>
    <w:rsid w:val="0060618C"/>
    <w:rsid w:val="00627E39"/>
    <w:rsid w:val="006968E8"/>
    <w:rsid w:val="006B23CC"/>
    <w:rsid w:val="006B2445"/>
    <w:rsid w:val="006B64B2"/>
    <w:rsid w:val="006C53BD"/>
    <w:rsid w:val="006E554D"/>
    <w:rsid w:val="006F678E"/>
    <w:rsid w:val="006F6B62"/>
    <w:rsid w:val="00720322"/>
    <w:rsid w:val="00730593"/>
    <w:rsid w:val="0075197E"/>
    <w:rsid w:val="00761208"/>
    <w:rsid w:val="00771F35"/>
    <w:rsid w:val="007730A8"/>
    <w:rsid w:val="007756BE"/>
    <w:rsid w:val="00777912"/>
    <w:rsid w:val="007B40C1"/>
    <w:rsid w:val="007C48F6"/>
    <w:rsid w:val="007F2E38"/>
    <w:rsid w:val="008301FA"/>
    <w:rsid w:val="00830572"/>
    <w:rsid w:val="00860A0E"/>
    <w:rsid w:val="00865E81"/>
    <w:rsid w:val="00873E96"/>
    <w:rsid w:val="00875781"/>
    <w:rsid w:val="008801B5"/>
    <w:rsid w:val="00881E07"/>
    <w:rsid w:val="00887E2A"/>
    <w:rsid w:val="008B222D"/>
    <w:rsid w:val="008C79B7"/>
    <w:rsid w:val="0092554C"/>
    <w:rsid w:val="00936BE1"/>
    <w:rsid w:val="009431E3"/>
    <w:rsid w:val="009475F5"/>
    <w:rsid w:val="009717F5"/>
    <w:rsid w:val="009B2AD3"/>
    <w:rsid w:val="009C424C"/>
    <w:rsid w:val="009E09F7"/>
    <w:rsid w:val="009F4832"/>
    <w:rsid w:val="00A21067"/>
    <w:rsid w:val="00A340BB"/>
    <w:rsid w:val="00A7788F"/>
    <w:rsid w:val="00AB5082"/>
    <w:rsid w:val="00AC30D6"/>
    <w:rsid w:val="00AC73B2"/>
    <w:rsid w:val="00AF2A03"/>
    <w:rsid w:val="00B547F5"/>
    <w:rsid w:val="00B84F87"/>
    <w:rsid w:val="00BA2BF4"/>
    <w:rsid w:val="00C51A95"/>
    <w:rsid w:val="00C96CCD"/>
    <w:rsid w:val="00CB08AE"/>
    <w:rsid w:val="00CD4BE8"/>
    <w:rsid w:val="00CE6AAE"/>
    <w:rsid w:val="00CE6BD4"/>
    <w:rsid w:val="00CF1A25"/>
    <w:rsid w:val="00D07B57"/>
    <w:rsid w:val="00D2313B"/>
    <w:rsid w:val="00D45723"/>
    <w:rsid w:val="00D45D2A"/>
    <w:rsid w:val="00D47931"/>
    <w:rsid w:val="00D50F1E"/>
    <w:rsid w:val="00D85D6F"/>
    <w:rsid w:val="00DF357C"/>
    <w:rsid w:val="00E45EAA"/>
    <w:rsid w:val="00E46420"/>
    <w:rsid w:val="00E6119E"/>
    <w:rsid w:val="00EC6207"/>
    <w:rsid w:val="00ED1AC0"/>
    <w:rsid w:val="00ED23F0"/>
    <w:rsid w:val="00F073AB"/>
    <w:rsid w:val="00F45543"/>
    <w:rsid w:val="00F86338"/>
    <w:rsid w:val="00F87681"/>
    <w:rsid w:val="00FA02DB"/>
    <w:rsid w:val="00FA4802"/>
    <w:rsid w:val="00FD6ED9"/>
    <w:rsid w:val="00FE2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B535"/>
  <w15:docId w15:val="{7EC95F85-41BC-4AF9-B315-4B8629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45EDB"/>
    <w:pPr>
      <w:ind w:left="720"/>
      <w:contextualSpacing/>
    </w:pPr>
  </w:style>
  <w:style w:type="character" w:styleId="Hypertextovprepojenie">
    <w:name w:val="Hyperlink"/>
    <w:uiPriority w:val="99"/>
    <w:unhideWhenUsed/>
    <w:rsid w:val="00073CBB"/>
    <w:rPr>
      <w:rFonts w:cs="Times New Roman"/>
      <w:color w:val="0000FF"/>
      <w:u w:val="single"/>
    </w:rPr>
  </w:style>
  <w:style w:type="character" w:customStyle="1" w:styleId="awspan">
    <w:name w:val="awspan"/>
    <w:basedOn w:val="Predvolenpsmoodseku"/>
    <w:rsid w:val="001E75D9"/>
  </w:style>
  <w:style w:type="paragraph" w:styleId="Zkladntext2">
    <w:name w:val="Body Text 2"/>
    <w:basedOn w:val="Normlny"/>
    <w:link w:val="Zkladntext2Char"/>
    <w:uiPriority w:val="99"/>
    <w:semiHidden/>
    <w:unhideWhenUsed/>
    <w:rsid w:val="00C51A95"/>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semiHidden/>
    <w:rsid w:val="00C51A95"/>
    <w:rPr>
      <w:rFonts w:ascii="Times New Roman" w:eastAsia="Times New Roman" w:hAnsi="Times New Roman" w:cs="Times New Roman"/>
      <w:sz w:val="20"/>
      <w:szCs w:val="20"/>
      <w:lang w:eastAsia="sk-SK"/>
    </w:rPr>
  </w:style>
  <w:style w:type="paragraph" w:styleId="Normlnywebov">
    <w:name w:val="Normal (Web)"/>
    <w:aliases w:val="webb"/>
    <w:basedOn w:val="Normlny"/>
    <w:uiPriority w:val="99"/>
    <w:unhideWhenUsed/>
    <w:rsid w:val="00FD6ED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140">
      <w:bodyDiv w:val="1"/>
      <w:marLeft w:val="0"/>
      <w:marRight w:val="0"/>
      <w:marTop w:val="0"/>
      <w:marBottom w:val="0"/>
      <w:divBdr>
        <w:top w:val="none" w:sz="0" w:space="0" w:color="auto"/>
        <w:left w:val="none" w:sz="0" w:space="0" w:color="auto"/>
        <w:bottom w:val="none" w:sz="0" w:space="0" w:color="auto"/>
        <w:right w:val="none" w:sz="0" w:space="0" w:color="auto"/>
      </w:divBdr>
    </w:div>
    <w:div w:id="146366426">
      <w:bodyDiv w:val="1"/>
      <w:marLeft w:val="0"/>
      <w:marRight w:val="0"/>
      <w:marTop w:val="0"/>
      <w:marBottom w:val="0"/>
      <w:divBdr>
        <w:top w:val="none" w:sz="0" w:space="0" w:color="auto"/>
        <w:left w:val="none" w:sz="0" w:space="0" w:color="auto"/>
        <w:bottom w:val="none" w:sz="0" w:space="0" w:color="auto"/>
        <w:right w:val="none" w:sz="0" w:space="0" w:color="auto"/>
      </w:divBdr>
    </w:div>
    <w:div w:id="484203800">
      <w:bodyDiv w:val="1"/>
      <w:marLeft w:val="0"/>
      <w:marRight w:val="0"/>
      <w:marTop w:val="0"/>
      <w:marBottom w:val="0"/>
      <w:divBdr>
        <w:top w:val="none" w:sz="0" w:space="0" w:color="auto"/>
        <w:left w:val="none" w:sz="0" w:space="0" w:color="auto"/>
        <w:bottom w:val="none" w:sz="0" w:space="0" w:color="auto"/>
        <w:right w:val="none" w:sz="0" w:space="0" w:color="auto"/>
      </w:divBdr>
      <w:divsChild>
        <w:div w:id="1273972673">
          <w:marLeft w:val="0"/>
          <w:marRight w:val="0"/>
          <w:marTop w:val="0"/>
          <w:marBottom w:val="0"/>
          <w:divBdr>
            <w:top w:val="none" w:sz="0" w:space="0" w:color="auto"/>
            <w:left w:val="none" w:sz="0" w:space="0" w:color="auto"/>
            <w:bottom w:val="none" w:sz="0" w:space="0" w:color="auto"/>
            <w:right w:val="none" w:sz="0" w:space="0" w:color="auto"/>
          </w:divBdr>
        </w:div>
        <w:div w:id="1331371869">
          <w:marLeft w:val="0"/>
          <w:marRight w:val="0"/>
          <w:marTop w:val="0"/>
          <w:marBottom w:val="0"/>
          <w:divBdr>
            <w:top w:val="none" w:sz="0" w:space="0" w:color="auto"/>
            <w:left w:val="none" w:sz="0" w:space="0" w:color="auto"/>
            <w:bottom w:val="none" w:sz="0" w:space="0" w:color="auto"/>
            <w:right w:val="none" w:sz="0" w:space="0" w:color="auto"/>
          </w:divBdr>
        </w:div>
        <w:div w:id="1239899100">
          <w:marLeft w:val="0"/>
          <w:marRight w:val="0"/>
          <w:marTop w:val="0"/>
          <w:marBottom w:val="0"/>
          <w:divBdr>
            <w:top w:val="none" w:sz="0" w:space="0" w:color="auto"/>
            <w:left w:val="none" w:sz="0" w:space="0" w:color="auto"/>
            <w:bottom w:val="none" w:sz="0" w:space="0" w:color="auto"/>
            <w:right w:val="none" w:sz="0" w:space="0" w:color="auto"/>
          </w:divBdr>
        </w:div>
        <w:div w:id="872615511">
          <w:marLeft w:val="0"/>
          <w:marRight w:val="0"/>
          <w:marTop w:val="0"/>
          <w:marBottom w:val="0"/>
          <w:divBdr>
            <w:top w:val="none" w:sz="0" w:space="0" w:color="auto"/>
            <w:left w:val="none" w:sz="0" w:space="0" w:color="auto"/>
            <w:bottom w:val="none" w:sz="0" w:space="0" w:color="auto"/>
            <w:right w:val="none" w:sz="0" w:space="0" w:color="auto"/>
          </w:divBdr>
        </w:div>
        <w:div w:id="709182227">
          <w:marLeft w:val="0"/>
          <w:marRight w:val="0"/>
          <w:marTop w:val="0"/>
          <w:marBottom w:val="0"/>
          <w:divBdr>
            <w:top w:val="none" w:sz="0" w:space="0" w:color="auto"/>
            <w:left w:val="none" w:sz="0" w:space="0" w:color="auto"/>
            <w:bottom w:val="none" w:sz="0" w:space="0" w:color="auto"/>
            <w:right w:val="none" w:sz="0" w:space="0" w:color="auto"/>
          </w:divBdr>
        </w:div>
        <w:div w:id="1331641729">
          <w:marLeft w:val="0"/>
          <w:marRight w:val="0"/>
          <w:marTop w:val="0"/>
          <w:marBottom w:val="0"/>
          <w:divBdr>
            <w:top w:val="none" w:sz="0" w:space="0" w:color="auto"/>
            <w:left w:val="none" w:sz="0" w:space="0" w:color="auto"/>
            <w:bottom w:val="none" w:sz="0" w:space="0" w:color="auto"/>
            <w:right w:val="none" w:sz="0" w:space="0" w:color="auto"/>
          </w:divBdr>
        </w:div>
        <w:div w:id="157573237">
          <w:marLeft w:val="0"/>
          <w:marRight w:val="0"/>
          <w:marTop w:val="0"/>
          <w:marBottom w:val="0"/>
          <w:divBdr>
            <w:top w:val="none" w:sz="0" w:space="0" w:color="auto"/>
            <w:left w:val="none" w:sz="0" w:space="0" w:color="auto"/>
            <w:bottom w:val="none" w:sz="0" w:space="0" w:color="auto"/>
            <w:right w:val="none" w:sz="0" w:space="0" w:color="auto"/>
          </w:divBdr>
        </w:div>
      </w:divsChild>
    </w:div>
    <w:div w:id="799423300">
      <w:bodyDiv w:val="1"/>
      <w:marLeft w:val="0"/>
      <w:marRight w:val="0"/>
      <w:marTop w:val="0"/>
      <w:marBottom w:val="0"/>
      <w:divBdr>
        <w:top w:val="none" w:sz="0" w:space="0" w:color="auto"/>
        <w:left w:val="none" w:sz="0" w:space="0" w:color="auto"/>
        <w:bottom w:val="none" w:sz="0" w:space="0" w:color="auto"/>
        <w:right w:val="none" w:sz="0" w:space="0" w:color="auto"/>
      </w:divBdr>
    </w:div>
    <w:div w:id="1298486527">
      <w:bodyDiv w:val="1"/>
      <w:marLeft w:val="0"/>
      <w:marRight w:val="0"/>
      <w:marTop w:val="0"/>
      <w:marBottom w:val="0"/>
      <w:divBdr>
        <w:top w:val="none" w:sz="0" w:space="0" w:color="auto"/>
        <w:left w:val="none" w:sz="0" w:space="0" w:color="auto"/>
        <w:bottom w:val="none" w:sz="0" w:space="0" w:color="auto"/>
        <w:right w:val="none" w:sz="0" w:space="0" w:color="auto"/>
      </w:divBdr>
      <w:divsChild>
        <w:div w:id="1939604184">
          <w:marLeft w:val="0"/>
          <w:marRight w:val="0"/>
          <w:marTop w:val="0"/>
          <w:marBottom w:val="0"/>
          <w:divBdr>
            <w:top w:val="none" w:sz="0" w:space="0" w:color="auto"/>
            <w:left w:val="none" w:sz="0" w:space="0" w:color="auto"/>
            <w:bottom w:val="none" w:sz="0" w:space="0" w:color="auto"/>
            <w:right w:val="none" w:sz="0" w:space="0" w:color="auto"/>
          </w:divBdr>
        </w:div>
        <w:div w:id="452135608">
          <w:marLeft w:val="0"/>
          <w:marRight w:val="0"/>
          <w:marTop w:val="0"/>
          <w:marBottom w:val="0"/>
          <w:divBdr>
            <w:top w:val="none" w:sz="0" w:space="0" w:color="auto"/>
            <w:left w:val="none" w:sz="0" w:space="0" w:color="auto"/>
            <w:bottom w:val="none" w:sz="0" w:space="0" w:color="auto"/>
            <w:right w:val="none" w:sz="0" w:space="0" w:color="auto"/>
          </w:divBdr>
        </w:div>
        <w:div w:id="1180125441">
          <w:marLeft w:val="0"/>
          <w:marRight w:val="0"/>
          <w:marTop w:val="0"/>
          <w:marBottom w:val="0"/>
          <w:divBdr>
            <w:top w:val="none" w:sz="0" w:space="0" w:color="auto"/>
            <w:left w:val="none" w:sz="0" w:space="0" w:color="auto"/>
            <w:bottom w:val="none" w:sz="0" w:space="0" w:color="auto"/>
            <w:right w:val="none" w:sz="0" w:space="0" w:color="auto"/>
          </w:divBdr>
        </w:div>
        <w:div w:id="1070155963">
          <w:marLeft w:val="0"/>
          <w:marRight w:val="0"/>
          <w:marTop w:val="0"/>
          <w:marBottom w:val="0"/>
          <w:divBdr>
            <w:top w:val="none" w:sz="0" w:space="0" w:color="auto"/>
            <w:left w:val="none" w:sz="0" w:space="0" w:color="auto"/>
            <w:bottom w:val="none" w:sz="0" w:space="0" w:color="auto"/>
            <w:right w:val="none" w:sz="0" w:space="0" w:color="auto"/>
          </w:divBdr>
        </w:div>
        <w:div w:id="1409501311">
          <w:marLeft w:val="0"/>
          <w:marRight w:val="0"/>
          <w:marTop w:val="0"/>
          <w:marBottom w:val="0"/>
          <w:divBdr>
            <w:top w:val="none" w:sz="0" w:space="0" w:color="auto"/>
            <w:left w:val="none" w:sz="0" w:space="0" w:color="auto"/>
            <w:bottom w:val="none" w:sz="0" w:space="0" w:color="auto"/>
            <w:right w:val="none" w:sz="0" w:space="0" w:color="auto"/>
          </w:divBdr>
        </w:div>
      </w:divsChild>
    </w:div>
    <w:div w:id="13792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pl@uv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BA7BD0-BDD2-46A4-BA42-52B453F7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2711</Words>
  <Characters>15455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Szakácsová Zuzana</cp:lastModifiedBy>
  <cp:revision>49</cp:revision>
  <cp:lastPrinted>2023-07-17T12:04:00Z</cp:lastPrinted>
  <dcterms:created xsi:type="dcterms:W3CDTF">2023-05-10T07:08:00Z</dcterms:created>
  <dcterms:modified xsi:type="dcterms:W3CDTF">2024-04-12T08:42:00Z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y fmtid="{D5CDD505-2E9C-101B-9397-08002B2CF9AE}" pid="153" name="GrammarlyDocumentId">
    <vt:lpwstr>fc6b3d1c1138f38790b3d03e7e82067676a774f521f614f0b4a30f525a0a9e37</vt:lpwstr>
  </property>
</Properties>
</file>