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B3F" w14:textId="65488DC2" w:rsidR="00EA0285" w:rsidRPr="00EA0285" w:rsidRDefault="004F29E1" w:rsidP="004F2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DOVÁ SP</w:t>
      </w:r>
      <w:r w:rsidRPr="00EA02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ÁV</w:t>
      </w:r>
      <w:r w:rsidRPr="00EA02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14:paraId="1059E57E" w14:textId="77777777" w:rsidR="00EA0285" w:rsidRPr="00EA0285" w:rsidRDefault="00EA0285" w:rsidP="004F2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C5D1F0" w14:textId="77777777" w:rsidR="00EA0285" w:rsidRPr="00EA0285" w:rsidRDefault="00EA0285" w:rsidP="004F2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Všeobecná časť</w:t>
      </w:r>
    </w:p>
    <w:p w14:paraId="090DE312" w14:textId="77777777" w:rsidR="00EA0285" w:rsidRDefault="00EA0285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6C2C38" w14:textId="52ECB3F2" w:rsidR="006F0D33" w:rsidRDefault="00EA0285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č. 305/2005 Z.</w:t>
      </w:r>
      <w:r w:rsidR="002C19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z. o sociálnoprávnej ochrane detí a o sociálnej kuratele a o zmene a doplnení niektorých zákonov v znení neskorších predpisov je zariaden</w:t>
      </w:r>
      <w:r w:rsidR="00403B84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sociálnoprávnej ochrany detí a sociálnej kurately</w:t>
      </w:r>
      <w:r w:rsidR="00403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pre deti a rodiny (ďalej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„centrum“). </w:t>
      </w:r>
      <w:r w:rsidR="00403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je od roku 2018 nástupcom troch druhov zariadení – detského domova, krízového strediska a resocializačného strediska pre drogovo a inak závislých. V centre sa vykonávajú opatrenia </w:t>
      </w:r>
      <w:r w:rsidR="00403B84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sociálnoprávnej ochrany detí a sociálnej kurately</w:t>
      </w:r>
      <w:r w:rsidR="00403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pobytovou, amb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ulantnou alebo terénnou formou.</w:t>
      </w:r>
    </w:p>
    <w:p w14:paraId="4D0DF935" w14:textId="77777777" w:rsidR="004F29E1" w:rsidRDefault="004F29E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17F0AB" w14:textId="6313F102" w:rsidR="00F27C46" w:rsidRDefault="00403B84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Opa</w:t>
      </w:r>
      <w:r w:rsidR="00075253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renia pobytového charakteru sa vykonávajú buď na základe dohody s rodičmi</w:t>
      </w:r>
      <w:r w:rsidR="005F3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inými osobami zodpovednými za dieťa (po predchádzajúcom odporúčaní orgánu sociálnoprávnej ochrany detí a sociálnej kurately)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na základe rozhodnutia súdu v rôznych organizačných súčastiach centra - v </w:t>
      </w:r>
      <w:r w:rsidR="00F27C46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profesionálnych náhradných rodinách, samostatne usporiadaných skupinách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, skupinách (</w:t>
      </w:r>
      <w:r w:rsidR="00F27C46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špecializovaného programu centra pre deti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7C46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resocializačného programu centra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7C46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pre deti</w:t>
      </w:r>
      <w:r w:rsidR="005F3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plnoletých </w:t>
      </w:r>
      <w:r w:rsidR="00F27C46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závisl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F27C46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alkoholu, drog a patologického hráčstva).</w:t>
      </w:r>
    </w:p>
    <w:p w14:paraId="5300AC5A" w14:textId="77777777" w:rsidR="00F27C46" w:rsidRDefault="00F27C46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946F1A" w14:textId="261FF0BF" w:rsidR="0085597E" w:rsidRDefault="00EA0285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Zriaďovateľom centra je Ústredie práce sociálnych vecí a rodiny (ďalej len „Ústredie“)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entrum 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byť zriadené aj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akreditovan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(neštátny subjekt, ktorý splnil podmienky udelenia akreditácie) a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obc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vyšš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celk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om (v praxi je táto situácia výnimočná, existujú len dve centrá zriadené samosprávou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pričom 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samospráva môže zriaďovať len centrá, v ktorých sa nevykonáva súdne rozhodnutie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Akreditovaný subjekt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akreditované centrum musí plniť rovnaké podmienky ako centrum zriadené Ústredím a na 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opatrení, vrátane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poskytovania starostlivosti o deti, 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>pre ktoré sú vykonávané opatrenia pobytovou formou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 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poskytovaný za zákonom stanovených podmienok finančný prís</w:t>
      </w:r>
      <w:r w:rsidR="00D55AF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>evok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27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výkonu opatrení pobytovou formou je výška finančného príspevku 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 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určená zákonom stanoveným mechanizmom podľa počtu miest (§ 87 až § 89d zákona č. 305/2005 Z.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5597E">
        <w:rPr>
          <w:rFonts w:ascii="Times New Roman" w:eastAsia="Times New Roman" w:hAnsi="Times New Roman" w:cs="Times New Roman"/>
          <w:sz w:val="24"/>
          <w:szCs w:val="24"/>
          <w:lang w:eastAsia="sk-SK"/>
        </w:rPr>
        <w:t>z.).</w:t>
      </w:r>
    </w:p>
    <w:p w14:paraId="73AFE88D" w14:textId="77777777" w:rsidR="004631B4" w:rsidRPr="004F29E1" w:rsidRDefault="004631B4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619F13" w14:textId="6EE7A6EF" w:rsidR="0085597E" w:rsidRPr="006F0D33" w:rsidRDefault="0085597E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príspevok sa poskytuje na každé miesto určené zákonom stanoveným spôsobom (prostredníctvom tzv. priorít) vo výške preukázaných skutočných výdavkov na tieto miesta (po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odpočítaní určenej úhrady v prípade tzv. dobrovoľných pobytov) vo výške sumy priemerných bežných výdavkov na každé miesto vo všetkých centrách zriadených </w:t>
      </w:r>
      <w:r w:rsidR="006F0D33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Ústredím 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za predchádzajúci kalendárny rok</w:t>
      </w:r>
      <w:r w:rsidR="006F0D33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inančný príspevok sa môže použiť aj na kapitálové výdavky, najviac do výšky 10 % poskytnutého finančného príspevku v rozpočtovom roku</w:t>
      </w:r>
      <w:r w:rsidR="006F0D33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DFD0431" w14:textId="77777777" w:rsidR="004F29E1" w:rsidRDefault="004F29E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9D0045" w14:textId="67A5D0AE" w:rsidR="004631B4" w:rsidRPr="004F29E1" w:rsidRDefault="006F0D33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postup je záväzný pre zabezpečenie všetkých miest v akreditovaných centrách  okrem miest</w:t>
      </w:r>
      <w:r w:rsidR="0038707E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ktorých sa vykonáva špecializovaný program na predchádzanie vzniku, prehlbovania a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opakovania krízových situácií dieťaťa, ktoré je obeťou trestného činu obchodovania s ľuďmi, dieťaťa týraného alebo sexuálne zneužívaného alebo na vykonávanie opatrení na overenie miery ohrozenia dieťaťa týraním, sexuálnym zneužívaním alebo inými činmi ohrozujúcimi jeho život, zdravie, priaznivý psychický, fyzický alebo sociálny vývin. V prípade 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akreditovaných 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cent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ier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účelom je výlučne vykonávanie špecializovaného programu a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kapacita 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vyšš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20 miest sa hranica maximálnej sum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finančného príspevku 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zákonom stanoveným postupom </w:t>
      </w:r>
      <w:r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zvýši o 40 %.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Táto odchýlka vo financovaní má zabezpečiť podmienky 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vykonávanie mimoriadne náročných opatrení</w:t>
      </w:r>
      <w:r w:rsidR="00CD575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aj z hľadiska finančných nárokov na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631B4" w:rsidRP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zodpovedajúce odborné zabezpečenie odborných </w:t>
      </w:r>
      <w:r w:rsidR="00112A9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činností vykonávaných pre deti.</w:t>
      </w:r>
    </w:p>
    <w:p w14:paraId="6EB9F194" w14:textId="77777777" w:rsidR="004F29E1" w:rsidRDefault="004F29E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0B768B" w14:textId="0D730AFE" w:rsidR="001B2934" w:rsidRDefault="00075253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porovnateľnú náročnosť starostlivosti je potrebné zaviesť porovnateľný mechanizmus financovania miest 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špecializovaných samostatných skupinách</w:t>
      </w:r>
      <w:r w:rsidR="001B293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ktorých je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poskytovaná starostlivosť deťom 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>s duševnou poruchou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(ich 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stav vyžaduje ošetrovateľskú starostlivosť v špecializovanej samostatnej skupine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deťom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je potrebné poskytovať osobitnú starostlivosť v špecializovanej samostatnej skupine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 ich vážneho zdravotného stavu. Je potrebné z</w:t>
      </w:r>
      <w:r w:rsidR="001B2934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ôra</w:t>
      </w:r>
      <w:r w:rsidR="001B2934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niť, že v oboch prípadoch je starostlivosť v špecializovanej samostatnej skupine poskytovaná </w:t>
      </w:r>
      <w:r w:rsidR="001B2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výlučne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7333DB"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základe posúdenia potreby osobitnej starostlivosti </w:t>
      </w:r>
      <w:r w:rsidR="00501A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lekárom </w:t>
      </w:r>
      <w:r w:rsidR="007333DB"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>(podľa § 51 ods. 7 zákona č. 305/2005 Z. z.).</w:t>
      </w:r>
    </w:p>
    <w:p w14:paraId="79BFC2BA" w14:textId="77777777" w:rsidR="004F29E1" w:rsidRDefault="004F29E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C2BAB9" w14:textId="4AA5D041" w:rsidR="007333DB" w:rsidRDefault="00501A50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o deti s vážnym zdravotným znevýhodnením vyžaduje zvýšené nároky na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personálne zabezpečenie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súčasťou personálneho štandardu sú </w:t>
      </w:r>
      <w:proofErr w:type="spellStart"/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>o.i</w:t>
      </w:r>
      <w:proofErr w:type="spellEnd"/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>. aj zdravotné sestry)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zabezpečenie zdravotnej starostlivosti (lieky, špecializované vyšetrenia) a s tým súvisiace ďalšie finančné nároky (pohonné hmoty,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zdravotná technika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finančné nároky na zabezpečenie ďalších potrieb detí</w:t>
      </w:r>
      <w:r w:rsidR="00E83FF0" w:rsidRP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(špeciálne hračky, didaktické pomôcky, organizácia voľného času)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Vo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väčších centrách, resp. v centrách, ktor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 majú rôznorodé organizačné súčasti</w:t>
      </w:r>
      <w:r w:rsidR="00D7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zabezpečenie </w:t>
      </w:r>
      <w:r w:rsidR="00D7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takejto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starostlivosti </w:t>
      </w:r>
      <w:r w:rsidR="00D7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ešte stále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zvládnuteľné</w:t>
      </w:r>
      <w:r w:rsidR="00D7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(aj keď s problémami)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avšak </w:t>
      </w:r>
      <w:proofErr w:type="spellStart"/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nízkokapacitné</w:t>
      </w:r>
      <w:proofErr w:type="spellEnd"/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centrá zabezpečujúce výlučne starostlivosť v špecializovaných samostatných skupinách s ošetrovateľskou starostlivosťou 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nedokážu pri dlhodobom náraste cien prakticky všetkých položiek v ich rozpočtoch zabezpečiť bezproblémovo </w:t>
      </w:r>
      <w:r w:rsidR="00C46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starostlivosť 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pri aktuálne nastaven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výške finančného príspevku. 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Kritickú situáciu avizujú najmä akreditované centrá</w:t>
      </w:r>
      <w:r w:rsidR="00F46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hoci takúto formu odbornej pomoci a starostlivosti deťom poskytujú len 2 z 31 akreditovaných centier (v celkovom počte 24 miest), </w:t>
      </w:r>
      <w:r w:rsid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</w:t>
      </w:r>
      <w:r w:rsid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F4647A" w:rsidRP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>v uvedených dvoch špecializovaných samostatnýc</w:t>
      </w:r>
      <w:r w:rsidR="00F4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skupinách </w:t>
      </w:r>
      <w:r w:rsid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použiť rovnaký mechanizmus </w:t>
      </w:r>
      <w:r w:rsidR="00EE7E59" w:rsidRP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financovania miest</w:t>
      </w:r>
      <w:r w:rsidR="002B0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u náročnosťou na starostlivosť porovnateľného </w:t>
      </w:r>
      <w:r w:rsidR="00EE7E59" w:rsidRP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špecializovaného programu.</w:t>
      </w:r>
    </w:p>
    <w:p w14:paraId="126C7B0D" w14:textId="77777777" w:rsidR="004F29E1" w:rsidRDefault="004F29E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331FF1" w14:textId="68728C93" w:rsidR="00D04741" w:rsidRPr="00D04741" w:rsidRDefault="00D0474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bud</w:t>
      </w:r>
      <w:r w:rsidR="00E83FF0" w:rsidRP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mať </w:t>
      </w:r>
      <w:r w:rsidR="00794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negatívny vplyv </w:t>
      </w:r>
      <w:r w:rsidR="00E83FF0" w:rsidRP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na verejné financie</w:t>
      </w:r>
      <w:r w:rsidR="00794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pozitívny sociálny vplyv</w:t>
      </w:r>
      <w:r w:rsidRPr="00E83FF0">
        <w:rPr>
          <w:rFonts w:ascii="Times New Roman" w:eastAsia="Times New Roman" w:hAnsi="Times New Roman" w:cs="Times New Roman"/>
          <w:sz w:val="24"/>
          <w:szCs w:val="24"/>
          <w:lang w:eastAsia="sk-SK"/>
        </w:rPr>
        <w:t>. Návrh</w:t>
      </w:r>
      <w:r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nebude mať </w:t>
      </w:r>
      <w:r w:rsidR="005F3F5B">
        <w:rPr>
          <w:rFonts w:ascii="Times New Roman" w:eastAsia="Times New Roman" w:hAnsi="Times New Roman" w:cs="Times New Roman"/>
          <w:sz w:val="24"/>
          <w:szCs w:val="24"/>
          <w:lang w:eastAsia="sk-SK"/>
        </w:rPr>
        <w:t>vplyv</w:t>
      </w:r>
      <w:r w:rsidR="005F3F5B"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podnikateľské prostredie, životné prostredie ani informatizáciu. Návrh nebude mať vplyv na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služby pre občana. Návrh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nebude mať</w:t>
      </w:r>
      <w:r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na man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želstvo, rodičovstvo a</w:t>
      </w:r>
      <w:r w:rsidR="00112A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F29E1">
        <w:rPr>
          <w:rFonts w:ascii="Times New Roman" w:eastAsia="Times New Roman" w:hAnsi="Times New Roman" w:cs="Times New Roman"/>
          <w:sz w:val="24"/>
          <w:szCs w:val="24"/>
          <w:lang w:eastAsia="sk-SK"/>
        </w:rPr>
        <w:t>rodinu.</w:t>
      </w:r>
    </w:p>
    <w:p w14:paraId="6B2A4804" w14:textId="77777777" w:rsidR="004F29E1" w:rsidRDefault="004F29E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70254C" w14:textId="44CD0159" w:rsidR="00EE7E59" w:rsidRDefault="00D04741" w:rsidP="004F2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74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</w:t>
      </w:r>
    </w:p>
    <w:sectPr w:rsidR="00EE7E59" w:rsidSect="007B478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ED40" w14:textId="77777777" w:rsidR="007F1AE8" w:rsidRDefault="007F1AE8" w:rsidP="00272EFF">
      <w:pPr>
        <w:spacing w:after="0" w:line="240" w:lineRule="auto"/>
      </w:pPr>
      <w:r>
        <w:separator/>
      </w:r>
    </w:p>
  </w:endnote>
  <w:endnote w:type="continuationSeparator" w:id="0">
    <w:p w14:paraId="1E3F7280" w14:textId="77777777" w:rsidR="007F1AE8" w:rsidRDefault="007F1AE8" w:rsidP="0027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245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595A67" w14:textId="232B299E" w:rsidR="006159FD" w:rsidRPr="006159FD" w:rsidRDefault="006159FD">
        <w:pPr>
          <w:pStyle w:val="Pta"/>
          <w:jc w:val="right"/>
          <w:rPr>
            <w:rFonts w:ascii="Times New Roman" w:hAnsi="Times New Roman" w:cs="Times New Roman"/>
          </w:rPr>
        </w:pPr>
        <w:r w:rsidRPr="006159FD">
          <w:rPr>
            <w:rFonts w:ascii="Times New Roman" w:hAnsi="Times New Roman" w:cs="Times New Roman"/>
          </w:rPr>
          <w:fldChar w:fldCharType="begin"/>
        </w:r>
        <w:r w:rsidRPr="006159FD">
          <w:rPr>
            <w:rFonts w:ascii="Times New Roman" w:hAnsi="Times New Roman" w:cs="Times New Roman"/>
          </w:rPr>
          <w:instrText>PAGE   \* MERGEFORMAT</w:instrText>
        </w:r>
        <w:r w:rsidRPr="006159FD">
          <w:rPr>
            <w:rFonts w:ascii="Times New Roman" w:hAnsi="Times New Roman" w:cs="Times New Roman"/>
          </w:rPr>
          <w:fldChar w:fldCharType="separate"/>
        </w:r>
        <w:r w:rsidR="00AC7613">
          <w:rPr>
            <w:rFonts w:ascii="Times New Roman" w:hAnsi="Times New Roman" w:cs="Times New Roman"/>
            <w:noProof/>
          </w:rPr>
          <w:t>2</w:t>
        </w:r>
        <w:r w:rsidRPr="006159FD">
          <w:rPr>
            <w:rFonts w:ascii="Times New Roman" w:hAnsi="Times New Roman" w:cs="Times New Roman"/>
          </w:rPr>
          <w:fldChar w:fldCharType="end"/>
        </w:r>
      </w:p>
    </w:sdtContent>
  </w:sdt>
  <w:p w14:paraId="304BCBC4" w14:textId="77777777" w:rsidR="00272EFF" w:rsidRDefault="00272E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E180" w14:textId="77777777" w:rsidR="007F1AE8" w:rsidRDefault="007F1AE8" w:rsidP="00272EFF">
      <w:pPr>
        <w:spacing w:after="0" w:line="240" w:lineRule="auto"/>
      </w:pPr>
      <w:r>
        <w:separator/>
      </w:r>
    </w:p>
  </w:footnote>
  <w:footnote w:type="continuationSeparator" w:id="0">
    <w:p w14:paraId="6B8A42D6" w14:textId="77777777" w:rsidR="007F1AE8" w:rsidRDefault="007F1AE8" w:rsidP="0027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F63"/>
    <w:multiLevelType w:val="hybridMultilevel"/>
    <w:tmpl w:val="C29215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82ED6"/>
    <w:multiLevelType w:val="hybridMultilevel"/>
    <w:tmpl w:val="502C33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7"/>
    <w:rsid w:val="00065138"/>
    <w:rsid w:val="00075253"/>
    <w:rsid w:val="00112A95"/>
    <w:rsid w:val="001235F8"/>
    <w:rsid w:val="001331D9"/>
    <w:rsid w:val="001821A6"/>
    <w:rsid w:val="00187DA6"/>
    <w:rsid w:val="001B2934"/>
    <w:rsid w:val="001D361F"/>
    <w:rsid w:val="001F0A36"/>
    <w:rsid w:val="001F5F01"/>
    <w:rsid w:val="002117F7"/>
    <w:rsid w:val="00272EFF"/>
    <w:rsid w:val="0028410E"/>
    <w:rsid w:val="002B080E"/>
    <w:rsid w:val="002C1991"/>
    <w:rsid w:val="002E137D"/>
    <w:rsid w:val="003515D3"/>
    <w:rsid w:val="0038707E"/>
    <w:rsid w:val="00387838"/>
    <w:rsid w:val="003B1FDD"/>
    <w:rsid w:val="00403B84"/>
    <w:rsid w:val="00420F39"/>
    <w:rsid w:val="004631B4"/>
    <w:rsid w:val="00484DB8"/>
    <w:rsid w:val="004A1FBD"/>
    <w:rsid w:val="004B3A03"/>
    <w:rsid w:val="004E3F4D"/>
    <w:rsid w:val="004F29E1"/>
    <w:rsid w:val="00501A50"/>
    <w:rsid w:val="00511CB1"/>
    <w:rsid w:val="005529E1"/>
    <w:rsid w:val="005F3F5B"/>
    <w:rsid w:val="006159FD"/>
    <w:rsid w:val="006A4676"/>
    <w:rsid w:val="006B33EB"/>
    <w:rsid w:val="006F0D33"/>
    <w:rsid w:val="007333DB"/>
    <w:rsid w:val="0075723D"/>
    <w:rsid w:val="00794B40"/>
    <w:rsid w:val="007F1AE8"/>
    <w:rsid w:val="00820213"/>
    <w:rsid w:val="00853B43"/>
    <w:rsid w:val="0085597E"/>
    <w:rsid w:val="00924F0B"/>
    <w:rsid w:val="00A52D74"/>
    <w:rsid w:val="00A74656"/>
    <w:rsid w:val="00AC7613"/>
    <w:rsid w:val="00C257B8"/>
    <w:rsid w:val="00C464BC"/>
    <w:rsid w:val="00C70B98"/>
    <w:rsid w:val="00C95EAF"/>
    <w:rsid w:val="00CD5751"/>
    <w:rsid w:val="00D04741"/>
    <w:rsid w:val="00D55AFC"/>
    <w:rsid w:val="00D64AB4"/>
    <w:rsid w:val="00D7307E"/>
    <w:rsid w:val="00D73260"/>
    <w:rsid w:val="00E11DED"/>
    <w:rsid w:val="00E83FF0"/>
    <w:rsid w:val="00EA0285"/>
    <w:rsid w:val="00EE7E59"/>
    <w:rsid w:val="00EF6867"/>
    <w:rsid w:val="00F27C46"/>
    <w:rsid w:val="00F4647A"/>
    <w:rsid w:val="00F63C40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1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EA02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0285"/>
    <w:rPr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EA028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B4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EF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7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EF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1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1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1DED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1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1DED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2024-01-24T11:18:00Z</dcterms:created>
  <dcterms:modified xsi:type="dcterms:W3CDTF">2024-02-28T12:52:00Z</dcterms:modified>
</cp:coreProperties>
</file>