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63EDAB9A"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C655C9">
        <w:rPr>
          <w:rFonts w:ascii="Times New Roman" w:eastAsia="Calibri" w:hAnsi="Times New Roman" w:cs="Times New Roman"/>
          <w:b/>
          <w:sz w:val="24"/>
          <w:szCs w:val="24"/>
        </w:rPr>
        <w:t xml:space="preserve"> </w:t>
      </w:r>
      <w:r w:rsidR="00C655C9" w:rsidRPr="00732BD0">
        <w:rPr>
          <w:rFonts w:ascii="Times New Roman" w:eastAsia="Calibri" w:hAnsi="Times New Roman" w:cs="Times New Roman"/>
          <w:sz w:val="24"/>
          <w:szCs w:val="24"/>
        </w:rPr>
        <w:t>N</w:t>
      </w:r>
      <w:r w:rsidR="00C655C9" w:rsidRPr="00732BD0">
        <w:rPr>
          <w:rFonts w:ascii="Times New Roman" w:hAnsi="Times New Roman"/>
          <w:bCs/>
          <w:sz w:val="24"/>
          <w:szCs w:val="24"/>
        </w:rPr>
        <w:t>ávrh zákona, ktorým sa mení a dopĺňa zákon č. 56/2012 Z. z. o cestnej doprave v znení neskorších predpisov a ktorým sa mení zákon Národnej rady Slovenskej republiky č.  145/1995  Z. z. o správnych poplatkoch v znení neskorších predpisov</w:t>
      </w:r>
    </w:p>
    <w:p w14:paraId="2711DC2C" w14:textId="058502F5"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C655C9">
        <w:rPr>
          <w:rFonts w:ascii="Times New Roman" w:eastAsia="Calibri" w:hAnsi="Times New Roman" w:cs="Times New Roman"/>
          <w:b/>
          <w:sz w:val="24"/>
          <w:szCs w:val="24"/>
        </w:rPr>
        <w:t xml:space="preserve"> Ministerstvo dopravy SR</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tbl>
      <w:tblPr>
        <w:tblW w:w="9200" w:type="dxa"/>
        <w:tblCellMar>
          <w:left w:w="70" w:type="dxa"/>
          <w:right w:w="70" w:type="dxa"/>
        </w:tblCellMar>
        <w:tblLook w:val="04A0" w:firstRow="1" w:lastRow="0" w:firstColumn="1" w:lastColumn="0" w:noHBand="0" w:noVBand="1"/>
      </w:tblPr>
      <w:tblGrid>
        <w:gridCol w:w="146"/>
        <w:gridCol w:w="5023"/>
        <w:gridCol w:w="2080"/>
        <w:gridCol w:w="2080"/>
      </w:tblGrid>
      <w:tr w:rsidR="00674F9B" w:rsidRPr="00674F9B" w14:paraId="6C376688" w14:textId="77777777" w:rsidTr="00674F9B">
        <w:trPr>
          <w:trHeight w:val="1020"/>
        </w:trPr>
        <w:tc>
          <w:tcPr>
            <w:tcW w:w="9200" w:type="dxa"/>
            <w:gridSpan w:val="4"/>
            <w:tcBorders>
              <w:top w:val="nil"/>
              <w:left w:val="nil"/>
              <w:bottom w:val="nil"/>
              <w:right w:val="nil"/>
            </w:tcBorders>
            <w:shd w:val="clear" w:color="auto" w:fill="auto"/>
            <w:vAlign w:val="center"/>
            <w:hideMark/>
          </w:tcPr>
          <w:p w14:paraId="13D4F7E9" w14:textId="77777777" w:rsidR="00674F9B" w:rsidRPr="00674F9B" w:rsidRDefault="00674F9B" w:rsidP="00674F9B">
            <w:pPr>
              <w:spacing w:after="0" w:line="240" w:lineRule="auto"/>
              <w:rPr>
                <w:rFonts w:ascii="Times New Roman" w:eastAsia="Times New Roman" w:hAnsi="Times New Roman" w:cs="Times New Roman"/>
                <w:b/>
                <w:bCs/>
                <w:color w:val="000000"/>
                <w:sz w:val="24"/>
                <w:szCs w:val="24"/>
                <w:lang w:eastAsia="sk-SK"/>
              </w:rPr>
            </w:pPr>
            <w:r w:rsidRPr="00674F9B">
              <w:rPr>
                <w:rFonts w:ascii="Times New Roman" w:eastAsia="Times New Roman" w:hAnsi="Times New Roman" w:cs="Times New Roman"/>
                <w:b/>
                <w:bCs/>
                <w:color w:val="000000"/>
                <w:sz w:val="24"/>
                <w:szCs w:val="24"/>
                <w:lang w:eastAsia="sk-SK"/>
              </w:rPr>
              <w:t>Tabuľka č. 1: Zmeny nákladov v prepočte na podnikateľské prostredie, vyhodnotenie mechanizmu znižovania byrokracie a nákladov.</w:t>
            </w:r>
          </w:p>
        </w:tc>
      </w:tr>
      <w:tr w:rsidR="00674F9B" w:rsidRPr="00674F9B" w14:paraId="46EB5329" w14:textId="77777777" w:rsidTr="00674F9B">
        <w:trPr>
          <w:trHeight w:val="270"/>
        </w:trPr>
        <w:tc>
          <w:tcPr>
            <w:tcW w:w="17" w:type="dxa"/>
            <w:tcBorders>
              <w:top w:val="nil"/>
              <w:left w:val="nil"/>
              <w:bottom w:val="nil"/>
              <w:right w:val="nil"/>
            </w:tcBorders>
            <w:shd w:val="clear" w:color="auto" w:fill="auto"/>
            <w:noWrap/>
            <w:vAlign w:val="bottom"/>
            <w:hideMark/>
          </w:tcPr>
          <w:p w14:paraId="246554C9" w14:textId="77777777" w:rsidR="00674F9B" w:rsidRPr="00674F9B" w:rsidRDefault="00674F9B" w:rsidP="00674F9B">
            <w:pPr>
              <w:spacing w:after="0" w:line="240" w:lineRule="auto"/>
              <w:rPr>
                <w:rFonts w:ascii="Times New Roman" w:eastAsia="Times New Roman" w:hAnsi="Times New Roman" w:cs="Times New Roman"/>
                <w:b/>
                <w:bCs/>
                <w:color w:val="000000"/>
                <w:sz w:val="24"/>
                <w:szCs w:val="24"/>
                <w:lang w:eastAsia="sk-SK"/>
              </w:rPr>
            </w:pPr>
          </w:p>
        </w:tc>
        <w:tc>
          <w:tcPr>
            <w:tcW w:w="5023" w:type="dxa"/>
            <w:tcBorders>
              <w:top w:val="nil"/>
              <w:left w:val="nil"/>
              <w:bottom w:val="nil"/>
              <w:right w:val="nil"/>
            </w:tcBorders>
            <w:shd w:val="clear" w:color="auto" w:fill="auto"/>
            <w:noWrap/>
            <w:vAlign w:val="bottom"/>
            <w:hideMark/>
          </w:tcPr>
          <w:p w14:paraId="5E7273B7"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noWrap/>
            <w:vAlign w:val="bottom"/>
            <w:hideMark/>
          </w:tcPr>
          <w:p w14:paraId="67CE255F"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noWrap/>
            <w:vAlign w:val="bottom"/>
            <w:hideMark/>
          </w:tcPr>
          <w:p w14:paraId="6A7C8AF2"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r>
      <w:tr w:rsidR="00674F9B" w:rsidRPr="00674F9B" w14:paraId="5D9B6799" w14:textId="77777777" w:rsidTr="00674F9B">
        <w:trPr>
          <w:trHeight w:val="675"/>
        </w:trPr>
        <w:tc>
          <w:tcPr>
            <w:tcW w:w="17" w:type="dxa"/>
            <w:tcBorders>
              <w:top w:val="nil"/>
              <w:left w:val="nil"/>
              <w:bottom w:val="nil"/>
              <w:right w:val="nil"/>
            </w:tcBorders>
            <w:shd w:val="clear" w:color="auto" w:fill="auto"/>
            <w:noWrap/>
            <w:vAlign w:val="bottom"/>
            <w:hideMark/>
          </w:tcPr>
          <w:p w14:paraId="4CE21F4A"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c>
          <w:tcPr>
            <w:tcW w:w="502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9D73A18" w14:textId="77777777" w:rsidR="00674F9B" w:rsidRPr="00674F9B" w:rsidRDefault="00674F9B" w:rsidP="00674F9B">
            <w:pPr>
              <w:spacing w:after="0" w:line="240" w:lineRule="auto"/>
              <w:jc w:val="center"/>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TYP NÁKLADOV</w:t>
            </w:r>
          </w:p>
        </w:tc>
        <w:tc>
          <w:tcPr>
            <w:tcW w:w="2080" w:type="dxa"/>
            <w:tcBorders>
              <w:top w:val="single" w:sz="8" w:space="0" w:color="auto"/>
              <w:left w:val="nil"/>
              <w:bottom w:val="single" w:sz="8" w:space="0" w:color="auto"/>
              <w:right w:val="single" w:sz="4" w:space="0" w:color="auto"/>
            </w:tcBorders>
            <w:shd w:val="clear" w:color="000000" w:fill="FFC000"/>
            <w:vAlign w:val="center"/>
            <w:hideMark/>
          </w:tcPr>
          <w:p w14:paraId="70DC66E2"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Zvýšenie nákladov v € na PP</w:t>
            </w:r>
          </w:p>
        </w:tc>
        <w:tc>
          <w:tcPr>
            <w:tcW w:w="2080" w:type="dxa"/>
            <w:tcBorders>
              <w:top w:val="single" w:sz="8" w:space="0" w:color="auto"/>
              <w:left w:val="nil"/>
              <w:bottom w:val="single" w:sz="8" w:space="0" w:color="auto"/>
              <w:right w:val="single" w:sz="8" w:space="0" w:color="auto"/>
            </w:tcBorders>
            <w:shd w:val="clear" w:color="000000" w:fill="92D050"/>
            <w:vAlign w:val="center"/>
            <w:hideMark/>
          </w:tcPr>
          <w:p w14:paraId="5263E6D5"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Zníženie nákladov v € na PP</w:t>
            </w:r>
          </w:p>
        </w:tc>
      </w:tr>
      <w:tr w:rsidR="00674F9B" w:rsidRPr="00674F9B" w14:paraId="4BFC3666" w14:textId="77777777" w:rsidTr="00674F9B">
        <w:trPr>
          <w:trHeight w:val="810"/>
        </w:trPr>
        <w:tc>
          <w:tcPr>
            <w:tcW w:w="17" w:type="dxa"/>
            <w:tcBorders>
              <w:top w:val="nil"/>
              <w:left w:val="nil"/>
              <w:bottom w:val="nil"/>
              <w:right w:val="nil"/>
            </w:tcBorders>
            <w:shd w:val="clear" w:color="auto" w:fill="auto"/>
            <w:noWrap/>
            <w:vAlign w:val="bottom"/>
            <w:hideMark/>
          </w:tcPr>
          <w:p w14:paraId="2DE239D7"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p>
        </w:tc>
        <w:tc>
          <w:tcPr>
            <w:tcW w:w="5023" w:type="dxa"/>
            <w:tcBorders>
              <w:top w:val="nil"/>
              <w:left w:val="single" w:sz="8" w:space="0" w:color="auto"/>
              <w:bottom w:val="single" w:sz="4" w:space="0" w:color="auto"/>
              <w:right w:val="single" w:sz="4" w:space="0" w:color="auto"/>
            </w:tcBorders>
            <w:shd w:val="clear" w:color="auto" w:fill="auto"/>
            <w:vAlign w:val="center"/>
            <w:hideMark/>
          </w:tcPr>
          <w:p w14:paraId="5AD1BE1A" w14:textId="77777777" w:rsidR="00674F9B" w:rsidRPr="00674F9B" w:rsidRDefault="00674F9B" w:rsidP="00674F9B">
            <w:pPr>
              <w:spacing w:after="0" w:line="240" w:lineRule="auto"/>
              <w:rPr>
                <w:rFonts w:ascii="Times New Roman" w:eastAsia="Times New Roman" w:hAnsi="Times New Roman" w:cs="Times New Roman"/>
                <w:b/>
                <w:bCs/>
                <w:i/>
                <w:iCs/>
                <w:color w:val="000000"/>
                <w:sz w:val="20"/>
                <w:szCs w:val="20"/>
                <w:lang w:eastAsia="sk-SK"/>
              </w:rPr>
            </w:pPr>
            <w:proofErr w:type="spellStart"/>
            <w:r w:rsidRPr="00674F9B">
              <w:rPr>
                <w:rFonts w:ascii="Times New Roman" w:eastAsia="Times New Roman" w:hAnsi="Times New Roman" w:cs="Times New Roman"/>
                <w:b/>
                <w:bCs/>
                <w:i/>
                <w:iCs/>
                <w:color w:val="000000"/>
                <w:sz w:val="20"/>
                <w:szCs w:val="20"/>
                <w:lang w:eastAsia="sk-SK"/>
              </w:rPr>
              <w:t>A.Dane</w:t>
            </w:r>
            <w:proofErr w:type="spellEnd"/>
            <w:r w:rsidRPr="00674F9B">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674F9B">
              <w:rPr>
                <w:rFonts w:ascii="Times New Roman" w:eastAsia="Times New Roman" w:hAnsi="Times New Roman" w:cs="Times New Roman"/>
                <w:b/>
                <w:bCs/>
                <w:i/>
                <w:iCs/>
                <w:color w:val="000000"/>
                <w:sz w:val="20"/>
                <w:szCs w:val="20"/>
                <w:lang w:eastAsia="sk-SK"/>
              </w:rPr>
              <w:t>externality</w:t>
            </w:r>
            <w:proofErr w:type="spellEnd"/>
          </w:p>
        </w:tc>
        <w:tc>
          <w:tcPr>
            <w:tcW w:w="2080" w:type="dxa"/>
            <w:tcBorders>
              <w:top w:val="nil"/>
              <w:left w:val="nil"/>
              <w:bottom w:val="single" w:sz="4" w:space="0" w:color="auto"/>
              <w:right w:val="single" w:sz="4" w:space="0" w:color="auto"/>
            </w:tcBorders>
            <w:shd w:val="clear" w:color="000000" w:fill="FFC000"/>
            <w:vAlign w:val="center"/>
            <w:hideMark/>
          </w:tcPr>
          <w:p w14:paraId="3B76D2D9"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c>
          <w:tcPr>
            <w:tcW w:w="2080" w:type="dxa"/>
            <w:tcBorders>
              <w:top w:val="nil"/>
              <w:left w:val="nil"/>
              <w:bottom w:val="single" w:sz="4" w:space="0" w:color="auto"/>
              <w:right w:val="single" w:sz="8" w:space="0" w:color="auto"/>
            </w:tcBorders>
            <w:shd w:val="clear" w:color="000000" w:fill="92D050"/>
            <w:vAlign w:val="center"/>
            <w:hideMark/>
          </w:tcPr>
          <w:p w14:paraId="58839BC8"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r>
      <w:tr w:rsidR="00674F9B" w:rsidRPr="00674F9B" w14:paraId="492526A0" w14:textId="77777777" w:rsidTr="00674F9B">
        <w:trPr>
          <w:trHeight w:val="300"/>
        </w:trPr>
        <w:tc>
          <w:tcPr>
            <w:tcW w:w="17" w:type="dxa"/>
            <w:tcBorders>
              <w:top w:val="nil"/>
              <w:left w:val="nil"/>
              <w:bottom w:val="nil"/>
              <w:right w:val="nil"/>
            </w:tcBorders>
            <w:shd w:val="clear" w:color="auto" w:fill="auto"/>
            <w:noWrap/>
            <w:vAlign w:val="bottom"/>
            <w:hideMark/>
          </w:tcPr>
          <w:p w14:paraId="25BFD2BB"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p>
        </w:tc>
        <w:tc>
          <w:tcPr>
            <w:tcW w:w="5023" w:type="dxa"/>
            <w:tcBorders>
              <w:top w:val="nil"/>
              <w:left w:val="single" w:sz="8" w:space="0" w:color="auto"/>
              <w:bottom w:val="single" w:sz="4" w:space="0" w:color="auto"/>
              <w:right w:val="single" w:sz="4" w:space="0" w:color="auto"/>
            </w:tcBorders>
            <w:shd w:val="clear" w:color="auto" w:fill="auto"/>
            <w:vAlign w:val="center"/>
            <w:hideMark/>
          </w:tcPr>
          <w:p w14:paraId="4B040415" w14:textId="77777777" w:rsidR="00674F9B" w:rsidRPr="00674F9B" w:rsidRDefault="00674F9B" w:rsidP="00674F9B">
            <w:pPr>
              <w:spacing w:after="0" w:line="240" w:lineRule="auto"/>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B. Iné poplatky</w:t>
            </w:r>
          </w:p>
        </w:tc>
        <w:tc>
          <w:tcPr>
            <w:tcW w:w="2080" w:type="dxa"/>
            <w:tcBorders>
              <w:top w:val="nil"/>
              <w:left w:val="nil"/>
              <w:bottom w:val="single" w:sz="4" w:space="0" w:color="auto"/>
              <w:right w:val="single" w:sz="4" w:space="0" w:color="auto"/>
            </w:tcBorders>
            <w:shd w:val="clear" w:color="000000" w:fill="FFC000"/>
            <w:vAlign w:val="center"/>
            <w:hideMark/>
          </w:tcPr>
          <w:p w14:paraId="741D83A6"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c>
          <w:tcPr>
            <w:tcW w:w="2080" w:type="dxa"/>
            <w:tcBorders>
              <w:top w:val="nil"/>
              <w:left w:val="nil"/>
              <w:bottom w:val="single" w:sz="4" w:space="0" w:color="auto"/>
              <w:right w:val="single" w:sz="8" w:space="0" w:color="auto"/>
            </w:tcBorders>
            <w:shd w:val="clear" w:color="000000" w:fill="92D050"/>
            <w:vAlign w:val="center"/>
            <w:hideMark/>
          </w:tcPr>
          <w:p w14:paraId="2B507855"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r>
      <w:tr w:rsidR="00674F9B" w:rsidRPr="00674F9B" w14:paraId="51031B74" w14:textId="77777777" w:rsidTr="00674F9B">
        <w:trPr>
          <w:trHeight w:val="300"/>
        </w:trPr>
        <w:tc>
          <w:tcPr>
            <w:tcW w:w="17" w:type="dxa"/>
            <w:tcBorders>
              <w:top w:val="nil"/>
              <w:left w:val="nil"/>
              <w:bottom w:val="nil"/>
              <w:right w:val="nil"/>
            </w:tcBorders>
            <w:shd w:val="clear" w:color="auto" w:fill="auto"/>
            <w:noWrap/>
            <w:vAlign w:val="bottom"/>
            <w:hideMark/>
          </w:tcPr>
          <w:p w14:paraId="3147A87C"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p>
        </w:tc>
        <w:tc>
          <w:tcPr>
            <w:tcW w:w="5023" w:type="dxa"/>
            <w:tcBorders>
              <w:top w:val="nil"/>
              <w:left w:val="single" w:sz="8" w:space="0" w:color="auto"/>
              <w:bottom w:val="single" w:sz="4" w:space="0" w:color="auto"/>
              <w:right w:val="single" w:sz="4" w:space="0" w:color="auto"/>
            </w:tcBorders>
            <w:shd w:val="clear" w:color="auto" w:fill="auto"/>
            <w:vAlign w:val="center"/>
            <w:hideMark/>
          </w:tcPr>
          <w:p w14:paraId="25176727" w14:textId="77777777" w:rsidR="00674F9B" w:rsidRPr="00674F9B" w:rsidRDefault="00674F9B" w:rsidP="00674F9B">
            <w:pPr>
              <w:spacing w:after="0" w:line="240" w:lineRule="auto"/>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C. Sankcie a pokuty</w:t>
            </w:r>
          </w:p>
        </w:tc>
        <w:tc>
          <w:tcPr>
            <w:tcW w:w="2080" w:type="dxa"/>
            <w:tcBorders>
              <w:top w:val="nil"/>
              <w:left w:val="nil"/>
              <w:bottom w:val="single" w:sz="4" w:space="0" w:color="auto"/>
              <w:right w:val="single" w:sz="4" w:space="0" w:color="auto"/>
            </w:tcBorders>
            <w:shd w:val="clear" w:color="000000" w:fill="FFC000"/>
            <w:vAlign w:val="center"/>
            <w:hideMark/>
          </w:tcPr>
          <w:p w14:paraId="0DDD0F4C"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c>
          <w:tcPr>
            <w:tcW w:w="2080" w:type="dxa"/>
            <w:tcBorders>
              <w:top w:val="nil"/>
              <w:left w:val="nil"/>
              <w:bottom w:val="single" w:sz="4" w:space="0" w:color="auto"/>
              <w:right w:val="single" w:sz="8" w:space="0" w:color="auto"/>
            </w:tcBorders>
            <w:shd w:val="clear" w:color="000000" w:fill="92D050"/>
            <w:vAlign w:val="center"/>
            <w:hideMark/>
          </w:tcPr>
          <w:p w14:paraId="74A09F10"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r>
      <w:tr w:rsidR="00674F9B" w:rsidRPr="00674F9B" w14:paraId="4DA3F208" w14:textId="77777777" w:rsidTr="00674F9B">
        <w:trPr>
          <w:trHeight w:val="300"/>
        </w:trPr>
        <w:tc>
          <w:tcPr>
            <w:tcW w:w="17" w:type="dxa"/>
            <w:tcBorders>
              <w:top w:val="nil"/>
              <w:left w:val="nil"/>
              <w:bottom w:val="nil"/>
              <w:right w:val="nil"/>
            </w:tcBorders>
            <w:shd w:val="clear" w:color="auto" w:fill="auto"/>
            <w:noWrap/>
            <w:vAlign w:val="bottom"/>
            <w:hideMark/>
          </w:tcPr>
          <w:p w14:paraId="7F4107AE"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p>
        </w:tc>
        <w:tc>
          <w:tcPr>
            <w:tcW w:w="5023" w:type="dxa"/>
            <w:tcBorders>
              <w:top w:val="nil"/>
              <w:left w:val="single" w:sz="8" w:space="0" w:color="auto"/>
              <w:bottom w:val="single" w:sz="4" w:space="0" w:color="auto"/>
              <w:right w:val="single" w:sz="4" w:space="0" w:color="auto"/>
            </w:tcBorders>
            <w:shd w:val="clear" w:color="auto" w:fill="auto"/>
            <w:vAlign w:val="center"/>
            <w:hideMark/>
          </w:tcPr>
          <w:p w14:paraId="7CD0968B" w14:textId="77777777" w:rsidR="00674F9B" w:rsidRPr="00674F9B" w:rsidRDefault="00674F9B" w:rsidP="00674F9B">
            <w:pPr>
              <w:spacing w:after="0" w:line="240" w:lineRule="auto"/>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D. Nepriame finančné náklady</w:t>
            </w:r>
          </w:p>
        </w:tc>
        <w:tc>
          <w:tcPr>
            <w:tcW w:w="2080" w:type="dxa"/>
            <w:tcBorders>
              <w:top w:val="nil"/>
              <w:left w:val="nil"/>
              <w:bottom w:val="single" w:sz="4" w:space="0" w:color="auto"/>
              <w:right w:val="single" w:sz="4" w:space="0" w:color="auto"/>
            </w:tcBorders>
            <w:shd w:val="clear" w:color="000000" w:fill="FFC000"/>
            <w:vAlign w:val="center"/>
            <w:hideMark/>
          </w:tcPr>
          <w:p w14:paraId="692C47E8"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1 500 000</w:t>
            </w:r>
          </w:p>
        </w:tc>
        <w:tc>
          <w:tcPr>
            <w:tcW w:w="2080" w:type="dxa"/>
            <w:tcBorders>
              <w:top w:val="nil"/>
              <w:left w:val="nil"/>
              <w:bottom w:val="single" w:sz="4" w:space="0" w:color="auto"/>
              <w:right w:val="single" w:sz="8" w:space="0" w:color="auto"/>
            </w:tcBorders>
            <w:shd w:val="clear" w:color="000000" w:fill="92D050"/>
            <w:vAlign w:val="center"/>
            <w:hideMark/>
          </w:tcPr>
          <w:p w14:paraId="62CF8165"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6 000 000</w:t>
            </w:r>
          </w:p>
        </w:tc>
      </w:tr>
      <w:tr w:rsidR="00674F9B" w:rsidRPr="00674F9B" w14:paraId="6EDBAE51" w14:textId="77777777" w:rsidTr="00674F9B">
        <w:trPr>
          <w:trHeight w:val="300"/>
        </w:trPr>
        <w:tc>
          <w:tcPr>
            <w:tcW w:w="17" w:type="dxa"/>
            <w:tcBorders>
              <w:top w:val="nil"/>
              <w:left w:val="nil"/>
              <w:bottom w:val="nil"/>
              <w:right w:val="nil"/>
            </w:tcBorders>
            <w:shd w:val="clear" w:color="auto" w:fill="auto"/>
            <w:noWrap/>
            <w:vAlign w:val="bottom"/>
            <w:hideMark/>
          </w:tcPr>
          <w:p w14:paraId="2588FDCA"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p>
        </w:tc>
        <w:tc>
          <w:tcPr>
            <w:tcW w:w="5023" w:type="dxa"/>
            <w:tcBorders>
              <w:top w:val="nil"/>
              <w:left w:val="single" w:sz="8" w:space="0" w:color="auto"/>
              <w:bottom w:val="nil"/>
              <w:right w:val="single" w:sz="4" w:space="0" w:color="auto"/>
            </w:tcBorders>
            <w:shd w:val="clear" w:color="auto" w:fill="auto"/>
            <w:vAlign w:val="center"/>
            <w:hideMark/>
          </w:tcPr>
          <w:p w14:paraId="137D02E8" w14:textId="77777777" w:rsidR="00674F9B" w:rsidRPr="00674F9B" w:rsidRDefault="00674F9B" w:rsidP="00674F9B">
            <w:pPr>
              <w:spacing w:after="0" w:line="240" w:lineRule="auto"/>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E. Administratívne náklady</w:t>
            </w:r>
          </w:p>
        </w:tc>
        <w:tc>
          <w:tcPr>
            <w:tcW w:w="2080" w:type="dxa"/>
            <w:tcBorders>
              <w:top w:val="nil"/>
              <w:left w:val="nil"/>
              <w:bottom w:val="nil"/>
              <w:right w:val="single" w:sz="4" w:space="0" w:color="auto"/>
            </w:tcBorders>
            <w:shd w:val="clear" w:color="000000" w:fill="FFC000"/>
            <w:vAlign w:val="center"/>
            <w:hideMark/>
          </w:tcPr>
          <w:p w14:paraId="3DE52D90"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c>
          <w:tcPr>
            <w:tcW w:w="2080" w:type="dxa"/>
            <w:tcBorders>
              <w:top w:val="nil"/>
              <w:left w:val="nil"/>
              <w:bottom w:val="nil"/>
              <w:right w:val="single" w:sz="8" w:space="0" w:color="auto"/>
            </w:tcBorders>
            <w:shd w:val="clear" w:color="000000" w:fill="92D050"/>
            <w:vAlign w:val="center"/>
            <w:hideMark/>
          </w:tcPr>
          <w:p w14:paraId="1C11B865"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r>
      <w:tr w:rsidR="00674F9B" w:rsidRPr="00674F9B" w14:paraId="1DF0B685" w14:textId="77777777" w:rsidTr="00674F9B">
        <w:trPr>
          <w:trHeight w:val="300"/>
        </w:trPr>
        <w:tc>
          <w:tcPr>
            <w:tcW w:w="17" w:type="dxa"/>
            <w:tcBorders>
              <w:top w:val="nil"/>
              <w:left w:val="nil"/>
              <w:bottom w:val="nil"/>
              <w:right w:val="nil"/>
            </w:tcBorders>
            <w:shd w:val="clear" w:color="auto" w:fill="auto"/>
            <w:noWrap/>
            <w:vAlign w:val="bottom"/>
            <w:hideMark/>
          </w:tcPr>
          <w:p w14:paraId="7CBB3908"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p>
        </w:tc>
        <w:tc>
          <w:tcPr>
            <w:tcW w:w="502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587DF6B" w14:textId="77777777" w:rsidR="00674F9B" w:rsidRPr="00674F9B" w:rsidRDefault="00674F9B" w:rsidP="00674F9B">
            <w:pPr>
              <w:spacing w:after="0" w:line="240" w:lineRule="auto"/>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Spolu = A+B+C+D+E</w:t>
            </w:r>
          </w:p>
        </w:tc>
        <w:tc>
          <w:tcPr>
            <w:tcW w:w="2080" w:type="dxa"/>
            <w:tcBorders>
              <w:top w:val="single" w:sz="8" w:space="0" w:color="auto"/>
              <w:left w:val="nil"/>
              <w:bottom w:val="single" w:sz="8" w:space="0" w:color="auto"/>
              <w:right w:val="single" w:sz="4" w:space="0" w:color="auto"/>
            </w:tcBorders>
            <w:shd w:val="clear" w:color="000000" w:fill="FFC000"/>
            <w:vAlign w:val="center"/>
            <w:hideMark/>
          </w:tcPr>
          <w:p w14:paraId="3892DAEC"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1 500 000</w:t>
            </w:r>
          </w:p>
        </w:tc>
        <w:tc>
          <w:tcPr>
            <w:tcW w:w="2080" w:type="dxa"/>
            <w:tcBorders>
              <w:top w:val="single" w:sz="8" w:space="0" w:color="auto"/>
              <w:left w:val="nil"/>
              <w:bottom w:val="single" w:sz="8" w:space="0" w:color="auto"/>
              <w:right w:val="single" w:sz="8" w:space="0" w:color="auto"/>
            </w:tcBorders>
            <w:shd w:val="clear" w:color="000000" w:fill="92D050"/>
            <w:vAlign w:val="center"/>
            <w:hideMark/>
          </w:tcPr>
          <w:p w14:paraId="74E55B69"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6 000 000</w:t>
            </w:r>
          </w:p>
        </w:tc>
      </w:tr>
      <w:tr w:rsidR="00674F9B" w:rsidRPr="00674F9B" w14:paraId="21AFC1C8" w14:textId="77777777" w:rsidTr="00674F9B">
        <w:trPr>
          <w:trHeight w:val="300"/>
        </w:trPr>
        <w:tc>
          <w:tcPr>
            <w:tcW w:w="17" w:type="dxa"/>
            <w:tcBorders>
              <w:top w:val="nil"/>
              <w:left w:val="nil"/>
              <w:bottom w:val="nil"/>
              <w:right w:val="nil"/>
            </w:tcBorders>
            <w:shd w:val="clear" w:color="auto" w:fill="auto"/>
            <w:noWrap/>
            <w:vAlign w:val="bottom"/>
            <w:hideMark/>
          </w:tcPr>
          <w:p w14:paraId="3696CB08"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p>
        </w:tc>
        <w:tc>
          <w:tcPr>
            <w:tcW w:w="5023" w:type="dxa"/>
            <w:tcBorders>
              <w:top w:val="nil"/>
              <w:left w:val="nil"/>
              <w:bottom w:val="nil"/>
              <w:right w:val="nil"/>
            </w:tcBorders>
            <w:shd w:val="clear" w:color="auto" w:fill="auto"/>
            <w:vAlign w:val="center"/>
            <w:hideMark/>
          </w:tcPr>
          <w:p w14:paraId="51F7CD05"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vAlign w:val="center"/>
            <w:hideMark/>
          </w:tcPr>
          <w:p w14:paraId="2A810DDD"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vAlign w:val="center"/>
            <w:hideMark/>
          </w:tcPr>
          <w:p w14:paraId="33FD90FB"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r>
      <w:tr w:rsidR="00674F9B" w:rsidRPr="00674F9B" w14:paraId="11A3D301" w14:textId="77777777" w:rsidTr="00674F9B">
        <w:trPr>
          <w:trHeight w:val="600"/>
        </w:trPr>
        <w:tc>
          <w:tcPr>
            <w:tcW w:w="17" w:type="dxa"/>
            <w:tcBorders>
              <w:top w:val="nil"/>
              <w:left w:val="nil"/>
              <w:bottom w:val="nil"/>
              <w:right w:val="nil"/>
            </w:tcBorders>
            <w:shd w:val="clear" w:color="auto" w:fill="auto"/>
            <w:noWrap/>
            <w:vAlign w:val="bottom"/>
            <w:hideMark/>
          </w:tcPr>
          <w:p w14:paraId="6EA9CBE7"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c>
          <w:tcPr>
            <w:tcW w:w="502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004A3E" w14:textId="77777777" w:rsidR="00674F9B" w:rsidRPr="00674F9B" w:rsidRDefault="00674F9B" w:rsidP="00674F9B">
            <w:pPr>
              <w:spacing w:after="0" w:line="240" w:lineRule="auto"/>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Harmonizácia práva EÚ</w:t>
            </w:r>
          </w:p>
        </w:tc>
        <w:tc>
          <w:tcPr>
            <w:tcW w:w="2080" w:type="dxa"/>
            <w:tcBorders>
              <w:top w:val="single" w:sz="8" w:space="0" w:color="auto"/>
              <w:left w:val="nil"/>
              <w:bottom w:val="single" w:sz="8" w:space="0" w:color="auto"/>
              <w:right w:val="single" w:sz="4" w:space="0" w:color="auto"/>
            </w:tcBorders>
            <w:shd w:val="clear" w:color="000000" w:fill="FFC000"/>
            <w:vAlign w:val="center"/>
            <w:hideMark/>
          </w:tcPr>
          <w:p w14:paraId="3D2CE099"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Zvýšenie nákladov v € na PP</w:t>
            </w:r>
          </w:p>
        </w:tc>
        <w:tc>
          <w:tcPr>
            <w:tcW w:w="2080" w:type="dxa"/>
            <w:tcBorders>
              <w:top w:val="single" w:sz="8" w:space="0" w:color="auto"/>
              <w:left w:val="nil"/>
              <w:bottom w:val="single" w:sz="8" w:space="0" w:color="auto"/>
              <w:right w:val="single" w:sz="8" w:space="0" w:color="auto"/>
            </w:tcBorders>
            <w:shd w:val="clear" w:color="000000" w:fill="92D050"/>
            <w:vAlign w:val="center"/>
            <w:hideMark/>
          </w:tcPr>
          <w:p w14:paraId="7DB130A3"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Zníženie nákladov v € na PP</w:t>
            </w:r>
          </w:p>
        </w:tc>
      </w:tr>
      <w:tr w:rsidR="00674F9B" w:rsidRPr="00674F9B" w14:paraId="62DE3111" w14:textId="77777777" w:rsidTr="00674F9B">
        <w:trPr>
          <w:trHeight w:val="990"/>
        </w:trPr>
        <w:tc>
          <w:tcPr>
            <w:tcW w:w="17" w:type="dxa"/>
            <w:tcBorders>
              <w:top w:val="nil"/>
              <w:left w:val="nil"/>
              <w:bottom w:val="nil"/>
              <w:right w:val="nil"/>
            </w:tcBorders>
            <w:shd w:val="clear" w:color="auto" w:fill="auto"/>
            <w:noWrap/>
            <w:vAlign w:val="bottom"/>
            <w:hideMark/>
          </w:tcPr>
          <w:p w14:paraId="54E29585"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p>
        </w:tc>
        <w:tc>
          <w:tcPr>
            <w:tcW w:w="5023" w:type="dxa"/>
            <w:tcBorders>
              <w:top w:val="nil"/>
              <w:left w:val="single" w:sz="8" w:space="0" w:color="auto"/>
              <w:bottom w:val="nil"/>
              <w:right w:val="single" w:sz="4" w:space="0" w:color="auto"/>
            </w:tcBorders>
            <w:shd w:val="clear" w:color="auto" w:fill="auto"/>
            <w:vAlign w:val="center"/>
            <w:hideMark/>
          </w:tcPr>
          <w:p w14:paraId="138EE616" w14:textId="77777777" w:rsidR="00674F9B" w:rsidRPr="00674F9B" w:rsidRDefault="00674F9B" w:rsidP="00674F9B">
            <w:pPr>
              <w:spacing w:after="0" w:line="240" w:lineRule="auto"/>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F. Úplná harmonizácia práva EÚ</w:t>
            </w:r>
            <w:r w:rsidRPr="00674F9B">
              <w:rPr>
                <w:rFonts w:ascii="Times New Roman" w:eastAsia="Times New Roman" w:hAnsi="Times New Roman" w:cs="Times New Roman"/>
                <w:b/>
                <w:bCs/>
                <w:i/>
                <w:iCs/>
                <w:color w:val="000000"/>
                <w:sz w:val="20"/>
                <w:szCs w:val="20"/>
                <w:lang w:eastAsia="sk-SK"/>
              </w:rPr>
              <w:br/>
            </w:r>
            <w:r w:rsidRPr="00674F9B">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674F9B">
              <w:rPr>
                <w:rFonts w:ascii="Times New Roman" w:eastAsia="Times New Roman" w:hAnsi="Times New Roman" w:cs="Times New Roman"/>
                <w:i/>
                <w:iCs/>
                <w:color w:val="000000"/>
                <w:sz w:val="16"/>
                <w:szCs w:val="16"/>
                <w:lang w:eastAsia="sk-SK"/>
              </w:rPr>
              <w:t>externality</w:t>
            </w:r>
            <w:proofErr w:type="spellEnd"/>
            <w:r w:rsidRPr="00674F9B">
              <w:rPr>
                <w:rFonts w:ascii="Times New Roman" w:eastAsia="Times New Roman" w:hAnsi="Times New Roman" w:cs="Times New Roman"/>
                <w:i/>
                <w:iCs/>
                <w:color w:val="000000"/>
                <w:sz w:val="16"/>
                <w:szCs w:val="16"/>
                <w:lang w:eastAsia="sk-SK"/>
              </w:rPr>
              <w:t>)</w:t>
            </w:r>
          </w:p>
        </w:tc>
        <w:tc>
          <w:tcPr>
            <w:tcW w:w="2080" w:type="dxa"/>
            <w:tcBorders>
              <w:top w:val="nil"/>
              <w:left w:val="nil"/>
              <w:bottom w:val="nil"/>
              <w:right w:val="single" w:sz="4" w:space="0" w:color="auto"/>
            </w:tcBorders>
            <w:shd w:val="clear" w:color="000000" w:fill="FFC000"/>
            <w:vAlign w:val="center"/>
            <w:hideMark/>
          </w:tcPr>
          <w:p w14:paraId="6C1D9A81"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c>
          <w:tcPr>
            <w:tcW w:w="2080" w:type="dxa"/>
            <w:tcBorders>
              <w:top w:val="nil"/>
              <w:left w:val="nil"/>
              <w:bottom w:val="nil"/>
              <w:right w:val="single" w:sz="8" w:space="0" w:color="auto"/>
            </w:tcBorders>
            <w:shd w:val="clear" w:color="000000" w:fill="92D050"/>
            <w:vAlign w:val="center"/>
            <w:hideMark/>
          </w:tcPr>
          <w:p w14:paraId="46BD2FC3"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6 000 000</w:t>
            </w:r>
          </w:p>
        </w:tc>
      </w:tr>
      <w:tr w:rsidR="00674F9B" w:rsidRPr="00674F9B" w14:paraId="51670507" w14:textId="77777777" w:rsidTr="00674F9B">
        <w:trPr>
          <w:trHeight w:val="270"/>
        </w:trPr>
        <w:tc>
          <w:tcPr>
            <w:tcW w:w="17" w:type="dxa"/>
            <w:tcBorders>
              <w:top w:val="nil"/>
              <w:left w:val="nil"/>
              <w:bottom w:val="nil"/>
              <w:right w:val="nil"/>
            </w:tcBorders>
            <w:shd w:val="clear" w:color="auto" w:fill="auto"/>
            <w:noWrap/>
            <w:vAlign w:val="bottom"/>
            <w:hideMark/>
          </w:tcPr>
          <w:p w14:paraId="010D423B"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p>
        </w:tc>
        <w:tc>
          <w:tcPr>
            <w:tcW w:w="502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4B277DE" w14:textId="77777777" w:rsidR="00674F9B" w:rsidRPr="00674F9B" w:rsidRDefault="00674F9B" w:rsidP="00674F9B">
            <w:pPr>
              <w:spacing w:after="0" w:line="240" w:lineRule="auto"/>
              <w:rPr>
                <w:rFonts w:ascii="Times New Roman" w:eastAsia="Times New Roman" w:hAnsi="Times New Roman" w:cs="Times New Roman"/>
                <w:b/>
                <w:bCs/>
                <w:i/>
                <w:iCs/>
                <w:color w:val="000000"/>
                <w:sz w:val="20"/>
                <w:szCs w:val="20"/>
                <w:lang w:eastAsia="sk-SK"/>
              </w:rPr>
            </w:pPr>
            <w:r w:rsidRPr="00674F9B">
              <w:rPr>
                <w:rFonts w:ascii="Times New Roman" w:eastAsia="Times New Roman" w:hAnsi="Times New Roman" w:cs="Times New Roman"/>
                <w:b/>
                <w:bCs/>
                <w:i/>
                <w:iCs/>
                <w:color w:val="000000"/>
                <w:sz w:val="20"/>
                <w:szCs w:val="20"/>
                <w:lang w:eastAsia="sk-SK"/>
              </w:rPr>
              <w:t>G. Goldplating</w:t>
            </w:r>
          </w:p>
        </w:tc>
        <w:tc>
          <w:tcPr>
            <w:tcW w:w="2080" w:type="dxa"/>
            <w:tcBorders>
              <w:top w:val="single" w:sz="8" w:space="0" w:color="auto"/>
              <w:left w:val="nil"/>
              <w:bottom w:val="single" w:sz="8" w:space="0" w:color="auto"/>
              <w:right w:val="single" w:sz="4" w:space="0" w:color="auto"/>
            </w:tcBorders>
            <w:shd w:val="clear" w:color="000000" w:fill="FFC000"/>
            <w:vAlign w:val="center"/>
            <w:hideMark/>
          </w:tcPr>
          <w:p w14:paraId="7DAD86D1"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1 500 000</w:t>
            </w:r>
          </w:p>
        </w:tc>
        <w:tc>
          <w:tcPr>
            <w:tcW w:w="2080" w:type="dxa"/>
            <w:tcBorders>
              <w:top w:val="single" w:sz="8" w:space="0" w:color="auto"/>
              <w:left w:val="nil"/>
              <w:bottom w:val="single" w:sz="8" w:space="0" w:color="auto"/>
              <w:right w:val="single" w:sz="8" w:space="0" w:color="auto"/>
            </w:tcBorders>
            <w:shd w:val="clear" w:color="000000" w:fill="92D050"/>
            <w:vAlign w:val="center"/>
            <w:hideMark/>
          </w:tcPr>
          <w:p w14:paraId="0519FF62"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r>
      <w:tr w:rsidR="00674F9B" w:rsidRPr="00674F9B" w14:paraId="107A06B9" w14:textId="77777777" w:rsidTr="00674F9B">
        <w:trPr>
          <w:trHeight w:val="270"/>
        </w:trPr>
        <w:tc>
          <w:tcPr>
            <w:tcW w:w="17" w:type="dxa"/>
            <w:tcBorders>
              <w:top w:val="nil"/>
              <w:left w:val="nil"/>
              <w:bottom w:val="nil"/>
              <w:right w:val="nil"/>
            </w:tcBorders>
            <w:shd w:val="clear" w:color="auto" w:fill="auto"/>
            <w:noWrap/>
            <w:vAlign w:val="bottom"/>
            <w:hideMark/>
          </w:tcPr>
          <w:p w14:paraId="7838C0BF"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p>
        </w:tc>
        <w:tc>
          <w:tcPr>
            <w:tcW w:w="5023" w:type="dxa"/>
            <w:tcBorders>
              <w:top w:val="nil"/>
              <w:left w:val="nil"/>
              <w:bottom w:val="nil"/>
              <w:right w:val="nil"/>
            </w:tcBorders>
            <w:shd w:val="clear" w:color="auto" w:fill="auto"/>
            <w:noWrap/>
            <w:vAlign w:val="bottom"/>
            <w:hideMark/>
          </w:tcPr>
          <w:p w14:paraId="34474C1C"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vAlign w:val="center"/>
            <w:hideMark/>
          </w:tcPr>
          <w:p w14:paraId="2E3F973A"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vAlign w:val="center"/>
            <w:hideMark/>
          </w:tcPr>
          <w:p w14:paraId="589969BB"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r>
      <w:tr w:rsidR="00674F9B" w:rsidRPr="00674F9B" w14:paraId="18D0539F" w14:textId="77777777" w:rsidTr="00674F9B">
        <w:trPr>
          <w:trHeight w:val="270"/>
        </w:trPr>
        <w:tc>
          <w:tcPr>
            <w:tcW w:w="17" w:type="dxa"/>
            <w:tcBorders>
              <w:top w:val="nil"/>
              <w:left w:val="nil"/>
              <w:bottom w:val="nil"/>
              <w:right w:val="nil"/>
            </w:tcBorders>
            <w:shd w:val="clear" w:color="auto" w:fill="auto"/>
            <w:noWrap/>
            <w:vAlign w:val="bottom"/>
            <w:hideMark/>
          </w:tcPr>
          <w:p w14:paraId="3460AE3D"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c>
          <w:tcPr>
            <w:tcW w:w="5023" w:type="dxa"/>
            <w:tcBorders>
              <w:top w:val="nil"/>
              <w:left w:val="nil"/>
              <w:bottom w:val="nil"/>
              <w:right w:val="nil"/>
            </w:tcBorders>
            <w:shd w:val="clear" w:color="auto" w:fill="auto"/>
            <w:noWrap/>
            <w:vAlign w:val="bottom"/>
            <w:hideMark/>
          </w:tcPr>
          <w:p w14:paraId="7C093B7D"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vAlign w:val="center"/>
            <w:hideMark/>
          </w:tcPr>
          <w:p w14:paraId="093C28BE"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vAlign w:val="center"/>
            <w:hideMark/>
          </w:tcPr>
          <w:p w14:paraId="63F3BE17"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r>
      <w:tr w:rsidR="00674F9B" w:rsidRPr="00674F9B" w14:paraId="4227BC84" w14:textId="77777777" w:rsidTr="00674F9B">
        <w:trPr>
          <w:trHeight w:val="330"/>
        </w:trPr>
        <w:tc>
          <w:tcPr>
            <w:tcW w:w="17" w:type="dxa"/>
            <w:tcBorders>
              <w:top w:val="nil"/>
              <w:left w:val="nil"/>
              <w:bottom w:val="nil"/>
              <w:right w:val="nil"/>
            </w:tcBorders>
            <w:shd w:val="clear" w:color="auto" w:fill="auto"/>
            <w:noWrap/>
            <w:vAlign w:val="bottom"/>
            <w:hideMark/>
          </w:tcPr>
          <w:p w14:paraId="0B24B762"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c>
          <w:tcPr>
            <w:tcW w:w="502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9BDC0F" w14:textId="77777777" w:rsidR="00674F9B" w:rsidRPr="00674F9B" w:rsidRDefault="00674F9B" w:rsidP="00674F9B">
            <w:pPr>
              <w:spacing w:after="0" w:line="240" w:lineRule="auto"/>
              <w:rPr>
                <w:rFonts w:ascii="Times New Roman" w:eastAsia="Times New Roman" w:hAnsi="Times New Roman" w:cs="Times New Roman"/>
                <w:i/>
                <w:iCs/>
                <w:color w:val="000000"/>
                <w:sz w:val="20"/>
                <w:szCs w:val="20"/>
                <w:lang w:eastAsia="sk-SK"/>
              </w:rPr>
            </w:pPr>
            <w:r w:rsidRPr="00674F9B">
              <w:rPr>
                <w:rFonts w:ascii="Times New Roman" w:eastAsia="Times New Roman" w:hAnsi="Times New Roman" w:cs="Times New Roman"/>
                <w:i/>
                <w:iCs/>
                <w:color w:val="000000"/>
                <w:sz w:val="20"/>
                <w:szCs w:val="20"/>
                <w:lang w:eastAsia="sk-SK"/>
              </w:rPr>
              <w:t>VÝPOČET PRAVIDLA 1in2out:</w:t>
            </w:r>
          </w:p>
        </w:tc>
        <w:tc>
          <w:tcPr>
            <w:tcW w:w="2080" w:type="dxa"/>
            <w:tcBorders>
              <w:top w:val="single" w:sz="8" w:space="0" w:color="auto"/>
              <w:left w:val="nil"/>
              <w:bottom w:val="single" w:sz="4" w:space="0" w:color="auto"/>
              <w:right w:val="single" w:sz="4" w:space="0" w:color="auto"/>
            </w:tcBorders>
            <w:shd w:val="clear" w:color="000000" w:fill="FFC000"/>
            <w:vAlign w:val="center"/>
            <w:hideMark/>
          </w:tcPr>
          <w:p w14:paraId="6855DA6D"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IN</w:t>
            </w:r>
          </w:p>
        </w:tc>
        <w:tc>
          <w:tcPr>
            <w:tcW w:w="2080" w:type="dxa"/>
            <w:tcBorders>
              <w:top w:val="single" w:sz="8" w:space="0" w:color="auto"/>
              <w:left w:val="nil"/>
              <w:bottom w:val="single" w:sz="4" w:space="0" w:color="auto"/>
              <w:right w:val="single" w:sz="8" w:space="0" w:color="auto"/>
            </w:tcBorders>
            <w:shd w:val="clear" w:color="000000" w:fill="92D050"/>
            <w:vAlign w:val="center"/>
            <w:hideMark/>
          </w:tcPr>
          <w:p w14:paraId="40A98388"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OUT</w:t>
            </w:r>
          </w:p>
        </w:tc>
      </w:tr>
      <w:tr w:rsidR="00674F9B" w:rsidRPr="00674F9B" w14:paraId="3C9A1276" w14:textId="77777777" w:rsidTr="00674F9B">
        <w:trPr>
          <w:trHeight w:val="345"/>
        </w:trPr>
        <w:tc>
          <w:tcPr>
            <w:tcW w:w="17" w:type="dxa"/>
            <w:tcBorders>
              <w:top w:val="nil"/>
              <w:left w:val="nil"/>
              <w:bottom w:val="nil"/>
              <w:right w:val="nil"/>
            </w:tcBorders>
            <w:shd w:val="clear" w:color="auto" w:fill="auto"/>
            <w:noWrap/>
            <w:vAlign w:val="bottom"/>
            <w:hideMark/>
          </w:tcPr>
          <w:p w14:paraId="0977F211"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p>
        </w:tc>
        <w:tc>
          <w:tcPr>
            <w:tcW w:w="5023" w:type="dxa"/>
            <w:tcBorders>
              <w:top w:val="nil"/>
              <w:left w:val="single" w:sz="8" w:space="0" w:color="auto"/>
              <w:bottom w:val="single" w:sz="8" w:space="0" w:color="auto"/>
              <w:right w:val="single" w:sz="4" w:space="0" w:color="auto"/>
            </w:tcBorders>
            <w:shd w:val="clear" w:color="auto" w:fill="auto"/>
            <w:vAlign w:val="center"/>
            <w:hideMark/>
          </w:tcPr>
          <w:p w14:paraId="598E2F0C" w14:textId="77777777" w:rsidR="00674F9B" w:rsidRPr="00674F9B" w:rsidRDefault="00674F9B" w:rsidP="00674F9B">
            <w:pPr>
              <w:spacing w:after="0" w:line="240" w:lineRule="auto"/>
              <w:rPr>
                <w:rFonts w:ascii="Times New Roman" w:eastAsia="Times New Roman" w:hAnsi="Times New Roman" w:cs="Times New Roman"/>
                <w:i/>
                <w:iCs/>
                <w:color w:val="000000"/>
                <w:sz w:val="20"/>
                <w:szCs w:val="20"/>
                <w:lang w:eastAsia="sk-SK"/>
              </w:rPr>
            </w:pPr>
            <w:r w:rsidRPr="00674F9B">
              <w:rPr>
                <w:rFonts w:ascii="Times New Roman" w:eastAsia="Times New Roman" w:hAnsi="Times New Roman" w:cs="Times New Roman"/>
                <w:i/>
                <w:iCs/>
                <w:color w:val="000000"/>
                <w:sz w:val="20"/>
                <w:szCs w:val="20"/>
                <w:lang w:eastAsia="sk-SK"/>
              </w:rPr>
              <w:t>H</w:t>
            </w:r>
            <w:r w:rsidRPr="00674F9B">
              <w:rPr>
                <w:rFonts w:ascii="Times New Roman" w:eastAsia="Times New Roman" w:hAnsi="Times New Roman" w:cs="Times New Roman"/>
                <w:b/>
                <w:bCs/>
                <w:i/>
                <w:iCs/>
                <w:color w:val="000000"/>
                <w:sz w:val="20"/>
                <w:szCs w:val="20"/>
                <w:lang w:eastAsia="sk-SK"/>
              </w:rPr>
              <w:t>.</w:t>
            </w:r>
            <w:r w:rsidRPr="00674F9B">
              <w:rPr>
                <w:rFonts w:ascii="Times New Roman" w:eastAsia="Times New Roman" w:hAnsi="Times New Roman" w:cs="Times New Roman"/>
                <w:i/>
                <w:iCs/>
                <w:color w:val="000000"/>
                <w:sz w:val="20"/>
                <w:szCs w:val="20"/>
                <w:lang w:eastAsia="sk-SK"/>
              </w:rPr>
              <w:t xml:space="preserve"> Náklady okrem výnimiek = B+D+E-F</w:t>
            </w:r>
          </w:p>
        </w:tc>
        <w:tc>
          <w:tcPr>
            <w:tcW w:w="2080" w:type="dxa"/>
            <w:tcBorders>
              <w:top w:val="nil"/>
              <w:left w:val="nil"/>
              <w:bottom w:val="single" w:sz="8" w:space="0" w:color="auto"/>
              <w:right w:val="single" w:sz="4" w:space="0" w:color="auto"/>
            </w:tcBorders>
            <w:shd w:val="clear" w:color="000000" w:fill="FFC000"/>
            <w:vAlign w:val="center"/>
            <w:hideMark/>
          </w:tcPr>
          <w:p w14:paraId="3EAFB407"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1 500 000</w:t>
            </w:r>
          </w:p>
        </w:tc>
        <w:tc>
          <w:tcPr>
            <w:tcW w:w="2080" w:type="dxa"/>
            <w:tcBorders>
              <w:top w:val="nil"/>
              <w:left w:val="nil"/>
              <w:bottom w:val="single" w:sz="8" w:space="0" w:color="auto"/>
              <w:right w:val="single" w:sz="8" w:space="0" w:color="auto"/>
            </w:tcBorders>
            <w:shd w:val="clear" w:color="000000" w:fill="92D050"/>
            <w:vAlign w:val="center"/>
            <w:hideMark/>
          </w:tcPr>
          <w:p w14:paraId="759A541F"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r w:rsidRPr="00674F9B">
              <w:rPr>
                <w:rFonts w:ascii="Times New Roman" w:eastAsia="Times New Roman" w:hAnsi="Times New Roman" w:cs="Times New Roman"/>
                <w:b/>
                <w:bCs/>
                <w:color w:val="000000"/>
                <w:sz w:val="20"/>
                <w:szCs w:val="20"/>
                <w:lang w:eastAsia="sk-SK"/>
              </w:rPr>
              <w:t>0</w:t>
            </w:r>
          </w:p>
        </w:tc>
      </w:tr>
      <w:tr w:rsidR="00674F9B" w:rsidRPr="00674F9B" w14:paraId="1E5453AE" w14:textId="77777777" w:rsidTr="00674F9B">
        <w:trPr>
          <w:trHeight w:val="300"/>
        </w:trPr>
        <w:tc>
          <w:tcPr>
            <w:tcW w:w="17" w:type="dxa"/>
            <w:tcBorders>
              <w:top w:val="nil"/>
              <w:left w:val="nil"/>
              <w:bottom w:val="nil"/>
              <w:right w:val="nil"/>
            </w:tcBorders>
            <w:shd w:val="clear" w:color="auto" w:fill="auto"/>
            <w:noWrap/>
            <w:vAlign w:val="center"/>
            <w:hideMark/>
          </w:tcPr>
          <w:p w14:paraId="7DC3139A" w14:textId="77777777" w:rsidR="00674F9B" w:rsidRPr="00674F9B" w:rsidRDefault="00674F9B" w:rsidP="00674F9B">
            <w:pPr>
              <w:spacing w:after="0" w:line="240" w:lineRule="auto"/>
              <w:jc w:val="center"/>
              <w:rPr>
                <w:rFonts w:ascii="Times New Roman" w:eastAsia="Times New Roman" w:hAnsi="Times New Roman" w:cs="Times New Roman"/>
                <w:b/>
                <w:bCs/>
                <w:color w:val="000000"/>
                <w:sz w:val="20"/>
                <w:szCs w:val="20"/>
                <w:lang w:eastAsia="sk-SK"/>
              </w:rPr>
            </w:pPr>
          </w:p>
        </w:tc>
        <w:tc>
          <w:tcPr>
            <w:tcW w:w="5023" w:type="dxa"/>
            <w:tcBorders>
              <w:top w:val="nil"/>
              <w:left w:val="nil"/>
              <w:bottom w:val="nil"/>
              <w:right w:val="nil"/>
            </w:tcBorders>
            <w:shd w:val="clear" w:color="auto" w:fill="auto"/>
            <w:noWrap/>
            <w:vAlign w:val="bottom"/>
            <w:hideMark/>
          </w:tcPr>
          <w:p w14:paraId="3FD3F9E0"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noWrap/>
            <w:vAlign w:val="bottom"/>
            <w:hideMark/>
          </w:tcPr>
          <w:p w14:paraId="4225D4D3"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c>
          <w:tcPr>
            <w:tcW w:w="2080" w:type="dxa"/>
            <w:tcBorders>
              <w:top w:val="nil"/>
              <w:left w:val="nil"/>
              <w:bottom w:val="nil"/>
              <w:right w:val="nil"/>
            </w:tcBorders>
            <w:shd w:val="clear" w:color="auto" w:fill="auto"/>
            <w:noWrap/>
            <w:vAlign w:val="bottom"/>
            <w:hideMark/>
          </w:tcPr>
          <w:p w14:paraId="4062834F" w14:textId="77777777" w:rsidR="00674F9B" w:rsidRPr="00674F9B" w:rsidRDefault="00674F9B" w:rsidP="00674F9B">
            <w:pPr>
              <w:spacing w:after="0" w:line="240" w:lineRule="auto"/>
              <w:rPr>
                <w:rFonts w:ascii="Times New Roman" w:eastAsia="Times New Roman" w:hAnsi="Times New Roman" w:cs="Times New Roman"/>
                <w:sz w:val="20"/>
                <w:szCs w:val="20"/>
                <w:lang w:eastAsia="sk-SK"/>
              </w:rPr>
            </w:pPr>
          </w:p>
        </w:tc>
      </w:tr>
    </w:tbl>
    <w:p w14:paraId="024AAC42" w14:textId="77777777" w:rsidR="00473A72" w:rsidRPr="00895898" w:rsidRDefault="00473A72" w:rsidP="00473A72">
      <w:pPr>
        <w:jc w:val="both"/>
        <w:rPr>
          <w:rFonts w:ascii="Times New Roman" w:eastAsia="Calibri" w:hAnsi="Times New Roman" w:cs="Times New Roman"/>
          <w:i/>
        </w:rPr>
      </w:pPr>
    </w:p>
    <w:p w14:paraId="05BF206B" w14:textId="77777777" w:rsidR="00473A72" w:rsidRPr="00895898" w:rsidRDefault="00473A72" w:rsidP="00473A72">
      <w:pPr>
        <w:jc w:val="both"/>
        <w:rPr>
          <w:rFonts w:ascii="Times New Roman" w:eastAsia="Calibri" w:hAnsi="Times New Roman" w:cs="Times New Roman"/>
          <w:b/>
          <w:bCs/>
          <w:i/>
          <w:sz w:val="24"/>
          <w:szCs w:val="24"/>
        </w:rPr>
        <w:sectPr w:rsidR="00473A72" w:rsidRPr="00895898" w:rsidSect="00473A72">
          <w:headerReference w:type="default" r:id="rId9"/>
          <w:footerReference w:type="default" r:id="rId10"/>
          <w:pgSz w:w="11906" w:h="16838"/>
          <w:pgMar w:top="1417" w:right="1417" w:bottom="1417" w:left="1417" w:header="708" w:footer="708" w:gutter="0"/>
          <w:cols w:space="708"/>
          <w:docGrid w:linePitch="360"/>
        </w:sectPr>
      </w:pPr>
    </w:p>
    <w:p w14:paraId="4429E0EE" w14:textId="77777777" w:rsidR="00473A72" w:rsidRDefault="00473A72" w:rsidP="00054C41">
      <w:pPr>
        <w:jc w:val="both"/>
        <w:rPr>
          <w:rFonts w:ascii="Times New Roman" w:eastAsia="Calibri" w:hAnsi="Times New Roman" w:cs="Times New Roman"/>
          <w:i/>
          <w:sz w:val="24"/>
          <w:szCs w:val="24"/>
        </w:r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tbl>
      <w:tblPr>
        <w:tblW w:w="16889" w:type="dxa"/>
        <w:tblCellMar>
          <w:left w:w="70" w:type="dxa"/>
          <w:right w:w="70" w:type="dxa"/>
        </w:tblCellMar>
        <w:tblLook w:val="04A0" w:firstRow="1" w:lastRow="0" w:firstColumn="1" w:lastColumn="0" w:noHBand="0" w:noVBand="1"/>
      </w:tblPr>
      <w:tblGrid>
        <w:gridCol w:w="14102"/>
        <w:gridCol w:w="1956"/>
        <w:gridCol w:w="831"/>
      </w:tblGrid>
      <w:tr w:rsidR="00526DDF" w14:paraId="6FBBC8FD" w14:textId="77777777" w:rsidTr="003A08A5">
        <w:trPr>
          <w:trHeight w:val="312"/>
        </w:trPr>
        <w:tc>
          <w:tcPr>
            <w:tcW w:w="14102" w:type="dxa"/>
            <w:vAlign w:val="center"/>
            <w:hideMark/>
          </w:tcPr>
          <w:p w14:paraId="19247197" w14:textId="42E3C8A5" w:rsidR="0012212C" w:rsidRDefault="00526DDF" w:rsidP="00E3496B">
            <w:pPr>
              <w:rPr>
                <w:rFonts w:ascii="Times New Roman" w:eastAsia="Times New Roman" w:hAnsi="Times New Roman" w:cs="Times New Roman"/>
                <w:b/>
                <w:bCs/>
                <w:color w:val="000000"/>
                <w:lang w:eastAsia="sk-SK"/>
              </w:rPr>
            </w:pPr>
            <w:r>
              <w:rPr>
                <w:rFonts w:ascii="Times New Roman" w:eastAsia="Times New Roman" w:hAnsi="Times New Roman" w:cs="Times New Roman"/>
                <w:b/>
                <w:bCs/>
                <w:color w:val="000000"/>
                <w:lang w:eastAsia="sk-SK"/>
              </w:rPr>
              <w:t xml:space="preserve">Tabuľka č. 2: Výpočet vplyvov jednotlivých regulácií </w:t>
            </w:r>
          </w:p>
          <w:p w14:paraId="22CC921C" w14:textId="77777777" w:rsidR="00A743A2" w:rsidRDefault="00A743A2" w:rsidP="00E3496B">
            <w:pPr>
              <w:rPr>
                <w:rFonts w:ascii="Times New Roman" w:eastAsia="Times New Roman" w:hAnsi="Times New Roman" w:cs="Times New Roman"/>
                <w:b/>
                <w:bCs/>
                <w:color w:val="000000"/>
                <w:lang w:eastAsia="sk-SK"/>
              </w:rPr>
            </w:pPr>
          </w:p>
          <w:tbl>
            <w:tblPr>
              <w:tblW w:w="13951" w:type="dxa"/>
              <w:tblCellMar>
                <w:left w:w="70" w:type="dxa"/>
                <w:right w:w="70" w:type="dxa"/>
              </w:tblCellMar>
              <w:tblLook w:val="04A0" w:firstRow="1" w:lastRow="0" w:firstColumn="1" w:lastColumn="0" w:noHBand="0" w:noVBand="1"/>
            </w:tblPr>
            <w:tblGrid>
              <w:gridCol w:w="451"/>
              <w:gridCol w:w="1739"/>
              <w:gridCol w:w="990"/>
              <w:gridCol w:w="1134"/>
              <w:gridCol w:w="1833"/>
              <w:gridCol w:w="991"/>
              <w:gridCol w:w="1173"/>
              <w:gridCol w:w="1105"/>
              <w:gridCol w:w="851"/>
              <w:gridCol w:w="843"/>
              <w:gridCol w:w="1000"/>
              <w:gridCol w:w="708"/>
              <w:gridCol w:w="1133"/>
            </w:tblGrid>
            <w:tr w:rsidR="003A08A5" w:rsidRPr="000A6B7F" w14:paraId="5BDE8078" w14:textId="77777777" w:rsidTr="00FD62C6">
              <w:trPr>
                <w:trHeight w:val="255"/>
              </w:trPr>
              <w:tc>
                <w:tcPr>
                  <w:tcW w:w="4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0DE138" w14:textId="77777777" w:rsidR="00A743A2" w:rsidRPr="000A6B7F" w:rsidRDefault="00A743A2" w:rsidP="00A743A2">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73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85D245" w14:textId="77777777" w:rsidR="00A743A2" w:rsidRPr="000A6B7F" w:rsidRDefault="00A743A2" w:rsidP="00A743A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990"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15E0925C" w14:textId="77777777" w:rsidR="00A743A2" w:rsidRPr="000A6B7F" w:rsidRDefault="00A743A2" w:rsidP="00A743A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635B9F79" w14:textId="77777777" w:rsidR="00A743A2" w:rsidRPr="000A6B7F" w:rsidRDefault="00A743A2" w:rsidP="00A743A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01CCCF" w14:textId="77777777" w:rsidR="00A743A2" w:rsidRDefault="00A743A2" w:rsidP="00A743A2">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14:paraId="591AF199" w14:textId="77777777" w:rsidR="00A743A2" w:rsidRPr="000A6B7F" w:rsidRDefault="00A743A2" w:rsidP="00A743A2">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Pr="000A6B7F">
                    <w:rPr>
                      <w:rFonts w:ascii="Times New Roman" w:eastAsia="Times New Roman" w:hAnsi="Times New Roman" w:cs="Times New Roman"/>
                      <w:color w:val="000000"/>
                      <w:sz w:val="20"/>
                      <w:szCs w:val="20"/>
                      <w:lang w:eastAsia="sk-SK"/>
                    </w:rPr>
                    <w:t>oldplating</w:t>
                  </w:r>
                </w:p>
              </w:tc>
              <w:tc>
                <w:tcPr>
                  <w:tcW w:w="99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B35099" w14:textId="77777777" w:rsidR="00A743A2" w:rsidRPr="000A6B7F" w:rsidRDefault="00A743A2" w:rsidP="00A743A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27EB80" w14:textId="77777777" w:rsidR="00A743A2" w:rsidRPr="000A6B7F" w:rsidRDefault="00A743A2" w:rsidP="00A743A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1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827952" w14:textId="77777777" w:rsidR="00A743A2" w:rsidRDefault="00A743A2" w:rsidP="00A743A2">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4D752750" w14:textId="77777777" w:rsidR="00A743A2" w:rsidRPr="00895898" w:rsidRDefault="00A743A2" w:rsidP="00A743A2">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Pr="00895898">
                    <w:rPr>
                      <w:rFonts w:ascii="Times New Roman" w:eastAsia="Times New Roman" w:hAnsi="Times New Roman" w:cs="Times New Roman"/>
                      <w:b/>
                      <w:bCs/>
                      <w:color w:val="000000"/>
                      <w:sz w:val="20"/>
                      <w:szCs w:val="20"/>
                      <w:lang w:eastAsia="sk-SK"/>
                    </w:rPr>
                    <w:t xml:space="preserve"> subjektov </w:t>
                  </w:r>
                  <w:r>
                    <w:rPr>
                      <w:rFonts w:ascii="Times New Roman" w:eastAsia="Times New Roman" w:hAnsi="Times New Roman" w:cs="Times New Roman"/>
                      <w:b/>
                      <w:bCs/>
                      <w:color w:val="000000"/>
                      <w:sz w:val="20"/>
                      <w:szCs w:val="20"/>
                      <w:lang w:eastAsia="sk-SK"/>
                    </w:rPr>
                    <w:t>spolu</w:t>
                  </w:r>
                  <w:r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7210D0" w14:textId="77777777" w:rsidR="00A743A2" w:rsidRPr="000A6B7F" w:rsidRDefault="00A743A2" w:rsidP="00A743A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FBD2DB" w14:textId="77777777" w:rsidR="00A743A2" w:rsidRPr="000A6B7F" w:rsidRDefault="00A743A2" w:rsidP="00A743A2">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D4E67D" w14:textId="77777777" w:rsidR="00A743A2" w:rsidRPr="00895898" w:rsidRDefault="00A743A2" w:rsidP="00A743A2">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099B1577" w14:textId="77777777" w:rsidR="00A743A2" w:rsidRPr="00895898" w:rsidRDefault="00A743A2" w:rsidP="00A743A2">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1D9337B8" w14:textId="77777777" w:rsidR="00A743A2" w:rsidRPr="000A6B7F" w:rsidRDefault="00A743A2" w:rsidP="00A743A2">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CD5E3E" w14:textId="77777777" w:rsidR="00A743A2" w:rsidRPr="006B5D74" w:rsidRDefault="00A743A2" w:rsidP="00A743A2">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68A5468A" w14:textId="77777777" w:rsidR="00A743A2" w:rsidRPr="006B5D74" w:rsidRDefault="00A743A2" w:rsidP="00A743A2">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00A0E" w14:textId="77777777" w:rsidR="00A743A2" w:rsidRPr="006B5D74" w:rsidRDefault="00A743A2" w:rsidP="00A743A2">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A743A2" w:rsidRPr="00895898" w14:paraId="11C9C840" w14:textId="77777777" w:rsidTr="003A0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51" w:type="dxa"/>
                  <w:vAlign w:val="center"/>
                </w:tcPr>
                <w:p w14:paraId="01F35D14" w14:textId="123D810F" w:rsidR="00A743A2" w:rsidRPr="00895898" w:rsidRDefault="00A743A2" w:rsidP="00A743A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1739" w:type="dxa"/>
                  <w:shd w:val="clear" w:color="auto" w:fill="auto"/>
                  <w:vAlign w:val="center"/>
                </w:tcPr>
                <w:p w14:paraId="704687CD" w14:textId="44729CF3" w:rsidR="00A743A2" w:rsidRPr="00895898" w:rsidRDefault="00A743A2" w:rsidP="00A743A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Prenájom vozidla evidovaného v inom členskom štáte EÚ ak podmienky prenájmu sú výhodnejšie ako v SR</w:t>
                  </w:r>
                </w:p>
              </w:tc>
              <w:tc>
                <w:tcPr>
                  <w:tcW w:w="990" w:type="dxa"/>
                  <w:vAlign w:val="center"/>
                </w:tcPr>
                <w:p w14:paraId="5CD4C4E0" w14:textId="3275860D" w:rsidR="00A743A2" w:rsidRPr="00895898" w:rsidRDefault="00A743A2" w:rsidP="00A743A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56/2012 Z. z.</w:t>
                  </w:r>
                </w:p>
              </w:tc>
              <w:tc>
                <w:tcPr>
                  <w:tcW w:w="1134" w:type="dxa"/>
                  <w:vAlign w:val="center"/>
                </w:tcPr>
                <w:p w14:paraId="6991AA73" w14:textId="1F276F65" w:rsidR="00A743A2" w:rsidRPr="00895898" w:rsidRDefault="00A743A2" w:rsidP="00A743A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32</w:t>
                  </w:r>
                </w:p>
              </w:tc>
              <w:tc>
                <w:tcPr>
                  <w:tcW w:w="1833" w:type="dxa"/>
                  <w:shd w:val="clear" w:color="auto" w:fill="auto"/>
                  <w:vAlign w:val="center"/>
                </w:tcPr>
                <w:p w14:paraId="1444FF42" w14:textId="1E72FB97" w:rsidR="00A743A2" w:rsidRPr="00895898" w:rsidRDefault="00A743A2" w:rsidP="00A743A2">
                  <w:pPr>
                    <w:pStyle w:val="gmail-m-1648484718305530482msolistparagraph"/>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EÚ úplná harmonizácia</w:t>
                  </w:r>
                </w:p>
              </w:tc>
              <w:tc>
                <w:tcPr>
                  <w:tcW w:w="991" w:type="dxa"/>
                  <w:vAlign w:val="center"/>
                </w:tcPr>
                <w:p w14:paraId="360135A8" w14:textId="3C2A8175" w:rsidR="00A743A2" w:rsidRPr="00895898" w:rsidRDefault="00A743A2" w:rsidP="00A743A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01.07.24</w:t>
                  </w:r>
                </w:p>
              </w:tc>
              <w:tc>
                <w:tcPr>
                  <w:tcW w:w="1173" w:type="dxa"/>
                  <w:shd w:val="clear" w:color="auto" w:fill="auto"/>
                  <w:noWrap/>
                  <w:vAlign w:val="center"/>
                </w:tcPr>
                <w:p w14:paraId="67744E16" w14:textId="45B548C9" w:rsidR="00A743A2" w:rsidRPr="00895898" w:rsidRDefault="00A743A2" w:rsidP="00A743A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Dopravcovia v nákladnej a osobnej doprave</w:t>
                  </w:r>
                </w:p>
              </w:tc>
              <w:tc>
                <w:tcPr>
                  <w:tcW w:w="1105" w:type="dxa"/>
                  <w:vAlign w:val="center"/>
                </w:tcPr>
                <w:p w14:paraId="73E49CF2" w14:textId="56B61458" w:rsidR="00A743A2" w:rsidRPr="00895898" w:rsidRDefault="00A743A2" w:rsidP="00A743A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          2 000 </w:t>
                  </w:r>
                </w:p>
              </w:tc>
              <w:tc>
                <w:tcPr>
                  <w:tcW w:w="851" w:type="dxa"/>
                  <w:shd w:val="clear" w:color="auto" w:fill="auto"/>
                  <w:noWrap/>
                  <w:vAlign w:val="center"/>
                </w:tcPr>
                <w:p w14:paraId="2465F2E4" w14:textId="0676C46C" w:rsidR="00A743A2" w:rsidRPr="00895898" w:rsidRDefault="00A743A2" w:rsidP="00A743A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 3000</w:t>
                  </w:r>
                </w:p>
              </w:tc>
              <w:tc>
                <w:tcPr>
                  <w:tcW w:w="843" w:type="dxa"/>
                  <w:shd w:val="clear" w:color="auto" w:fill="auto"/>
                  <w:noWrap/>
                  <w:vAlign w:val="center"/>
                </w:tcPr>
                <w:p w14:paraId="7623DBC8" w14:textId="01D1689E" w:rsidR="00A743A2" w:rsidRPr="00895898" w:rsidRDefault="003A08A5" w:rsidP="00A743A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6 000 000</w:t>
                  </w:r>
                </w:p>
              </w:tc>
              <w:tc>
                <w:tcPr>
                  <w:tcW w:w="1000" w:type="dxa"/>
                  <w:shd w:val="clear" w:color="auto" w:fill="auto"/>
                  <w:noWrap/>
                  <w:vAlign w:val="center"/>
                </w:tcPr>
                <w:p w14:paraId="58B38862" w14:textId="1626A450" w:rsidR="00A743A2" w:rsidRPr="00895898" w:rsidRDefault="003A08A5" w:rsidP="00A743A2">
                  <w:pPr>
                    <w:spacing w:after="0" w:line="240" w:lineRule="auto"/>
                    <w:rPr>
                      <w:rFonts w:ascii="Times New Roman" w:eastAsia="Times New Roman" w:hAnsi="Times New Roman" w:cs="Times New Roman"/>
                      <w:sz w:val="20"/>
                      <w:szCs w:val="20"/>
                      <w:lang w:eastAsia="sk-SK"/>
                    </w:rPr>
                  </w:pPr>
                  <w:proofErr w:type="spellStart"/>
                  <w:r>
                    <w:rPr>
                      <w:rFonts w:ascii="Times New Roman" w:eastAsia="Times New Roman" w:hAnsi="Times New Roman" w:cs="Times New Roman"/>
                      <w:color w:val="000000"/>
                      <w:sz w:val="20"/>
                      <w:szCs w:val="20"/>
                      <w:lang w:eastAsia="sk-SK"/>
                    </w:rPr>
                    <w:t>Out</w:t>
                  </w:r>
                  <w:proofErr w:type="spellEnd"/>
                  <w:r>
                    <w:rPr>
                      <w:rFonts w:ascii="Times New Roman" w:eastAsia="Times New Roman" w:hAnsi="Times New Roman" w:cs="Times New Roman"/>
                      <w:color w:val="000000"/>
                      <w:sz w:val="20"/>
                      <w:szCs w:val="20"/>
                      <w:lang w:eastAsia="sk-SK"/>
                    </w:rPr>
                    <w:t xml:space="preserve"> (znižuje náklady)</w:t>
                  </w:r>
                </w:p>
              </w:tc>
              <w:tc>
                <w:tcPr>
                  <w:tcW w:w="708" w:type="dxa"/>
                  <w:shd w:val="clear" w:color="auto" w:fill="auto"/>
                  <w:noWrap/>
                  <w:vAlign w:val="center"/>
                </w:tcPr>
                <w:p w14:paraId="7A83F3D6" w14:textId="40C76177" w:rsidR="00A743A2" w:rsidRPr="00895898" w:rsidRDefault="003A08A5" w:rsidP="00A743A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1133" w:type="dxa"/>
                  <w:vAlign w:val="center"/>
                </w:tcPr>
                <w:p w14:paraId="332E4996" w14:textId="0AD5150F" w:rsidR="00A743A2" w:rsidRPr="00895898" w:rsidRDefault="003A08A5" w:rsidP="00A743A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r>
            <w:tr w:rsidR="00A743A2" w:rsidRPr="00895898" w14:paraId="4B245207" w14:textId="77777777" w:rsidTr="003A0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51" w:type="dxa"/>
                  <w:vAlign w:val="center"/>
                </w:tcPr>
                <w:p w14:paraId="2732F4E4" w14:textId="54552EE9" w:rsidR="00A743A2" w:rsidRPr="00895898" w:rsidRDefault="00674F9B" w:rsidP="00A743A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p>
              </w:tc>
              <w:tc>
                <w:tcPr>
                  <w:tcW w:w="1739" w:type="dxa"/>
                  <w:shd w:val="clear" w:color="auto" w:fill="auto"/>
                  <w:vAlign w:val="center"/>
                </w:tcPr>
                <w:p w14:paraId="68E98F30" w14:textId="16DF49AB" w:rsidR="00A743A2" w:rsidRPr="00895898" w:rsidRDefault="00674F9B" w:rsidP="00A743A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Prenájom vozidla evidovaného v inom členskom štáte EÚ ak podmienky prenájmu sú výhodnejšie ako v SR</w:t>
                  </w:r>
                </w:p>
              </w:tc>
              <w:tc>
                <w:tcPr>
                  <w:tcW w:w="990" w:type="dxa"/>
                </w:tcPr>
                <w:p w14:paraId="632725C3" w14:textId="4B5B5C00" w:rsidR="00A743A2" w:rsidRPr="00895898" w:rsidRDefault="00674F9B" w:rsidP="00A743A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56/2012 Z. z. </w:t>
                  </w:r>
                </w:p>
              </w:tc>
              <w:tc>
                <w:tcPr>
                  <w:tcW w:w="1134" w:type="dxa"/>
                </w:tcPr>
                <w:p w14:paraId="6FE0974F" w14:textId="7F9BE327" w:rsidR="00A743A2" w:rsidRPr="00895898" w:rsidRDefault="00674F9B" w:rsidP="00A743A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32</w:t>
                  </w:r>
                </w:p>
              </w:tc>
              <w:tc>
                <w:tcPr>
                  <w:tcW w:w="1833" w:type="dxa"/>
                  <w:shd w:val="clear" w:color="auto" w:fill="auto"/>
                  <w:vAlign w:val="center"/>
                </w:tcPr>
                <w:p w14:paraId="16199A01" w14:textId="1A5857B3" w:rsidR="00A743A2" w:rsidDel="00801596" w:rsidRDefault="00674F9B" w:rsidP="00A743A2">
                  <w:pPr>
                    <w:pStyle w:val="gmail-m-1648484718305530482msolistparagraph"/>
                    <w:spacing w:before="0" w:beforeAutospacing="0" w:after="0" w:afterAutospacing="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3b) Navýšenie požiadaviek nad rámec minimálnych požiadaviek smernice EÚ</w:t>
                  </w:r>
                </w:p>
              </w:tc>
              <w:tc>
                <w:tcPr>
                  <w:tcW w:w="991" w:type="dxa"/>
                  <w:vAlign w:val="center"/>
                </w:tcPr>
                <w:p w14:paraId="6F35C5D8" w14:textId="0C6BCCEE" w:rsidR="00A743A2" w:rsidRPr="00895898" w:rsidRDefault="00674F9B" w:rsidP="00A743A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01.07.24</w:t>
                  </w:r>
                </w:p>
              </w:tc>
              <w:tc>
                <w:tcPr>
                  <w:tcW w:w="1173" w:type="dxa"/>
                  <w:shd w:val="clear" w:color="auto" w:fill="auto"/>
                  <w:noWrap/>
                  <w:vAlign w:val="center"/>
                </w:tcPr>
                <w:p w14:paraId="7CF3D31F" w14:textId="6629941C" w:rsidR="00A743A2" w:rsidRPr="00895898" w:rsidRDefault="00674F9B" w:rsidP="00A743A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Dopravcovia v nákladnej a osobnej doprave</w:t>
                  </w:r>
                </w:p>
              </w:tc>
              <w:tc>
                <w:tcPr>
                  <w:tcW w:w="1105" w:type="dxa"/>
                </w:tcPr>
                <w:p w14:paraId="0BA08863" w14:textId="77777777" w:rsidR="00674F9B" w:rsidRDefault="00674F9B" w:rsidP="00674F9B">
                  <w:pPr>
                    <w:spacing w:after="0" w:line="240" w:lineRule="auto"/>
                    <w:jc w:val="right"/>
                    <w:rPr>
                      <w:rFonts w:ascii="Times New Roman" w:eastAsia="Times New Roman" w:hAnsi="Times New Roman" w:cs="Times New Roman"/>
                      <w:sz w:val="20"/>
                      <w:szCs w:val="20"/>
                      <w:lang w:eastAsia="sk-SK"/>
                    </w:rPr>
                  </w:pPr>
                </w:p>
                <w:p w14:paraId="3916E635" w14:textId="77777777" w:rsidR="00674F9B" w:rsidRDefault="00674F9B" w:rsidP="00674F9B">
                  <w:pPr>
                    <w:spacing w:after="0" w:line="240" w:lineRule="auto"/>
                    <w:jc w:val="right"/>
                    <w:rPr>
                      <w:rFonts w:ascii="Times New Roman" w:eastAsia="Times New Roman" w:hAnsi="Times New Roman" w:cs="Times New Roman"/>
                      <w:sz w:val="20"/>
                      <w:szCs w:val="20"/>
                      <w:lang w:eastAsia="sk-SK"/>
                    </w:rPr>
                  </w:pPr>
                </w:p>
                <w:p w14:paraId="30F73C95" w14:textId="7BDF1ADF" w:rsidR="00A743A2" w:rsidRPr="00895898" w:rsidRDefault="00674F9B" w:rsidP="00674F9B">
                  <w:pPr>
                    <w:spacing w:after="0" w:line="240" w:lineRule="auto"/>
                    <w:jc w:val="right"/>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5 00</w:t>
                  </w:r>
                </w:p>
              </w:tc>
              <w:tc>
                <w:tcPr>
                  <w:tcW w:w="851" w:type="dxa"/>
                  <w:shd w:val="clear" w:color="auto" w:fill="auto"/>
                  <w:noWrap/>
                  <w:vAlign w:val="center"/>
                </w:tcPr>
                <w:p w14:paraId="17DBDE66" w14:textId="0611F6FE" w:rsidR="00A743A2" w:rsidRPr="00895898" w:rsidRDefault="00674F9B" w:rsidP="00A743A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3 000</w:t>
                  </w:r>
                </w:p>
              </w:tc>
              <w:tc>
                <w:tcPr>
                  <w:tcW w:w="843" w:type="dxa"/>
                  <w:shd w:val="clear" w:color="auto" w:fill="auto"/>
                  <w:noWrap/>
                  <w:vAlign w:val="center"/>
                </w:tcPr>
                <w:p w14:paraId="68EFA05B" w14:textId="2462E225" w:rsidR="00A743A2" w:rsidRPr="00895898" w:rsidRDefault="00674F9B" w:rsidP="00A743A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1 500 000</w:t>
                  </w:r>
                </w:p>
              </w:tc>
              <w:tc>
                <w:tcPr>
                  <w:tcW w:w="1000" w:type="dxa"/>
                  <w:shd w:val="clear" w:color="auto" w:fill="auto"/>
                  <w:noWrap/>
                  <w:vAlign w:val="center"/>
                </w:tcPr>
                <w:p w14:paraId="4BE7B0D4" w14:textId="63B7EF8E" w:rsidR="00A743A2" w:rsidRPr="00895898" w:rsidRDefault="00674F9B" w:rsidP="00A743A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 (zvyšuje náklady)</w:t>
                  </w:r>
                </w:p>
              </w:tc>
              <w:tc>
                <w:tcPr>
                  <w:tcW w:w="708" w:type="dxa"/>
                  <w:shd w:val="clear" w:color="auto" w:fill="auto"/>
                  <w:noWrap/>
                  <w:vAlign w:val="center"/>
                </w:tcPr>
                <w:p w14:paraId="127792D4" w14:textId="4646146E" w:rsidR="00A743A2" w:rsidRPr="00895898" w:rsidRDefault="00674F9B" w:rsidP="00A743A2">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1 500 000</w:t>
                  </w:r>
                </w:p>
              </w:tc>
              <w:tc>
                <w:tcPr>
                  <w:tcW w:w="1133" w:type="dxa"/>
                  <w:vAlign w:val="center"/>
                </w:tcPr>
                <w:p w14:paraId="10489261" w14:textId="05BC8BAF" w:rsidR="00A743A2" w:rsidRPr="00895898" w:rsidRDefault="00674F9B" w:rsidP="00A743A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1 500 000</w:t>
                  </w:r>
                </w:p>
              </w:tc>
            </w:tr>
          </w:tbl>
          <w:p w14:paraId="584D415A" w14:textId="162BA102" w:rsidR="00A743A2" w:rsidRDefault="00A743A2" w:rsidP="00E3496B">
            <w:pPr>
              <w:rPr>
                <w:rFonts w:ascii="Times New Roman" w:eastAsia="Times New Roman" w:hAnsi="Times New Roman" w:cs="Times New Roman"/>
                <w:b/>
                <w:bCs/>
                <w:color w:val="000000"/>
                <w:lang w:eastAsia="sk-SK"/>
              </w:rPr>
            </w:pPr>
          </w:p>
        </w:tc>
        <w:tc>
          <w:tcPr>
            <w:tcW w:w="1956" w:type="dxa"/>
            <w:noWrap/>
            <w:vAlign w:val="bottom"/>
            <w:hideMark/>
          </w:tcPr>
          <w:p w14:paraId="26D0FCC1" w14:textId="77777777" w:rsidR="00526DDF" w:rsidRDefault="00526DDF" w:rsidP="00E3496B">
            <w:pPr>
              <w:rPr>
                <w:rFonts w:ascii="Times New Roman" w:eastAsia="Times New Roman" w:hAnsi="Times New Roman" w:cs="Times New Roman"/>
                <w:b/>
                <w:bCs/>
                <w:color w:val="000000"/>
                <w:lang w:eastAsia="sk-SK"/>
              </w:rPr>
            </w:pPr>
          </w:p>
        </w:tc>
        <w:tc>
          <w:tcPr>
            <w:tcW w:w="831" w:type="dxa"/>
            <w:noWrap/>
            <w:vAlign w:val="bottom"/>
            <w:hideMark/>
          </w:tcPr>
          <w:p w14:paraId="3A7D3089" w14:textId="77777777" w:rsidR="00526DDF" w:rsidRDefault="00526DDF" w:rsidP="00E3496B">
            <w:pPr>
              <w:rPr>
                <w:sz w:val="20"/>
                <w:szCs w:val="20"/>
                <w:lang w:eastAsia="sk-SK"/>
              </w:rPr>
            </w:pPr>
          </w:p>
        </w:tc>
      </w:tr>
    </w:tbl>
    <w:p w14:paraId="328F89AE" w14:textId="4D52E361" w:rsidR="00473A72" w:rsidRDefault="00473A72" w:rsidP="00526DDF">
      <w:pPr>
        <w:jc w:val="both"/>
        <w:rPr>
          <w:rFonts w:ascii="Times New Roman" w:eastAsia="Calibri" w:hAnsi="Times New Roman" w:cs="Times New Roman"/>
          <w:i/>
        </w:rPr>
      </w:pPr>
    </w:p>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473A72">
          <w:headerReference w:type="default" r:id="rId11"/>
          <w:footerReference w:type="default" r:id="rId12"/>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120B36F3" w14:textId="254149AE" w:rsidR="00C655C9" w:rsidRPr="00732BD0" w:rsidRDefault="00C655C9" w:rsidP="00C655C9">
      <w:pPr>
        <w:jc w:val="both"/>
        <w:rPr>
          <w:rFonts w:ascii="Times New Roman" w:eastAsia="Calibri" w:hAnsi="Times New Roman" w:cs="Times New Roman"/>
          <w:bCs/>
          <w:i/>
          <w:iCs/>
          <w:color w:val="000000"/>
          <w:sz w:val="24"/>
          <w:szCs w:val="24"/>
        </w:rPr>
      </w:pPr>
      <w:r w:rsidRPr="00732BD0">
        <w:rPr>
          <w:rFonts w:ascii="Times New Roman" w:eastAsia="Calibri" w:hAnsi="Times New Roman" w:cs="Times New Roman"/>
          <w:sz w:val="24"/>
          <w:szCs w:val="24"/>
        </w:rPr>
        <w:t xml:space="preserve">Počet dopravcov oprávnených na podnikanie v nákladnej a osobne doprave bolo k 26. januáru 2023 - 9687.  Počet vozidiel v nákladnej a osobnej doprave odhadujeme na 40 000. Priemerná cena prenájmu vozidla mesačne je 3000 eur. Odhadujeme že cca 2 000 vozidiel môže byť v roku 2025 prenajatých z iných členských štátov. Ak predpokladáme, že dopravca získa prenájom vozidla o cca 500 eur lacnejšie, úspora na 6 mesiacov je 3000 eur na jedno vozidlo  a na 2000 vozidiel to tvorí sumu 6 000 000 eur na celé podnikateľské prostredie. Ide iba o vzorový odhad pozitívnych vplyvov na základe expertného odhadu Odboru cestnej dopravy Ministerstva dopravy SR ohľadom počtu vozidiel, ktoré by mohli byť v roku 2025 prenajatých v iných členských štátov. </w:t>
      </w:r>
    </w:p>
    <w:p w14:paraId="3FB1450B" w14:textId="77777777" w:rsidR="001E24E8" w:rsidRDefault="001E24E8" w:rsidP="00054C41">
      <w:pPr>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1"/>
      </w:r>
      <w:r w:rsidR="00512BA7" w:rsidRPr="001F1B43">
        <w:rPr>
          <w:rFonts w:ascii="Times New Roman" w:eastAsia="Calibri" w:hAnsi="Times New Roman" w:cs="Times New Roman"/>
          <w:b/>
          <w:bCs/>
          <w:i/>
          <w:sz w:val="24"/>
          <w:szCs w:val="24"/>
          <w:u w:val="single"/>
        </w:rPr>
        <w:t xml:space="preserve"> </w:t>
      </w:r>
    </w:p>
    <w:p w14:paraId="18150938" w14:textId="77777777" w:rsidR="00F05339" w:rsidRPr="00732BD0" w:rsidRDefault="00F05339" w:rsidP="00F05339">
      <w:pPr>
        <w:jc w:val="both"/>
        <w:rPr>
          <w:rFonts w:ascii="Times New Roman" w:eastAsia="Calibri" w:hAnsi="Times New Roman" w:cs="Times New Roman"/>
          <w:sz w:val="24"/>
          <w:szCs w:val="24"/>
        </w:rPr>
      </w:pPr>
      <w:r w:rsidRPr="00732BD0">
        <w:rPr>
          <w:rFonts w:ascii="Times New Roman" w:eastAsia="Calibri" w:hAnsi="Times New Roman" w:cs="Times New Roman"/>
          <w:sz w:val="24"/>
          <w:szCs w:val="24"/>
        </w:rPr>
        <w:t xml:space="preserve">Transpozičné opatrenia, ktoré transponujú ustanovenia s dobrovoľnou transpozíciou predstavujú goldplating. Podľa tabuľky zhody dobrovoľná transpozícia „D“ sa týka článku 1 odsek 2, bod 2 písmená a) až d) smernice (EÚ) 2022/738. </w:t>
      </w:r>
    </w:p>
    <w:p w14:paraId="7A0F6CC7" w14:textId="77777777" w:rsidR="00F05339" w:rsidRPr="00732BD0" w:rsidRDefault="00F05339" w:rsidP="00F05339">
      <w:pPr>
        <w:jc w:val="both"/>
        <w:rPr>
          <w:rFonts w:ascii="Times New Roman" w:eastAsia="Calibri" w:hAnsi="Times New Roman" w:cs="Times New Roman"/>
          <w:sz w:val="24"/>
          <w:szCs w:val="24"/>
        </w:rPr>
      </w:pPr>
      <w:r w:rsidRPr="00732BD0">
        <w:rPr>
          <w:rFonts w:ascii="Times New Roman" w:eastAsia="Calibri" w:hAnsi="Times New Roman" w:cs="Times New Roman"/>
          <w:sz w:val="24"/>
          <w:szCs w:val="24"/>
        </w:rPr>
        <w:t>Podľa článku 1 odsek 2, bod 2 písmeno a) smernice (EÚ) 2022/738 znie  „Ak je prenajaté vozidlo evidované alebo uvedené do prevádzky v súlade s právnymi predpismi iného členského štátu, členský štát, v ktorom je podnik cestnej dopravy usadený, môže:</w:t>
      </w:r>
    </w:p>
    <w:p w14:paraId="3CCCFA6A" w14:textId="77777777" w:rsidR="00F05339" w:rsidRPr="00732BD0" w:rsidRDefault="00F05339" w:rsidP="00F05339">
      <w:pPr>
        <w:jc w:val="both"/>
        <w:rPr>
          <w:rFonts w:ascii="Times New Roman" w:eastAsia="Calibri" w:hAnsi="Times New Roman" w:cs="Times New Roman"/>
          <w:sz w:val="24"/>
          <w:szCs w:val="24"/>
        </w:rPr>
      </w:pPr>
      <w:r w:rsidRPr="00732BD0">
        <w:rPr>
          <w:rFonts w:ascii="Times New Roman" w:eastAsia="Calibri" w:hAnsi="Times New Roman" w:cs="Times New Roman"/>
          <w:sz w:val="24"/>
          <w:szCs w:val="24"/>
        </w:rPr>
        <w:t xml:space="preserve">a) obmedziť dobu, počas ktorej sa môže prenajaté vozidlo používať na jeho území, za predpokladu, že používanie prenajatého vozidla tým istým podnikom cestnej dopravy je povolené na dobu najmenej dvoch po sebe idúcich mesiacov v ktoromkoľvek kalendárnom roku; v uvedenom prípade môže členský štát vyžadovať, aby zmluva o prenájme netrvala dlhšie ako doba stanovená týmto členským štátom;“ </w:t>
      </w:r>
    </w:p>
    <w:p w14:paraId="47323191" w14:textId="51AD4CDE" w:rsidR="008454E9" w:rsidRPr="00674F9B" w:rsidRDefault="00F05339" w:rsidP="008454E9">
      <w:pPr>
        <w:jc w:val="both"/>
        <w:rPr>
          <w:rFonts w:ascii="Times New Roman" w:eastAsia="Calibri" w:hAnsi="Times New Roman" w:cs="Times New Roman"/>
          <w:sz w:val="24"/>
          <w:szCs w:val="24"/>
        </w:rPr>
      </w:pPr>
      <w:r w:rsidRPr="00674F9B">
        <w:rPr>
          <w:rFonts w:ascii="Times New Roman" w:eastAsia="Calibri" w:hAnsi="Times New Roman" w:cs="Times New Roman"/>
          <w:sz w:val="24"/>
          <w:szCs w:val="24"/>
        </w:rPr>
        <w:t xml:space="preserve">V rámci návrhu zákona lehota najmenej dvoch po sebe idúcich mesiacov bola rozšírená na 6 mesiacov a to z dôvodu, vhodnejšieho využitia takto prenajatého vozidla, teda goldplating ma </w:t>
      </w:r>
      <w:r w:rsidR="00674F9B" w:rsidRPr="00674F9B">
        <w:rPr>
          <w:rFonts w:ascii="Times New Roman" w:eastAsia="Calibri" w:hAnsi="Times New Roman" w:cs="Times New Roman"/>
          <w:sz w:val="24"/>
          <w:szCs w:val="24"/>
        </w:rPr>
        <w:t xml:space="preserve">negatívny </w:t>
      </w:r>
      <w:r w:rsidRPr="00674F9B">
        <w:rPr>
          <w:rFonts w:ascii="Times New Roman" w:eastAsia="Calibri" w:hAnsi="Times New Roman" w:cs="Times New Roman"/>
          <w:sz w:val="24"/>
          <w:szCs w:val="24"/>
        </w:rPr>
        <w:t>vplyv.</w:t>
      </w:r>
      <w:r w:rsidR="008454E9" w:rsidRPr="00674F9B">
        <w:rPr>
          <w:rFonts w:ascii="Times New Roman" w:eastAsia="Calibri" w:hAnsi="Times New Roman" w:cs="Times New Roman"/>
          <w:sz w:val="24"/>
          <w:szCs w:val="24"/>
        </w:rPr>
        <w:t xml:space="preserve"> Podľa jednotnej metodiky na posudzovanie vplyvov ide o goldplating typu </w:t>
      </w:r>
      <w:r w:rsidRPr="00674F9B">
        <w:rPr>
          <w:rFonts w:ascii="Times New Roman" w:eastAsia="Calibri" w:hAnsi="Times New Roman" w:cs="Times New Roman"/>
          <w:sz w:val="24"/>
          <w:szCs w:val="24"/>
        </w:rPr>
        <w:t xml:space="preserve"> </w:t>
      </w:r>
      <w:r w:rsidR="008454E9" w:rsidRPr="00674F9B">
        <w:rPr>
          <w:rFonts w:ascii="Times New Roman" w:eastAsia="Calibri" w:hAnsi="Times New Roman" w:cs="Times New Roman"/>
          <w:sz w:val="24"/>
          <w:szCs w:val="24"/>
        </w:rPr>
        <w:t xml:space="preserve">b) a to navýšenie požiadaviek nad rámec minimálnych požiadaviek smernice. </w:t>
      </w:r>
      <w:r w:rsidR="008454E9" w:rsidRPr="00732BD0">
        <w:rPr>
          <w:rFonts w:ascii="Times New Roman" w:eastAsia="Calibri" w:hAnsi="Times New Roman" w:cs="Times New Roman"/>
          <w:sz w:val="24"/>
          <w:szCs w:val="24"/>
        </w:rPr>
        <w:t>Priemerná cena prenájmu vozidla mesačne je 3000 eur</w:t>
      </w:r>
      <w:r w:rsidR="000A0A4B">
        <w:rPr>
          <w:rFonts w:ascii="Times New Roman" w:eastAsia="Calibri" w:hAnsi="Times New Roman" w:cs="Times New Roman"/>
          <w:sz w:val="24"/>
          <w:szCs w:val="24"/>
        </w:rPr>
        <w:t xml:space="preserve"> dotknutých subjektov odhadujeme </w:t>
      </w:r>
      <w:r w:rsidR="008454E9" w:rsidRPr="00732BD0">
        <w:rPr>
          <w:rFonts w:ascii="Times New Roman" w:eastAsia="Calibri" w:hAnsi="Times New Roman" w:cs="Times New Roman"/>
          <w:sz w:val="24"/>
          <w:szCs w:val="24"/>
        </w:rPr>
        <w:t xml:space="preserve">cca </w:t>
      </w:r>
      <w:r w:rsidR="000A0A4B">
        <w:rPr>
          <w:rFonts w:ascii="Times New Roman" w:eastAsia="Calibri" w:hAnsi="Times New Roman" w:cs="Times New Roman"/>
          <w:sz w:val="24"/>
          <w:szCs w:val="24"/>
        </w:rPr>
        <w:t>500 (25% z 2000)</w:t>
      </w:r>
      <w:r w:rsidR="008454E9" w:rsidRPr="00732BD0">
        <w:rPr>
          <w:rFonts w:ascii="Times New Roman" w:eastAsia="Calibri" w:hAnsi="Times New Roman" w:cs="Times New Roman"/>
          <w:sz w:val="24"/>
          <w:szCs w:val="24"/>
        </w:rPr>
        <w:t xml:space="preserve">. Ide iba o vzorový odhad </w:t>
      </w:r>
      <w:r w:rsidR="000A0A4B">
        <w:rPr>
          <w:rFonts w:ascii="Times New Roman" w:eastAsia="Calibri" w:hAnsi="Times New Roman" w:cs="Times New Roman"/>
          <w:sz w:val="24"/>
          <w:szCs w:val="24"/>
        </w:rPr>
        <w:t xml:space="preserve">negatívnych </w:t>
      </w:r>
      <w:r w:rsidR="008454E9" w:rsidRPr="00732BD0">
        <w:rPr>
          <w:rFonts w:ascii="Times New Roman" w:eastAsia="Calibri" w:hAnsi="Times New Roman" w:cs="Times New Roman"/>
          <w:sz w:val="24"/>
          <w:szCs w:val="24"/>
        </w:rPr>
        <w:t xml:space="preserve">vplyvov </w:t>
      </w:r>
      <w:r w:rsidR="008454E9">
        <w:rPr>
          <w:rFonts w:ascii="Times New Roman" w:eastAsia="Calibri" w:hAnsi="Times New Roman" w:cs="Times New Roman"/>
          <w:sz w:val="24"/>
          <w:szCs w:val="24"/>
        </w:rPr>
        <w:t xml:space="preserve">z hľadiska </w:t>
      </w:r>
      <w:proofErr w:type="spellStart"/>
      <w:r w:rsidR="008454E9">
        <w:rPr>
          <w:rFonts w:ascii="Times New Roman" w:eastAsia="Calibri" w:hAnsi="Times New Roman" w:cs="Times New Roman"/>
          <w:sz w:val="24"/>
          <w:szCs w:val="24"/>
        </w:rPr>
        <w:t>goldplatingu</w:t>
      </w:r>
      <w:proofErr w:type="spellEnd"/>
      <w:r w:rsidR="008454E9">
        <w:rPr>
          <w:rFonts w:ascii="Times New Roman" w:eastAsia="Calibri" w:hAnsi="Times New Roman" w:cs="Times New Roman"/>
          <w:sz w:val="24"/>
          <w:szCs w:val="24"/>
        </w:rPr>
        <w:t xml:space="preserve"> </w:t>
      </w:r>
      <w:r w:rsidR="008454E9" w:rsidRPr="00732BD0">
        <w:rPr>
          <w:rFonts w:ascii="Times New Roman" w:eastAsia="Calibri" w:hAnsi="Times New Roman" w:cs="Times New Roman"/>
          <w:sz w:val="24"/>
          <w:szCs w:val="24"/>
        </w:rPr>
        <w:t xml:space="preserve">na základe expertného odhadu Odboru cestnej dopravy Ministerstva dopravy SR ohľadom počtu vozidiel, ktoré by mohli byť v roku 2025 prenajatých v iných členských štátov. </w:t>
      </w:r>
    </w:p>
    <w:p w14:paraId="1EAF928C" w14:textId="0886D93D" w:rsidR="00F05339" w:rsidRPr="00732BD0" w:rsidRDefault="00F05339" w:rsidP="008454E9">
      <w:pPr>
        <w:jc w:val="both"/>
        <w:rPr>
          <w:rFonts w:ascii="Times New Roman" w:eastAsia="Calibri" w:hAnsi="Times New Roman" w:cs="Times New Roman"/>
          <w:sz w:val="24"/>
          <w:szCs w:val="24"/>
        </w:rPr>
      </w:pPr>
    </w:p>
    <w:p w14:paraId="72EB7C2A" w14:textId="7E1600A1" w:rsidR="00732BD0" w:rsidRPr="00732BD0" w:rsidRDefault="00732BD0" w:rsidP="00732BD0">
      <w:pPr>
        <w:pStyle w:val="Hlavika"/>
        <w:tabs>
          <w:tab w:val="clear" w:pos="4536"/>
          <w:tab w:val="clear" w:pos="9072"/>
        </w:tabs>
        <w:rPr>
          <w:rFonts w:ascii="Times New Roman" w:eastAsia="Calibri" w:hAnsi="Times New Roman" w:cs="Times New Roman"/>
          <w:sz w:val="24"/>
          <w:szCs w:val="24"/>
        </w:rPr>
      </w:pPr>
      <w:r w:rsidRPr="00732BD0">
        <w:rPr>
          <w:rFonts w:ascii="Times New Roman" w:eastAsia="Calibri" w:hAnsi="Times New Roman" w:cs="Times New Roman"/>
          <w:sz w:val="24"/>
          <w:szCs w:val="24"/>
        </w:rPr>
        <w:lastRenderedPageBreak/>
        <w:t>Podľa § 1 ods. 2 zákona č. 56/2012 Z. z. sa zákon nevzťahuje na cestnú dopravu pre vlastnú potrebu z tohto dôvodu sa upravuje § 32 ods. 2 zákona č. 56/2012 Z. z. Ide o ustanovenie s dobrovoľnou transpozíciou z tohto dôvodu tieto ustanovenia predstavujú goldplating.</w:t>
      </w: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178FF6D3" w14:textId="3A2DAFED" w:rsidR="00054C41" w:rsidRPr="00D8247C" w:rsidRDefault="00F05339" w:rsidP="00732BD0">
      <w:pPr>
        <w:pStyle w:val="Normlnywebov"/>
        <w:spacing w:line="276" w:lineRule="auto"/>
        <w:jc w:val="both"/>
        <w:rPr>
          <w:rFonts w:eastAsia="Calibri"/>
          <w:i/>
        </w:rPr>
      </w:pPr>
      <w:r>
        <w:t>Verejnosť bola o príprave návrhu zákona informovaná prostredníctvom predbežnej informácie č. PI/2023/32 zverejnenej v informačnom systéme verejnej správy Slov-Lex od 27.11. 2023 do 4.</w:t>
      </w:r>
      <w:r w:rsidR="00732BD0">
        <w:t xml:space="preserve"> </w:t>
      </w:r>
      <w:r>
        <w:t>12. 2023.</w:t>
      </w:r>
      <w:r w:rsidR="00526DDF">
        <w:t xml:space="preserve"> Zároveň verejnosť b</w:t>
      </w:r>
      <w:r w:rsidR="00DE58C1">
        <w:t>ola</w:t>
      </w:r>
      <w:r w:rsidR="00526DDF">
        <w:t xml:space="preserve"> o návrhu zákona informovaná prostredníctvom </w:t>
      </w:r>
      <w:r w:rsidR="00732BD0">
        <w:t xml:space="preserve">verejného </w:t>
      </w:r>
      <w:r w:rsidR="00526DDF">
        <w:t xml:space="preserve">medzirezortného pripomienkového konania. </w:t>
      </w: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7D97A285" w14:textId="77777777" w:rsidR="00D33596" w:rsidRDefault="00D33596" w:rsidP="00D33596">
      <w:pPr>
        <w:jc w:val="both"/>
        <w:rPr>
          <w:rFonts w:ascii="Times" w:hAnsi="Times" w:cs="Times"/>
          <w:sz w:val="25"/>
          <w:szCs w:val="25"/>
        </w:rPr>
      </w:pPr>
      <w:r>
        <w:rPr>
          <w:rFonts w:ascii="Times" w:hAnsi="Times" w:cs="Times"/>
          <w:sz w:val="25"/>
          <w:szCs w:val="25"/>
        </w:rPr>
        <w:t xml:space="preserve">Ohľadom konkurencieschopnosti a produktivity návrh zákona môže mať pozitívny vplyv. </w:t>
      </w:r>
    </w:p>
    <w:p w14:paraId="3D42CB97" w14:textId="77777777" w:rsidR="00D33596" w:rsidRDefault="00D33596" w:rsidP="00D33596">
      <w:pPr>
        <w:jc w:val="both"/>
        <w:rPr>
          <w:rFonts w:ascii="Times" w:hAnsi="Times" w:cs="Times"/>
          <w:sz w:val="25"/>
          <w:szCs w:val="25"/>
        </w:rPr>
      </w:pPr>
      <w:r>
        <w:rPr>
          <w:rFonts w:ascii="Times" w:hAnsi="Times" w:cs="Times"/>
          <w:sz w:val="25"/>
          <w:szCs w:val="25"/>
        </w:rPr>
        <w:t xml:space="preserve">Pozitívny vplyv spočíva v otvorení trhu s prenajatými vozidlami, čo môže mať za následok nižšie sumy za prenájom vozidla a teda aj zníženie nákladov pre dopravcov. Rovnako v prípade výpadku nákladných vozidiel v Slovenskej republike a možnosti výpožičky nákladných vozidiel evidovaných v inom členskom štáte Európskej únie predpokladáme pozitívny vplyv pre firmy, ktoré v nadväznosti na výpožičku nákladných áut zo zahraničia neprídu o zisk. Pozitívny dopad to môže mať aj na spoločnosti, ktoré prenajímajú vozidlá pričom sa im rozšíri zákaznícke portfólio aj z iných členských štátov. Návrh zákona nemá vplyv na cezhraničné investície, neovplyvňuje dostupnosť základných zdrojov ani návrh zákona nemá vplyv na inováciu vedu a výskum. </w:t>
      </w:r>
    </w:p>
    <w:p w14:paraId="468942B0" w14:textId="77777777" w:rsidR="00D33596" w:rsidRDefault="00D33596" w:rsidP="00D33596">
      <w:pPr>
        <w:jc w:val="both"/>
        <w:rPr>
          <w:rFonts w:ascii="Times" w:hAnsi="Times" w:cs="Times"/>
          <w:sz w:val="25"/>
          <w:szCs w:val="25"/>
        </w:rPr>
      </w:pPr>
    </w:p>
    <w:p w14:paraId="1AD023D2" w14:textId="77777777" w:rsidR="00D33596" w:rsidRDefault="00D33596" w:rsidP="00D33596">
      <w:pPr>
        <w:jc w:val="both"/>
        <w:rPr>
          <w:rFonts w:ascii="Times" w:hAnsi="Times" w:cs="Times"/>
          <w:sz w:val="25"/>
          <w:szCs w:val="25"/>
        </w:rPr>
      </w:pPr>
      <w:r>
        <w:rPr>
          <w:rFonts w:ascii="Times" w:hAnsi="Times" w:cs="Times"/>
          <w:sz w:val="25"/>
          <w:szCs w:val="25"/>
        </w:rPr>
        <w:t>Konkurencieschopnosť:</w:t>
      </w:r>
    </w:p>
    <w:p w14:paraId="3DFAE683" w14:textId="77777777" w:rsidR="00D33596" w:rsidRDefault="00D33596" w:rsidP="00D33596">
      <w:pPr>
        <w:jc w:val="both"/>
        <w:rPr>
          <w:rFonts w:ascii="Times" w:hAnsi="Times" w:cs="Times"/>
          <w:sz w:val="25"/>
          <w:szCs w:val="25"/>
        </w:rPr>
      </w:pPr>
      <w:r>
        <w:rPr>
          <w:rFonts w:ascii="Times" w:hAnsi="Times" w:cs="Times"/>
          <w:sz w:val="25"/>
          <w:szCs w:val="25"/>
        </w:rPr>
        <w:t>Na základe uvedených odpovedí zaškrtnite a popíšte, či materiál konkurencieschopnosť:</w:t>
      </w:r>
    </w:p>
    <w:p w14:paraId="5D6A0468" w14:textId="77777777" w:rsidR="00D33596" w:rsidRDefault="00DE58C1" w:rsidP="00D33596">
      <w:pPr>
        <w:jc w:val="both"/>
        <w:rPr>
          <w:rFonts w:ascii="Times" w:hAnsi="Times" w:cs="Times"/>
          <w:sz w:val="25"/>
          <w:szCs w:val="25"/>
        </w:rPr>
      </w:pPr>
      <w:sdt>
        <w:sdtPr>
          <w:rPr>
            <w:rFonts w:ascii="Times" w:hAnsi="Times" w:cs="Times"/>
            <w:sz w:val="25"/>
            <w:szCs w:val="25"/>
          </w:rPr>
          <w:id w:val="-1621447240"/>
        </w:sdtPr>
        <w:sdtEndPr/>
        <w:sdtContent>
          <w:sdt>
            <w:sdtPr>
              <w:rPr>
                <w:rFonts w:ascii="Times" w:hAnsi="Times" w:cs="Times"/>
                <w:sz w:val="25"/>
                <w:szCs w:val="25"/>
              </w:rPr>
              <w:id w:val="-685744322"/>
            </w:sdtPr>
            <w:sdtEndPr/>
            <w:sdtContent>
              <w:r w:rsidR="00D33596">
                <w:rPr>
                  <w:rFonts w:ascii="Times" w:hAnsi="Times" w:cs="Times"/>
                  <w:sz w:val="25"/>
                  <w:szCs w:val="25"/>
                </w:rPr>
                <w:t xml:space="preserve">x </w:t>
              </w:r>
            </w:sdtContent>
          </w:sdt>
        </w:sdtContent>
      </w:sdt>
      <w:r w:rsidR="00D33596">
        <w:rPr>
          <w:rFonts w:ascii="Times" w:hAnsi="Times" w:cs="Times"/>
          <w:sz w:val="25"/>
          <w:szCs w:val="25"/>
        </w:rPr>
        <w:t xml:space="preserve">zvyšuje  </w:t>
      </w:r>
      <w:r w:rsidR="00D33596">
        <w:rPr>
          <w:rFonts w:ascii="Times" w:hAnsi="Times" w:cs="Times"/>
          <w:sz w:val="25"/>
          <w:szCs w:val="25"/>
        </w:rPr>
        <w:tab/>
      </w:r>
      <w:sdt>
        <w:sdtPr>
          <w:rPr>
            <w:rFonts w:ascii="Times" w:hAnsi="Times" w:cs="Times"/>
            <w:sz w:val="25"/>
            <w:szCs w:val="25"/>
          </w:rPr>
          <w:id w:val="725500896"/>
        </w:sdtPr>
        <w:sdtEndPr/>
        <w:sdtContent>
          <w:sdt>
            <w:sdtPr>
              <w:rPr>
                <w:rFonts w:ascii="Times" w:hAnsi="Times" w:cs="Times"/>
                <w:sz w:val="25"/>
                <w:szCs w:val="25"/>
              </w:rPr>
              <w:id w:val="865485490"/>
            </w:sdtPr>
            <w:sdtEndPr/>
            <w:sdtContent>
              <w:r w:rsidR="00D33596">
                <w:rPr>
                  <w:rFonts w:ascii="Segoe UI Symbol" w:hAnsi="Segoe UI Symbol" w:cs="Segoe UI Symbol"/>
                  <w:sz w:val="25"/>
                  <w:szCs w:val="25"/>
                </w:rPr>
                <w:t>☐</w:t>
              </w:r>
            </w:sdtContent>
          </w:sdt>
        </w:sdtContent>
      </w:sdt>
      <w:r w:rsidR="00D33596">
        <w:rPr>
          <w:rFonts w:ascii="Times" w:hAnsi="Times" w:cs="Times"/>
          <w:sz w:val="25"/>
          <w:szCs w:val="25"/>
        </w:rPr>
        <w:t xml:space="preserve"> nemení</w:t>
      </w:r>
      <w:r w:rsidR="00D33596">
        <w:rPr>
          <w:rFonts w:ascii="Times" w:hAnsi="Times" w:cs="Times"/>
          <w:sz w:val="25"/>
          <w:szCs w:val="25"/>
        </w:rPr>
        <w:tab/>
      </w:r>
      <w:sdt>
        <w:sdtPr>
          <w:rPr>
            <w:rFonts w:ascii="Times" w:hAnsi="Times" w:cs="Times"/>
            <w:sz w:val="25"/>
            <w:szCs w:val="25"/>
          </w:rPr>
          <w:id w:val="18738688"/>
        </w:sdtPr>
        <w:sdtEndPr/>
        <w:sdtContent>
          <w:sdt>
            <w:sdtPr>
              <w:rPr>
                <w:rFonts w:ascii="Times" w:hAnsi="Times" w:cs="Times"/>
                <w:sz w:val="25"/>
                <w:szCs w:val="25"/>
              </w:rPr>
              <w:id w:val="-292373147"/>
            </w:sdtPr>
            <w:sdtEndPr/>
            <w:sdtContent>
              <w:r w:rsidR="00D33596">
                <w:rPr>
                  <w:rFonts w:ascii="Times" w:hAnsi="Times" w:cs="Times"/>
                  <w:sz w:val="25"/>
                  <w:szCs w:val="25"/>
                </w:rPr>
                <w:t>x</w:t>
              </w:r>
            </w:sdtContent>
          </w:sdt>
        </w:sdtContent>
      </w:sdt>
      <w:r w:rsidR="00D33596">
        <w:rPr>
          <w:rFonts w:ascii="Times" w:hAnsi="Times" w:cs="Times"/>
          <w:sz w:val="25"/>
          <w:szCs w:val="25"/>
        </w:rPr>
        <w:t xml:space="preserve"> znižuje</w:t>
      </w:r>
    </w:p>
    <w:p w14:paraId="4737FB4C" w14:textId="77777777" w:rsidR="00D33596" w:rsidRDefault="00D33596" w:rsidP="00D33596">
      <w:pPr>
        <w:jc w:val="both"/>
        <w:rPr>
          <w:rFonts w:ascii="Times" w:hAnsi="Times" w:cs="Times"/>
          <w:sz w:val="25"/>
          <w:szCs w:val="25"/>
        </w:rPr>
      </w:pPr>
    </w:p>
    <w:p w14:paraId="49B07391" w14:textId="77777777" w:rsidR="00D33596" w:rsidRDefault="00D33596" w:rsidP="00D33596">
      <w:pPr>
        <w:jc w:val="both"/>
        <w:rPr>
          <w:rFonts w:ascii="Times New Roman" w:eastAsia="Calibri" w:hAnsi="Times New Roman" w:cs="Times New Roman"/>
          <w:i/>
        </w:rPr>
      </w:pPr>
      <w:r>
        <w:rPr>
          <w:rFonts w:ascii="Times" w:hAnsi="Times" w:cs="Times"/>
          <w:sz w:val="25"/>
          <w:szCs w:val="25"/>
        </w:rPr>
        <w:t xml:space="preserve">Zvyšuje z dôvodu, že dopravcovia si môžu za výhodnejších podmienok prenajať vozidlo v inom členskom štáte. Konkurencieschopnosť môže byť znížená a to z dôvodu sťaženej  kontroly podmienok pravidiel </w:t>
      </w:r>
      <w:proofErr w:type="spellStart"/>
      <w:r>
        <w:rPr>
          <w:rFonts w:ascii="Times" w:hAnsi="Times" w:cs="Times"/>
          <w:sz w:val="25"/>
          <w:szCs w:val="25"/>
        </w:rPr>
        <w:t>kabotáže</w:t>
      </w:r>
      <w:proofErr w:type="spellEnd"/>
      <w:r>
        <w:rPr>
          <w:rFonts w:ascii="Times" w:hAnsi="Times" w:cs="Times"/>
          <w:sz w:val="25"/>
          <w:szCs w:val="25"/>
        </w:rPr>
        <w:t xml:space="preserve">. Umožnením disponovať vozidlami evidovanými  v inom členskom štáte ako je štát usadenia podniku bude mať negatívny vplyv na podnikateľské prostredie a zároveň aj na kontrolné orgány, ktorým sa sťaží kontrola určitých druhov prepráv – konkrétne </w:t>
      </w:r>
      <w:proofErr w:type="spellStart"/>
      <w:r>
        <w:rPr>
          <w:rFonts w:ascii="Times" w:hAnsi="Times" w:cs="Times"/>
          <w:sz w:val="25"/>
          <w:szCs w:val="25"/>
        </w:rPr>
        <w:t>kabotáže</w:t>
      </w:r>
      <w:proofErr w:type="spellEnd"/>
      <w:r>
        <w:rPr>
          <w:rFonts w:ascii="Times" w:hAnsi="Times" w:cs="Times"/>
          <w:sz w:val="25"/>
          <w:szCs w:val="25"/>
        </w:rPr>
        <w:t xml:space="preserve">. Podľa novej úpravy si bude môcť zahraničný dopravca prenajať vozidlo so slovenskou EČV a vykonávať </w:t>
      </w:r>
      <w:proofErr w:type="spellStart"/>
      <w:r>
        <w:rPr>
          <w:rFonts w:ascii="Times" w:hAnsi="Times" w:cs="Times"/>
          <w:sz w:val="25"/>
          <w:szCs w:val="25"/>
        </w:rPr>
        <w:t>kabotážne</w:t>
      </w:r>
      <w:proofErr w:type="spellEnd"/>
      <w:r>
        <w:rPr>
          <w:rFonts w:ascii="Times" w:hAnsi="Times" w:cs="Times"/>
          <w:sz w:val="25"/>
          <w:szCs w:val="25"/>
        </w:rPr>
        <w:t xml:space="preserve"> prepravy napríklad na území SR nad rámec povolených </w:t>
      </w:r>
      <w:proofErr w:type="spellStart"/>
      <w:r>
        <w:rPr>
          <w:rFonts w:ascii="Times" w:hAnsi="Times" w:cs="Times"/>
          <w:sz w:val="25"/>
          <w:szCs w:val="25"/>
        </w:rPr>
        <w:t>kabotážnych</w:t>
      </w:r>
      <w:proofErr w:type="spellEnd"/>
      <w:r>
        <w:rPr>
          <w:rFonts w:ascii="Times" w:hAnsi="Times" w:cs="Times"/>
          <w:sz w:val="25"/>
          <w:szCs w:val="25"/>
        </w:rPr>
        <w:t xml:space="preserve"> prepráv.  V prípade kontroly zameranej na dodržiavanie pravidiel </w:t>
      </w:r>
      <w:proofErr w:type="spellStart"/>
      <w:r>
        <w:rPr>
          <w:rFonts w:ascii="Times" w:hAnsi="Times" w:cs="Times"/>
          <w:sz w:val="25"/>
          <w:szCs w:val="25"/>
        </w:rPr>
        <w:t>kabotážnych</w:t>
      </w:r>
      <w:proofErr w:type="spellEnd"/>
      <w:r>
        <w:rPr>
          <w:rFonts w:ascii="Times" w:hAnsi="Times" w:cs="Times"/>
          <w:sz w:val="25"/>
          <w:szCs w:val="25"/>
        </w:rPr>
        <w:t xml:space="preserve"> prepráv bude pre kontrolné orgány náročnejšie kontrolovať pravidlá </w:t>
      </w:r>
      <w:proofErr w:type="spellStart"/>
      <w:r>
        <w:rPr>
          <w:rFonts w:ascii="Times" w:hAnsi="Times" w:cs="Times"/>
          <w:sz w:val="25"/>
          <w:szCs w:val="25"/>
        </w:rPr>
        <w:t>kabotáže</w:t>
      </w:r>
      <w:proofErr w:type="spellEnd"/>
      <w:r>
        <w:rPr>
          <w:rFonts w:ascii="Times" w:hAnsi="Times" w:cs="Times"/>
          <w:sz w:val="25"/>
          <w:szCs w:val="25"/>
        </w:rPr>
        <w:t xml:space="preserve">. Zložitosť výkonu kontroly </w:t>
      </w:r>
      <w:proofErr w:type="spellStart"/>
      <w:r>
        <w:rPr>
          <w:rFonts w:ascii="Times" w:hAnsi="Times" w:cs="Times"/>
          <w:sz w:val="25"/>
          <w:szCs w:val="25"/>
        </w:rPr>
        <w:t>kabotážnych</w:t>
      </w:r>
      <w:proofErr w:type="spellEnd"/>
      <w:r>
        <w:rPr>
          <w:rFonts w:ascii="Times" w:hAnsi="Times" w:cs="Times"/>
          <w:sz w:val="25"/>
          <w:szCs w:val="25"/>
        </w:rPr>
        <w:t xml:space="preserve"> prepráv môže mať negatívny vplyv na slovenských dopravcov, kedy budú zahraniční dopravcovia vykonávať prepravy v rozpore s pravidlami </w:t>
      </w:r>
      <w:proofErr w:type="spellStart"/>
      <w:r>
        <w:rPr>
          <w:rFonts w:ascii="Times" w:hAnsi="Times" w:cs="Times"/>
          <w:sz w:val="25"/>
          <w:szCs w:val="25"/>
        </w:rPr>
        <w:t>kabotáže</w:t>
      </w:r>
      <w:proofErr w:type="spellEnd"/>
      <w:r>
        <w:rPr>
          <w:rFonts w:ascii="Times" w:hAnsi="Times" w:cs="Times"/>
          <w:sz w:val="25"/>
          <w:szCs w:val="25"/>
        </w:rPr>
        <w:t xml:space="preserve"> (články 8 a 9 nariadenia Európskeho parlamentu </w:t>
      </w:r>
      <w:r>
        <w:rPr>
          <w:rFonts w:ascii="Times" w:hAnsi="Times" w:cs="Times"/>
          <w:sz w:val="25"/>
          <w:szCs w:val="25"/>
        </w:rPr>
        <w:lastRenderedPageBreak/>
        <w:t>a Rady č. 1072/2009/ES z 21. októbra 2009 o spoločných pravidlách prístupu nákladnej cestnej dopravy na medzinárodných trh), čo môže sťažiť kontrolu dodržiavanie pravidiel.</w:t>
      </w:r>
    </w:p>
    <w:p w14:paraId="0658E5C9" w14:textId="77777777" w:rsidR="00D33596" w:rsidRDefault="00D33596" w:rsidP="00D33596">
      <w:pPr>
        <w:jc w:val="both"/>
        <w:rPr>
          <w:rFonts w:ascii="Times New Roman" w:eastAsia="Calibri" w:hAnsi="Times New Roman" w:cs="Times New Roman"/>
          <w:b/>
          <w:i/>
        </w:rPr>
      </w:pPr>
    </w:p>
    <w:p w14:paraId="1B73F51D" w14:textId="77777777" w:rsidR="00D33596" w:rsidRPr="00D21BE5" w:rsidRDefault="00D33596" w:rsidP="00D33596">
      <w:pPr>
        <w:jc w:val="both"/>
        <w:rPr>
          <w:rFonts w:ascii="Times New Roman" w:eastAsia="Calibri" w:hAnsi="Times New Roman" w:cs="Times New Roman"/>
          <w:b/>
          <w:i/>
          <w:sz w:val="24"/>
          <w:szCs w:val="24"/>
        </w:rPr>
      </w:pPr>
      <w:r w:rsidRPr="00D21BE5">
        <w:rPr>
          <w:rFonts w:ascii="Times New Roman" w:eastAsia="Calibri" w:hAnsi="Times New Roman" w:cs="Times New Roman"/>
          <w:b/>
          <w:i/>
          <w:sz w:val="24"/>
          <w:szCs w:val="24"/>
        </w:rPr>
        <w:t>Produktivita:</w:t>
      </w:r>
    </w:p>
    <w:p w14:paraId="4A8F09A4" w14:textId="77777777" w:rsidR="00D33596" w:rsidRPr="00D21BE5" w:rsidRDefault="00D33596" w:rsidP="00D33596">
      <w:pPr>
        <w:jc w:val="both"/>
        <w:rPr>
          <w:rFonts w:ascii="Times" w:hAnsi="Times" w:cs="Times"/>
          <w:sz w:val="25"/>
          <w:szCs w:val="25"/>
        </w:rPr>
      </w:pPr>
      <w:r w:rsidRPr="00D21BE5">
        <w:rPr>
          <w:rFonts w:ascii="Times" w:hAnsi="Times" w:cs="Times"/>
          <w:sz w:val="25"/>
          <w:szCs w:val="25"/>
        </w:rPr>
        <w:t xml:space="preserve">Aký má materiál vplyv na zmenu pomeru medzi produkciou podnikov a ich nákladmi? </w:t>
      </w:r>
    </w:p>
    <w:p w14:paraId="6C71A394" w14:textId="77777777" w:rsidR="00D33596" w:rsidRPr="00D21BE5" w:rsidRDefault="00D33596" w:rsidP="00D33596">
      <w:pPr>
        <w:jc w:val="both"/>
        <w:rPr>
          <w:rFonts w:ascii="Times" w:hAnsi="Times" w:cs="Times"/>
          <w:sz w:val="25"/>
          <w:szCs w:val="25"/>
        </w:rPr>
      </w:pPr>
    </w:p>
    <w:p w14:paraId="5E9D5E26" w14:textId="77777777" w:rsidR="00D33596" w:rsidRPr="00D21BE5" w:rsidRDefault="00D33596" w:rsidP="00D33596">
      <w:pPr>
        <w:jc w:val="both"/>
        <w:rPr>
          <w:rFonts w:ascii="Times" w:hAnsi="Times" w:cs="Times"/>
          <w:sz w:val="25"/>
          <w:szCs w:val="25"/>
        </w:rPr>
      </w:pPr>
      <w:r w:rsidRPr="00D21BE5">
        <w:rPr>
          <w:rFonts w:ascii="Times" w:hAnsi="Times" w:cs="Times"/>
          <w:sz w:val="25"/>
          <w:szCs w:val="25"/>
        </w:rPr>
        <w:t>Na základe uvedenej odpovede zaškrtnite a popíšte, či materiál produktivitu:</w:t>
      </w:r>
    </w:p>
    <w:p w14:paraId="5631BB89" w14:textId="77777777" w:rsidR="00D33596" w:rsidRPr="00D21BE5" w:rsidRDefault="00DE58C1" w:rsidP="00D33596">
      <w:pPr>
        <w:jc w:val="both"/>
        <w:rPr>
          <w:rFonts w:ascii="Times" w:hAnsi="Times" w:cs="Times"/>
          <w:sz w:val="25"/>
          <w:szCs w:val="25"/>
        </w:rPr>
      </w:pPr>
      <w:sdt>
        <w:sdtPr>
          <w:rPr>
            <w:rFonts w:ascii="Times" w:hAnsi="Times" w:cs="Times"/>
            <w:sz w:val="25"/>
            <w:szCs w:val="25"/>
          </w:rPr>
          <w:id w:val="743849788"/>
        </w:sdtPr>
        <w:sdtEndPr/>
        <w:sdtContent>
          <w:sdt>
            <w:sdtPr>
              <w:rPr>
                <w:rFonts w:ascii="Times" w:hAnsi="Times" w:cs="Times"/>
                <w:sz w:val="25"/>
                <w:szCs w:val="25"/>
              </w:rPr>
              <w:id w:val="722719779"/>
            </w:sdtPr>
            <w:sdtEndPr/>
            <w:sdtContent>
              <w:r w:rsidR="00D33596" w:rsidRPr="00D21BE5">
                <w:rPr>
                  <w:rFonts w:ascii="Segoe UI Symbol" w:hAnsi="Segoe UI Symbol" w:cs="Segoe UI Symbol"/>
                  <w:sz w:val="25"/>
                  <w:szCs w:val="25"/>
                </w:rPr>
                <w:t>☐</w:t>
              </w:r>
            </w:sdtContent>
          </w:sdt>
        </w:sdtContent>
      </w:sdt>
      <w:r w:rsidR="00D33596" w:rsidRPr="00D21BE5">
        <w:rPr>
          <w:rFonts w:ascii="Times" w:hAnsi="Times" w:cs="Times"/>
          <w:sz w:val="25"/>
          <w:szCs w:val="25"/>
        </w:rPr>
        <w:t xml:space="preserve"> zvyšuje  </w:t>
      </w:r>
      <w:r w:rsidR="00D33596" w:rsidRPr="00D21BE5">
        <w:rPr>
          <w:rFonts w:ascii="Times" w:hAnsi="Times" w:cs="Times"/>
          <w:sz w:val="25"/>
          <w:szCs w:val="25"/>
        </w:rPr>
        <w:tab/>
      </w:r>
      <w:sdt>
        <w:sdtPr>
          <w:rPr>
            <w:rFonts w:ascii="Times" w:hAnsi="Times" w:cs="Times"/>
            <w:sz w:val="25"/>
            <w:szCs w:val="25"/>
          </w:rPr>
          <w:id w:val="-1467274241"/>
        </w:sdtPr>
        <w:sdtEndPr/>
        <w:sdtContent>
          <w:sdt>
            <w:sdtPr>
              <w:rPr>
                <w:rFonts w:ascii="Times" w:hAnsi="Times" w:cs="Times"/>
                <w:sz w:val="25"/>
                <w:szCs w:val="25"/>
              </w:rPr>
              <w:id w:val="758260306"/>
            </w:sdtPr>
            <w:sdtEndPr/>
            <w:sdtContent>
              <w:r w:rsidR="00D33596" w:rsidRPr="00D21BE5">
                <w:rPr>
                  <w:rFonts w:ascii="Times" w:hAnsi="Times" w:cs="Times"/>
                  <w:sz w:val="25"/>
                  <w:szCs w:val="25"/>
                </w:rPr>
                <w:t>x</w:t>
              </w:r>
            </w:sdtContent>
          </w:sdt>
        </w:sdtContent>
      </w:sdt>
      <w:r w:rsidR="00D33596" w:rsidRPr="00D21BE5">
        <w:rPr>
          <w:rFonts w:ascii="Times" w:hAnsi="Times" w:cs="Times"/>
          <w:sz w:val="25"/>
          <w:szCs w:val="25"/>
        </w:rPr>
        <w:t xml:space="preserve"> nemení</w:t>
      </w:r>
      <w:r w:rsidR="00D33596" w:rsidRPr="00D21BE5">
        <w:rPr>
          <w:rFonts w:ascii="Times" w:hAnsi="Times" w:cs="Times"/>
          <w:sz w:val="25"/>
          <w:szCs w:val="25"/>
        </w:rPr>
        <w:tab/>
      </w:r>
      <w:sdt>
        <w:sdtPr>
          <w:rPr>
            <w:rFonts w:ascii="Times" w:hAnsi="Times" w:cs="Times"/>
            <w:sz w:val="25"/>
            <w:szCs w:val="25"/>
          </w:rPr>
          <w:id w:val="-234930720"/>
        </w:sdtPr>
        <w:sdtEndPr/>
        <w:sdtContent>
          <w:sdt>
            <w:sdtPr>
              <w:rPr>
                <w:rFonts w:ascii="Times" w:hAnsi="Times" w:cs="Times"/>
                <w:sz w:val="25"/>
                <w:szCs w:val="25"/>
              </w:rPr>
              <w:id w:val="410889957"/>
            </w:sdtPr>
            <w:sdtEndPr/>
            <w:sdtContent>
              <w:r w:rsidR="00D33596" w:rsidRPr="00D21BE5">
                <w:rPr>
                  <w:rFonts w:ascii="Segoe UI Symbol" w:hAnsi="Segoe UI Symbol" w:cs="Segoe UI Symbol"/>
                  <w:sz w:val="25"/>
                  <w:szCs w:val="25"/>
                </w:rPr>
                <w:t>☐</w:t>
              </w:r>
            </w:sdtContent>
          </w:sdt>
        </w:sdtContent>
      </w:sdt>
      <w:r w:rsidR="00D33596" w:rsidRPr="00D21BE5">
        <w:rPr>
          <w:rFonts w:ascii="Times" w:hAnsi="Times" w:cs="Times"/>
          <w:sz w:val="25"/>
          <w:szCs w:val="25"/>
        </w:rPr>
        <w:t xml:space="preserve"> znižuje</w:t>
      </w: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1D835347" w14:textId="77777777" w:rsidR="00793F03" w:rsidRDefault="00054C41" w:rsidP="00473A72">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3.4  Iné vpl</w:t>
      </w:r>
      <w:r w:rsidR="00473A72">
        <w:rPr>
          <w:rFonts w:ascii="Times New Roman" w:eastAsia="Calibri" w:hAnsi="Times New Roman" w:cs="Times New Roman"/>
          <w:b/>
          <w:sz w:val="24"/>
          <w:szCs w:val="24"/>
        </w:rPr>
        <w:t xml:space="preserve">yvy na podnikateľské prostredie: </w:t>
      </w:r>
    </w:p>
    <w:p w14:paraId="0C66F6A8" w14:textId="7895CB0A" w:rsidR="00732BD0" w:rsidRPr="00732BD0" w:rsidRDefault="00732BD0" w:rsidP="00732BD0">
      <w:pPr>
        <w:jc w:val="both"/>
        <w:rPr>
          <w:rFonts w:ascii="Times" w:hAnsi="Times" w:cs="Times"/>
          <w:sz w:val="25"/>
          <w:szCs w:val="25"/>
        </w:rPr>
      </w:pPr>
      <w:r w:rsidRPr="00732BD0">
        <w:rPr>
          <w:rFonts w:ascii="Times" w:hAnsi="Times" w:cs="Times"/>
          <w:sz w:val="25"/>
          <w:szCs w:val="25"/>
        </w:rPr>
        <w:t>Identifikované vplyvy na podnikateľské prostredie, ktoré majú zanedbateľný (marginálny) vplyv.</w:t>
      </w:r>
    </w:p>
    <w:p w14:paraId="19F5CBCE" w14:textId="39036828" w:rsidR="00793F03" w:rsidRPr="00793F03" w:rsidRDefault="00793F03" w:rsidP="00793F03">
      <w:pPr>
        <w:spacing w:before="120" w:after="280" w:line="276" w:lineRule="auto"/>
        <w:jc w:val="both"/>
        <w:rPr>
          <w:rFonts w:ascii="Times" w:hAnsi="Times" w:cs="Times"/>
          <w:sz w:val="25"/>
          <w:szCs w:val="25"/>
        </w:rPr>
      </w:pPr>
      <w:r>
        <w:rPr>
          <w:rFonts w:ascii="Times" w:hAnsi="Times" w:cs="Times"/>
          <w:sz w:val="25"/>
          <w:szCs w:val="25"/>
        </w:rPr>
        <w:t>Návrhom zákona sa z</w:t>
      </w:r>
      <w:r w:rsidRPr="00793F03">
        <w:rPr>
          <w:rFonts w:ascii="Times" w:hAnsi="Times" w:cs="Times"/>
          <w:sz w:val="25"/>
          <w:szCs w:val="25"/>
        </w:rPr>
        <w:t>avádza dolná hranica sadzieb pri ukladaní pokút. V uvedenom § 49 ods. 2 a 5 nie je stanovená spodná hranica pokuty, čo umožňuje ukladať sankcie aj v minimálnej výške, napríklad 1 cent. Absencia stanovenej spodnej hranice pokuty môže viesť k nejednoznačnosti a zneužívaniu systému na ukladanie minimálnych sankcií. Takéto nízke pokuty môžu stratiť účinok a neposkytovať primeranú sankciu za porušenia. Vytvára to priestor pre možné zneužívanie povinnosti a môže ohroziť účinnosť regulácií.</w:t>
      </w:r>
      <w:r w:rsidR="001A4251">
        <w:rPr>
          <w:rFonts w:ascii="Times" w:hAnsi="Times" w:cs="Times"/>
          <w:sz w:val="25"/>
          <w:szCs w:val="25"/>
        </w:rPr>
        <w:t xml:space="preserve"> Z tohto dôvodu návrh zákona zavádza dolnú hranicu sadzieb.</w:t>
      </w:r>
    </w:p>
    <w:p w14:paraId="1AAF610F" w14:textId="77777777" w:rsidR="00732BD0" w:rsidRDefault="00793F03" w:rsidP="00793F03">
      <w:pPr>
        <w:spacing w:before="120" w:after="280" w:line="276" w:lineRule="auto"/>
        <w:jc w:val="both"/>
        <w:rPr>
          <w:rFonts w:ascii="Times" w:hAnsi="Times" w:cs="Times"/>
          <w:sz w:val="25"/>
          <w:szCs w:val="25"/>
        </w:rPr>
      </w:pPr>
      <w:r w:rsidRPr="001A4251">
        <w:rPr>
          <w:rFonts w:ascii="Times" w:hAnsi="Times" w:cs="Times"/>
          <w:sz w:val="25"/>
          <w:szCs w:val="25"/>
        </w:rPr>
        <w:t xml:space="preserve">Návrhom zákona sa zjednocuje </w:t>
      </w:r>
      <w:bookmarkStart w:id="1" w:name="_GoBack"/>
      <w:bookmarkEnd w:id="1"/>
      <w:r w:rsidRPr="001A4251">
        <w:rPr>
          <w:rFonts w:ascii="Times" w:hAnsi="Times" w:cs="Times"/>
          <w:sz w:val="25"/>
          <w:szCs w:val="25"/>
        </w:rPr>
        <w:t xml:space="preserve"> </w:t>
      </w:r>
      <w:r w:rsidR="001A4251">
        <w:rPr>
          <w:rFonts w:ascii="Times" w:hAnsi="Times" w:cs="Times"/>
          <w:sz w:val="25"/>
          <w:szCs w:val="25"/>
        </w:rPr>
        <w:t>l</w:t>
      </w:r>
      <w:r w:rsidRPr="001A4251">
        <w:rPr>
          <w:rFonts w:ascii="Times" w:hAnsi="Times" w:cs="Times"/>
          <w:sz w:val="25"/>
          <w:szCs w:val="25"/>
        </w:rPr>
        <w:t>ehota na 15 kalendárnych dni pre kontrolovaný subjekt na predloženie údajov</w:t>
      </w:r>
      <w:r w:rsidR="001A4251">
        <w:rPr>
          <w:rFonts w:ascii="Times" w:hAnsi="Times" w:cs="Times"/>
          <w:sz w:val="25"/>
          <w:szCs w:val="25"/>
        </w:rPr>
        <w:t xml:space="preserve"> </w:t>
      </w:r>
      <w:r w:rsidR="001A4251" w:rsidRPr="001A4251">
        <w:rPr>
          <w:rFonts w:ascii="Times" w:hAnsi="Times" w:cs="Times"/>
          <w:sz w:val="25"/>
          <w:szCs w:val="25"/>
        </w:rPr>
        <w:t xml:space="preserve">o prevádzkovaných vozidlách, o ich prevádzke a o osobách, prostredníctvom ktorých vykonal prepravu, a o im plynúcich príjmoch. </w:t>
      </w:r>
    </w:p>
    <w:p w14:paraId="0C697E79" w14:textId="57D5C85D" w:rsidR="001A4251" w:rsidRDefault="001A4251" w:rsidP="00793F03">
      <w:pPr>
        <w:spacing w:before="120" w:after="280" w:line="276" w:lineRule="auto"/>
        <w:jc w:val="both"/>
        <w:rPr>
          <w:rFonts w:ascii="Times" w:hAnsi="Times" w:cs="Times"/>
          <w:sz w:val="25"/>
          <w:szCs w:val="25"/>
        </w:rPr>
      </w:pPr>
      <w:r>
        <w:rPr>
          <w:rFonts w:ascii="Times" w:hAnsi="Times" w:cs="Times"/>
          <w:sz w:val="25"/>
          <w:szCs w:val="25"/>
        </w:rPr>
        <w:t xml:space="preserve">Návrhom zákona sa </w:t>
      </w:r>
      <w:r w:rsidR="00CB285B">
        <w:rPr>
          <w:rFonts w:ascii="Times" w:hAnsi="Times" w:cs="Times"/>
          <w:sz w:val="25"/>
          <w:szCs w:val="25"/>
        </w:rPr>
        <w:t>ustanovuje, že vozidlom taxislužby evidovan</w:t>
      </w:r>
      <w:r w:rsidR="00732BD0">
        <w:rPr>
          <w:rFonts w:ascii="Times" w:hAnsi="Times" w:cs="Times"/>
          <w:sz w:val="25"/>
          <w:szCs w:val="25"/>
        </w:rPr>
        <w:t>ým</w:t>
      </w:r>
      <w:r w:rsidR="00CB285B">
        <w:rPr>
          <w:rFonts w:ascii="Times" w:hAnsi="Times" w:cs="Times"/>
          <w:sz w:val="25"/>
          <w:szCs w:val="25"/>
        </w:rPr>
        <w:t xml:space="preserve"> v koncesii môže byť len vozidlo evidované v Slovenskej republike. K</w:t>
      </w:r>
      <w:r w:rsidR="00D61E34">
        <w:rPr>
          <w:rFonts w:ascii="Times" w:hAnsi="Times" w:cs="Times"/>
          <w:sz w:val="25"/>
          <w:szCs w:val="25"/>
        </w:rPr>
        <w:t xml:space="preserve"> 31. decembru </w:t>
      </w:r>
      <w:r w:rsidR="00CB285B">
        <w:rPr>
          <w:rFonts w:ascii="Times" w:hAnsi="Times" w:cs="Times"/>
          <w:sz w:val="25"/>
          <w:szCs w:val="25"/>
        </w:rPr>
        <w:t>202</w:t>
      </w:r>
      <w:r w:rsidR="00D61E34">
        <w:rPr>
          <w:rFonts w:ascii="Times" w:hAnsi="Times" w:cs="Times"/>
          <w:sz w:val="25"/>
          <w:szCs w:val="25"/>
        </w:rPr>
        <w:t>3</w:t>
      </w:r>
      <w:r w:rsidR="00CB285B">
        <w:rPr>
          <w:rFonts w:ascii="Times" w:hAnsi="Times" w:cs="Times"/>
          <w:sz w:val="25"/>
          <w:szCs w:val="25"/>
        </w:rPr>
        <w:t xml:space="preserve"> evidujeme </w:t>
      </w:r>
      <w:r w:rsidR="00D61E34">
        <w:rPr>
          <w:rFonts w:ascii="Times" w:hAnsi="Times" w:cs="Times"/>
          <w:sz w:val="25"/>
          <w:szCs w:val="25"/>
        </w:rPr>
        <w:t>12871</w:t>
      </w:r>
      <w:r w:rsidR="00CB285B">
        <w:rPr>
          <w:rFonts w:ascii="Times" w:hAnsi="Times" w:cs="Times"/>
          <w:sz w:val="25"/>
          <w:szCs w:val="25"/>
        </w:rPr>
        <w:t xml:space="preserve"> vozidiel taxislužby z ktorých </w:t>
      </w:r>
      <w:r w:rsidR="00D61E34">
        <w:rPr>
          <w:rFonts w:ascii="Times" w:hAnsi="Times" w:cs="Times"/>
          <w:sz w:val="25"/>
          <w:szCs w:val="25"/>
        </w:rPr>
        <w:t>188</w:t>
      </w:r>
      <w:r w:rsidR="00CB285B">
        <w:rPr>
          <w:rFonts w:ascii="Times" w:hAnsi="Times" w:cs="Times"/>
          <w:sz w:val="25"/>
          <w:szCs w:val="25"/>
        </w:rPr>
        <w:t xml:space="preserve"> sú vozidlá, ktoré nie sú evidované v Slovenskej republike. Tieto vozidlá budú musieť byť </w:t>
      </w:r>
      <w:proofErr w:type="spellStart"/>
      <w:r w:rsidR="00CB285B">
        <w:rPr>
          <w:rFonts w:ascii="Times" w:hAnsi="Times" w:cs="Times"/>
          <w:sz w:val="25"/>
          <w:szCs w:val="25"/>
        </w:rPr>
        <w:t>preevidované</w:t>
      </w:r>
      <w:proofErr w:type="spellEnd"/>
      <w:r w:rsidR="00CB285B">
        <w:rPr>
          <w:rFonts w:ascii="Times" w:hAnsi="Times" w:cs="Times"/>
          <w:sz w:val="25"/>
          <w:szCs w:val="25"/>
        </w:rPr>
        <w:t xml:space="preserve"> do evidencie vozidiel v Slovenskej republike inak budú vyradené </w:t>
      </w:r>
      <w:r w:rsidR="002B7AB0">
        <w:rPr>
          <w:rFonts w:ascii="Times" w:hAnsi="Times" w:cs="Times"/>
          <w:sz w:val="25"/>
          <w:szCs w:val="25"/>
        </w:rPr>
        <w:t>z evidencie vozidiel taxislužby.</w:t>
      </w:r>
      <w:r w:rsidR="00CB285B">
        <w:rPr>
          <w:rFonts w:ascii="Times" w:hAnsi="Times" w:cs="Times"/>
          <w:sz w:val="25"/>
          <w:szCs w:val="25"/>
        </w:rPr>
        <w:t xml:space="preserve"> </w:t>
      </w:r>
    </w:p>
    <w:p w14:paraId="45AFEB55" w14:textId="77777777" w:rsidR="002B7AB0" w:rsidRPr="001A4251" w:rsidRDefault="002B7AB0" w:rsidP="00793F03">
      <w:pPr>
        <w:spacing w:before="120" w:after="280" w:line="276" w:lineRule="auto"/>
        <w:jc w:val="both"/>
        <w:rPr>
          <w:rFonts w:ascii="Times" w:hAnsi="Times" w:cs="Times"/>
          <w:sz w:val="25"/>
          <w:szCs w:val="25"/>
        </w:rPr>
      </w:pPr>
    </w:p>
    <w:p w14:paraId="44E08520" w14:textId="5343F3D3" w:rsidR="00D33596" w:rsidRDefault="00D33596" w:rsidP="00793F03">
      <w:pPr>
        <w:jc w:val="both"/>
        <w:rPr>
          <w:rFonts w:ascii="Times New Roman" w:eastAsia="Calibri" w:hAnsi="Times New Roman" w:cs="Times New Roman"/>
          <w:i/>
          <w:sz w:val="24"/>
          <w:szCs w:val="24"/>
        </w:rPr>
      </w:pPr>
    </w:p>
    <w:sectPr w:rsidR="00D33596"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B8E1D" w14:textId="77777777" w:rsidR="00C655C9" w:rsidRDefault="00C655C9" w:rsidP="00054C41">
      <w:pPr>
        <w:spacing w:after="0" w:line="240" w:lineRule="auto"/>
      </w:pPr>
      <w:r>
        <w:separator/>
      </w:r>
    </w:p>
  </w:endnote>
  <w:endnote w:type="continuationSeparator" w:id="0">
    <w:p w14:paraId="7DC6A2AE" w14:textId="77777777" w:rsidR="00C655C9" w:rsidRDefault="00C655C9"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729649"/>
      <w:docPartObj>
        <w:docPartGallery w:val="Page Numbers (Bottom of Page)"/>
        <w:docPartUnique/>
      </w:docPartObj>
    </w:sdtPr>
    <w:sdtEndPr>
      <w:rPr>
        <w:rFonts w:ascii="Times New Roman" w:hAnsi="Times New Roman" w:cs="Times New Roman"/>
        <w:sz w:val="24"/>
        <w:szCs w:val="24"/>
      </w:rPr>
    </w:sdtEndPr>
    <w:sdtContent>
      <w:p w14:paraId="4D34B35E" w14:textId="133AB398" w:rsidR="00473A72" w:rsidRPr="006045CB" w:rsidRDefault="00473A72"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DE58C1">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79D1F855" w14:textId="77777777" w:rsidR="00473A72" w:rsidRPr="00FF7125" w:rsidRDefault="00473A72" w:rsidP="00054C41">
    <w:pPr>
      <w:pStyle w:val="Pta"/>
      <w:rPr>
        <w:sz w:val="24"/>
        <w:szCs w:val="24"/>
      </w:rPr>
    </w:pPr>
  </w:p>
  <w:p w14:paraId="0730D742" w14:textId="77777777" w:rsidR="00473A72" w:rsidRDefault="00473A72">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230B5098" w:rsidR="00C655C9" w:rsidRPr="006045CB" w:rsidRDefault="00C655C9"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DE58C1">
          <w:rPr>
            <w:rFonts w:ascii="Times New Roman" w:hAnsi="Times New Roman" w:cs="Times New Roman"/>
            <w:noProof/>
            <w:sz w:val="24"/>
            <w:szCs w:val="24"/>
          </w:rPr>
          <w:t>5</w:t>
        </w:r>
        <w:r w:rsidRPr="006045CB">
          <w:rPr>
            <w:rFonts w:ascii="Times New Roman" w:hAnsi="Times New Roman" w:cs="Times New Roman"/>
            <w:sz w:val="24"/>
            <w:szCs w:val="24"/>
          </w:rPr>
          <w:fldChar w:fldCharType="end"/>
        </w:r>
      </w:p>
    </w:sdtContent>
  </w:sdt>
  <w:p w14:paraId="4556761F" w14:textId="77777777" w:rsidR="00C655C9" w:rsidRPr="00FF7125" w:rsidRDefault="00C655C9" w:rsidP="00054C41">
    <w:pPr>
      <w:pStyle w:val="Pta"/>
      <w:rPr>
        <w:sz w:val="24"/>
        <w:szCs w:val="24"/>
      </w:rPr>
    </w:pPr>
  </w:p>
  <w:p w14:paraId="20FE6A4A" w14:textId="77777777" w:rsidR="00C655C9" w:rsidRDefault="00C655C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2472B" w14:textId="77777777" w:rsidR="00C655C9" w:rsidRDefault="00C655C9" w:rsidP="00054C41">
      <w:pPr>
        <w:spacing w:after="0" w:line="240" w:lineRule="auto"/>
      </w:pPr>
      <w:r>
        <w:separator/>
      </w:r>
    </w:p>
  </w:footnote>
  <w:footnote w:type="continuationSeparator" w:id="0">
    <w:p w14:paraId="31E40756" w14:textId="77777777" w:rsidR="00C655C9" w:rsidRDefault="00C655C9" w:rsidP="00054C41">
      <w:pPr>
        <w:spacing w:after="0" w:line="240" w:lineRule="auto"/>
      </w:pPr>
      <w:r>
        <w:continuationSeparator/>
      </w:r>
    </w:p>
  </w:footnote>
  <w:footnote w:id="1">
    <w:p w14:paraId="1647D7DF" w14:textId="77777777" w:rsidR="00C655C9" w:rsidRPr="00804BC8" w:rsidRDefault="00C655C9"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C655C9" w:rsidRDefault="00C655C9" w:rsidP="00512BA7">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8C44" w14:textId="77777777" w:rsidR="00473A72" w:rsidRPr="006045CB" w:rsidRDefault="00473A72"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6600F274" w14:textId="77777777" w:rsidR="00473A72" w:rsidRPr="006045CB" w:rsidRDefault="00473A72" w:rsidP="00142154">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726A" w14:textId="77777777" w:rsidR="00C655C9" w:rsidRPr="006045CB" w:rsidRDefault="00C655C9" w:rsidP="00142154">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9"/>
  </w:num>
  <w:num w:numId="3">
    <w:abstractNumId w:val="1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4"/>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7C70"/>
    <w:rsid w:val="00050AAB"/>
    <w:rsid w:val="00054A53"/>
    <w:rsid w:val="00054C41"/>
    <w:rsid w:val="00060DA1"/>
    <w:rsid w:val="00061E85"/>
    <w:rsid w:val="000820E0"/>
    <w:rsid w:val="00091A43"/>
    <w:rsid w:val="0009490E"/>
    <w:rsid w:val="000A0A4B"/>
    <w:rsid w:val="000A6B7F"/>
    <w:rsid w:val="000C5419"/>
    <w:rsid w:val="000C5E9A"/>
    <w:rsid w:val="000D15F0"/>
    <w:rsid w:val="0011003B"/>
    <w:rsid w:val="001133DA"/>
    <w:rsid w:val="0012212C"/>
    <w:rsid w:val="00126A2B"/>
    <w:rsid w:val="00142154"/>
    <w:rsid w:val="001476A4"/>
    <w:rsid w:val="00162C6C"/>
    <w:rsid w:val="0016512E"/>
    <w:rsid w:val="0018715C"/>
    <w:rsid w:val="001A1561"/>
    <w:rsid w:val="001A4251"/>
    <w:rsid w:val="001B4C03"/>
    <w:rsid w:val="001C7B91"/>
    <w:rsid w:val="001D1083"/>
    <w:rsid w:val="001D3FA0"/>
    <w:rsid w:val="001E24E8"/>
    <w:rsid w:val="001E53CB"/>
    <w:rsid w:val="00207F43"/>
    <w:rsid w:val="002232D3"/>
    <w:rsid w:val="00225A83"/>
    <w:rsid w:val="00231B8F"/>
    <w:rsid w:val="00270EA5"/>
    <w:rsid w:val="002712B9"/>
    <w:rsid w:val="00284B8C"/>
    <w:rsid w:val="0029483F"/>
    <w:rsid w:val="002B7AB0"/>
    <w:rsid w:val="002C2FC0"/>
    <w:rsid w:val="00302A17"/>
    <w:rsid w:val="00314D25"/>
    <w:rsid w:val="00315BE2"/>
    <w:rsid w:val="003322EE"/>
    <w:rsid w:val="00337630"/>
    <w:rsid w:val="00340CFD"/>
    <w:rsid w:val="003413D5"/>
    <w:rsid w:val="00342621"/>
    <w:rsid w:val="00357F22"/>
    <w:rsid w:val="00364A01"/>
    <w:rsid w:val="0036748D"/>
    <w:rsid w:val="00376039"/>
    <w:rsid w:val="0038255E"/>
    <w:rsid w:val="00391648"/>
    <w:rsid w:val="0039304E"/>
    <w:rsid w:val="0039334E"/>
    <w:rsid w:val="00394AD2"/>
    <w:rsid w:val="003A02AF"/>
    <w:rsid w:val="003A08A5"/>
    <w:rsid w:val="003A3124"/>
    <w:rsid w:val="003A686F"/>
    <w:rsid w:val="003E58B8"/>
    <w:rsid w:val="003F06D7"/>
    <w:rsid w:val="00400224"/>
    <w:rsid w:val="00400BA5"/>
    <w:rsid w:val="00410E62"/>
    <w:rsid w:val="00414FA7"/>
    <w:rsid w:val="00420090"/>
    <w:rsid w:val="004239D1"/>
    <w:rsid w:val="00445638"/>
    <w:rsid w:val="00446432"/>
    <w:rsid w:val="00446512"/>
    <w:rsid w:val="00466D7A"/>
    <w:rsid w:val="00473A72"/>
    <w:rsid w:val="0048237B"/>
    <w:rsid w:val="00484D16"/>
    <w:rsid w:val="00491853"/>
    <w:rsid w:val="004A14CD"/>
    <w:rsid w:val="004A2C6B"/>
    <w:rsid w:val="004D20CB"/>
    <w:rsid w:val="004D65B2"/>
    <w:rsid w:val="004D681D"/>
    <w:rsid w:val="004E2324"/>
    <w:rsid w:val="004F63E6"/>
    <w:rsid w:val="005103DA"/>
    <w:rsid w:val="00511F8F"/>
    <w:rsid w:val="00512BA7"/>
    <w:rsid w:val="00515726"/>
    <w:rsid w:val="00526DDF"/>
    <w:rsid w:val="00562527"/>
    <w:rsid w:val="00562A1E"/>
    <w:rsid w:val="00563427"/>
    <w:rsid w:val="00581EB9"/>
    <w:rsid w:val="005B4E6E"/>
    <w:rsid w:val="005B56E4"/>
    <w:rsid w:val="005C795C"/>
    <w:rsid w:val="005D0E50"/>
    <w:rsid w:val="005D39D8"/>
    <w:rsid w:val="0061097B"/>
    <w:rsid w:val="0061612F"/>
    <w:rsid w:val="006177C8"/>
    <w:rsid w:val="0062600A"/>
    <w:rsid w:val="0063777D"/>
    <w:rsid w:val="00643358"/>
    <w:rsid w:val="00646084"/>
    <w:rsid w:val="006564C3"/>
    <w:rsid w:val="006578CB"/>
    <w:rsid w:val="00674F9B"/>
    <w:rsid w:val="006A4E85"/>
    <w:rsid w:val="006A60C0"/>
    <w:rsid w:val="006A712F"/>
    <w:rsid w:val="006B5D74"/>
    <w:rsid w:val="006C25BE"/>
    <w:rsid w:val="006D7AD8"/>
    <w:rsid w:val="006F1D57"/>
    <w:rsid w:val="0070364C"/>
    <w:rsid w:val="00710EDF"/>
    <w:rsid w:val="0072221D"/>
    <w:rsid w:val="0072357C"/>
    <w:rsid w:val="007259CB"/>
    <w:rsid w:val="00726031"/>
    <w:rsid w:val="00732BD0"/>
    <w:rsid w:val="00751DA9"/>
    <w:rsid w:val="00755E69"/>
    <w:rsid w:val="007648EE"/>
    <w:rsid w:val="0077106D"/>
    <w:rsid w:val="00780ACC"/>
    <w:rsid w:val="00787A11"/>
    <w:rsid w:val="00793F03"/>
    <w:rsid w:val="00797B40"/>
    <w:rsid w:val="007A0C9D"/>
    <w:rsid w:val="007B1359"/>
    <w:rsid w:val="007B40FB"/>
    <w:rsid w:val="007B62AF"/>
    <w:rsid w:val="007E24B2"/>
    <w:rsid w:val="007E2DA4"/>
    <w:rsid w:val="007E6815"/>
    <w:rsid w:val="007E7632"/>
    <w:rsid w:val="007F1C84"/>
    <w:rsid w:val="007F4579"/>
    <w:rsid w:val="00801596"/>
    <w:rsid w:val="00804BC8"/>
    <w:rsid w:val="00806E23"/>
    <w:rsid w:val="00807981"/>
    <w:rsid w:val="00823F5A"/>
    <w:rsid w:val="008454E9"/>
    <w:rsid w:val="00845D3B"/>
    <w:rsid w:val="008634E9"/>
    <w:rsid w:val="008801B5"/>
    <w:rsid w:val="00880578"/>
    <w:rsid w:val="00882407"/>
    <w:rsid w:val="008920C3"/>
    <w:rsid w:val="00894052"/>
    <w:rsid w:val="008A7B87"/>
    <w:rsid w:val="008B4AA1"/>
    <w:rsid w:val="008C1C71"/>
    <w:rsid w:val="008E1AD0"/>
    <w:rsid w:val="008E315F"/>
    <w:rsid w:val="008E6B82"/>
    <w:rsid w:val="008F6ADE"/>
    <w:rsid w:val="0091269B"/>
    <w:rsid w:val="00923C0C"/>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736E"/>
    <w:rsid w:val="00A216DF"/>
    <w:rsid w:val="00A33F2C"/>
    <w:rsid w:val="00A50EE3"/>
    <w:rsid w:val="00A743A2"/>
    <w:rsid w:val="00A83E11"/>
    <w:rsid w:val="00A94A0F"/>
    <w:rsid w:val="00AA3C6D"/>
    <w:rsid w:val="00AB57C4"/>
    <w:rsid w:val="00B11CF5"/>
    <w:rsid w:val="00B209FA"/>
    <w:rsid w:val="00B21D1F"/>
    <w:rsid w:val="00B410BA"/>
    <w:rsid w:val="00B43D68"/>
    <w:rsid w:val="00B44A3A"/>
    <w:rsid w:val="00B5600C"/>
    <w:rsid w:val="00B66E33"/>
    <w:rsid w:val="00B72FB1"/>
    <w:rsid w:val="00B953DA"/>
    <w:rsid w:val="00BA19B0"/>
    <w:rsid w:val="00BB3870"/>
    <w:rsid w:val="00BB45A7"/>
    <w:rsid w:val="00BD0EF7"/>
    <w:rsid w:val="00BD6778"/>
    <w:rsid w:val="00C01599"/>
    <w:rsid w:val="00C048D1"/>
    <w:rsid w:val="00C05563"/>
    <w:rsid w:val="00C11132"/>
    <w:rsid w:val="00C115B9"/>
    <w:rsid w:val="00C12FDD"/>
    <w:rsid w:val="00C145AA"/>
    <w:rsid w:val="00C14655"/>
    <w:rsid w:val="00C21399"/>
    <w:rsid w:val="00C446E2"/>
    <w:rsid w:val="00C535F5"/>
    <w:rsid w:val="00C560C4"/>
    <w:rsid w:val="00C655C9"/>
    <w:rsid w:val="00C6748F"/>
    <w:rsid w:val="00C74337"/>
    <w:rsid w:val="00C75DC8"/>
    <w:rsid w:val="00C929AE"/>
    <w:rsid w:val="00CA4344"/>
    <w:rsid w:val="00CA6348"/>
    <w:rsid w:val="00CB1232"/>
    <w:rsid w:val="00CB17A0"/>
    <w:rsid w:val="00CB285B"/>
    <w:rsid w:val="00CC3B7D"/>
    <w:rsid w:val="00CD5AE4"/>
    <w:rsid w:val="00CD5E86"/>
    <w:rsid w:val="00CE3B21"/>
    <w:rsid w:val="00CF4D09"/>
    <w:rsid w:val="00D005F2"/>
    <w:rsid w:val="00D03A8E"/>
    <w:rsid w:val="00D114ED"/>
    <w:rsid w:val="00D21BE5"/>
    <w:rsid w:val="00D3032C"/>
    <w:rsid w:val="00D31A3B"/>
    <w:rsid w:val="00D33596"/>
    <w:rsid w:val="00D5309D"/>
    <w:rsid w:val="00D61E34"/>
    <w:rsid w:val="00D631FA"/>
    <w:rsid w:val="00D71064"/>
    <w:rsid w:val="00D811BB"/>
    <w:rsid w:val="00D82356"/>
    <w:rsid w:val="00D84EEE"/>
    <w:rsid w:val="00D90A61"/>
    <w:rsid w:val="00D946EF"/>
    <w:rsid w:val="00D95553"/>
    <w:rsid w:val="00DC355F"/>
    <w:rsid w:val="00DD1E4C"/>
    <w:rsid w:val="00DE331A"/>
    <w:rsid w:val="00DE58C1"/>
    <w:rsid w:val="00DE6ACB"/>
    <w:rsid w:val="00DF02CE"/>
    <w:rsid w:val="00DF1462"/>
    <w:rsid w:val="00E030DA"/>
    <w:rsid w:val="00E214C0"/>
    <w:rsid w:val="00E30D85"/>
    <w:rsid w:val="00E444EB"/>
    <w:rsid w:val="00E77A69"/>
    <w:rsid w:val="00E81A42"/>
    <w:rsid w:val="00E961E8"/>
    <w:rsid w:val="00E96244"/>
    <w:rsid w:val="00E96DE0"/>
    <w:rsid w:val="00EB2BEC"/>
    <w:rsid w:val="00EB74BF"/>
    <w:rsid w:val="00EC0704"/>
    <w:rsid w:val="00EC508B"/>
    <w:rsid w:val="00ED6B5D"/>
    <w:rsid w:val="00EE4C99"/>
    <w:rsid w:val="00F05339"/>
    <w:rsid w:val="00F153D7"/>
    <w:rsid w:val="00F1599C"/>
    <w:rsid w:val="00F2433F"/>
    <w:rsid w:val="00F244DC"/>
    <w:rsid w:val="00F378F4"/>
    <w:rsid w:val="00F47912"/>
    <w:rsid w:val="00F541B6"/>
    <w:rsid w:val="00F57702"/>
    <w:rsid w:val="00F61361"/>
    <w:rsid w:val="00F613E8"/>
    <w:rsid w:val="00F74D3C"/>
    <w:rsid w:val="00F74FC9"/>
    <w:rsid w:val="00F91F47"/>
    <w:rsid w:val="00FA4F36"/>
    <w:rsid w:val="00FA6FFE"/>
    <w:rsid w:val="00FC121B"/>
    <w:rsid w:val="00FD3DFB"/>
    <w:rsid w:val="00FD62C6"/>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qFormat/>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qFormat/>
    <w:rsid w:val="001B4C03"/>
    <w:rPr>
      <w:b/>
      <w:bCs/>
    </w:rPr>
  </w:style>
  <w:style w:type="character" w:customStyle="1" w:styleId="PredmetkomentraChar">
    <w:name w:val="Predmet komentára Char"/>
    <w:basedOn w:val="TextkomentraChar"/>
    <w:link w:val="Predmetkomentra"/>
    <w:uiPriority w:val="99"/>
    <w:semiHidden/>
    <w:qFormat/>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7051">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209415632">
      <w:bodyDiv w:val="1"/>
      <w:marLeft w:val="0"/>
      <w:marRight w:val="0"/>
      <w:marTop w:val="0"/>
      <w:marBottom w:val="0"/>
      <w:divBdr>
        <w:top w:val="none" w:sz="0" w:space="0" w:color="auto"/>
        <w:left w:val="none" w:sz="0" w:space="0" w:color="auto"/>
        <w:bottom w:val="none" w:sz="0" w:space="0" w:color="auto"/>
        <w:right w:val="none" w:sz="0" w:space="0" w:color="auto"/>
      </w:divBdr>
    </w:div>
    <w:div w:id="337275134">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432438910">
      <w:bodyDiv w:val="1"/>
      <w:marLeft w:val="0"/>
      <w:marRight w:val="0"/>
      <w:marTop w:val="0"/>
      <w:marBottom w:val="0"/>
      <w:divBdr>
        <w:top w:val="none" w:sz="0" w:space="0" w:color="auto"/>
        <w:left w:val="none" w:sz="0" w:space="0" w:color="auto"/>
        <w:bottom w:val="none" w:sz="0" w:space="0" w:color="auto"/>
        <w:right w:val="none" w:sz="0" w:space="0" w:color="auto"/>
      </w:divBdr>
    </w:div>
    <w:div w:id="478690854">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69807253">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36527077">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65670612">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F0C89EC-AAD5-4E36-8CBE-BDDB4903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1400</Words>
  <Characters>7985</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Hudec, Marek</cp:lastModifiedBy>
  <cp:revision>11</cp:revision>
  <cp:lastPrinted>2024-02-14T06:57:00Z</cp:lastPrinted>
  <dcterms:created xsi:type="dcterms:W3CDTF">2024-01-10T07:28:00Z</dcterms:created>
  <dcterms:modified xsi:type="dcterms:W3CDTF">2024-02-27T06:59:00Z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