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9D75" w14:textId="77777777" w:rsidR="00113AE4" w:rsidRPr="00612E08" w:rsidRDefault="00A340BB" w:rsidP="0065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173456F" w14:textId="77777777" w:rsidR="001B23B7" w:rsidRPr="00612E08" w:rsidRDefault="001B23B7" w:rsidP="0065079D">
      <w:pPr>
        <w:spacing w:after="0" w:line="240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72E804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E3B6215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CD5A8D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DFC8DB7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3BD2C26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BBAB6E3" w14:textId="77777777" w:rsidR="001B23B7" w:rsidRPr="00612E08" w:rsidRDefault="002B4109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zákona, </w:t>
            </w:r>
            <w:r w:rsidR="006777A4" w:rsidRPr="006777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 dopĺňa zákon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 </w:t>
            </w:r>
            <w:r w:rsidR="006777A4" w:rsidRPr="00677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143/1998 Z. z. o civilnom letectve (letecký zákon) a o zmene a doplnení niektorých zákonov v znení neskorších predpisov a ktorým sa menia a dopĺňajú niektoré zákony</w:t>
            </w:r>
          </w:p>
          <w:p w14:paraId="4507158E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82CAD7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F79A146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957FFE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72FBC" w14:textId="77777777" w:rsidR="001B23B7" w:rsidRPr="00612E08" w:rsidRDefault="002B4109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Slovenskej republiky</w:t>
            </w:r>
          </w:p>
          <w:p w14:paraId="7FBEE4AF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F7F9C6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001950B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7BF8316" w14:textId="77777777" w:rsidR="001B23B7" w:rsidRPr="00612E08" w:rsidRDefault="000013C3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D6C3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4ED8773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D9F0F27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1523CF" w14:textId="77777777" w:rsidR="001B23B7" w:rsidRPr="00612E08" w:rsidRDefault="002B4109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80B9177" w14:textId="77777777" w:rsidR="001B23B7" w:rsidRPr="00612E08" w:rsidRDefault="001B23B7" w:rsidP="0065079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26B3431F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618165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4ADDD6C" w14:textId="77777777" w:rsidR="001B23B7" w:rsidRPr="00612E08" w:rsidRDefault="007843A2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D14815A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60C6F0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622C58B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3F0131B3" w14:textId="77777777" w:rsidR="006777A4" w:rsidRPr="00C853AC" w:rsidRDefault="006777A4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BDC6F74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549/2004 z 10. marca 2004, ktorým sa stanovuje rámec na vytvorenie jednotného európskeho neba (rámcové nariadenie) 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r w:rsidR="00377B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96, 31.3.2004</w:t>
            </w:r>
            <w:r w:rsidRPr="00C853A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ꓼ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Mimoriadne vydanie </w:t>
            </w:r>
            <w:r w:rsidR="00377B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EÚ, kap. 7/zv. 8) 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 platnom znení</w:t>
            </w:r>
          </w:p>
          <w:p w14:paraId="42AC7D4C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550/2004 z 10. marca 2004 o poskytovaní letových navigačných služieb v jednotnom európskom nebi (nariadenie o poskytovaní služieb) 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r w:rsidR="00377B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96, 31.3.2004</w:t>
            </w:r>
            <w:r w:rsidRPr="00C853A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ꓼ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Mimoriadne vydanie </w:t>
            </w:r>
            <w:r w:rsidR="00377B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EÚ, kap. 7/zv. 8) 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 platnom znení</w:t>
            </w:r>
          </w:p>
          <w:p w14:paraId="6E4FA360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 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785/2004 z 21. apríla 2004 o požiadavkách na poistenie leteckých dopravcov a prevádzkovateľov lietadiel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138, 30.4.2004; Mimoriadne vydanie 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EÚ, kap. 7/zv. 8) v platnom znení</w:t>
            </w:r>
          </w:p>
          <w:p w14:paraId="003B80C1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nariadenie Komisie (ES)</w:t>
            </w:r>
            <w:r w:rsidR="00377B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2150/2005 z 23. decembra 2005, ktorým sa stanovujú spoločné pravidlá pružného využívania vzdušného priestoru (</w:t>
            </w:r>
            <w:r w:rsidR="00377B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342, 24.12.2005) </w:t>
            </w:r>
          </w:p>
          <w:p w14:paraId="05C72EBA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300/2008 z 11. marca 2008 o spoločných pravidlách v oblasti bezpečnostnej ochrany civilného letectva a o zrušení nariadenia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2320/2002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 9.4.2008) v platnom znení - gestor: Ministerstvo dopravy Slovenskej republiky</w:t>
            </w:r>
          </w:p>
          <w:p w14:paraId="45585B68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1008/2008 z 24. septembra 2008 o spoločných pravidlách prevádzky leteckých dopravných služieb v Spoločenstve (prepracované znenie)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 31.10.2008) v platnom znení</w:t>
            </w:r>
          </w:p>
          <w:p w14:paraId="69B771B7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 parlamentu a Rady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996/2010 z 20. októbra 2010 o vyšetrovaní a prevencii nehôd a incidentov v civilnom letectve a o zrušení smernice 94/56/ES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295, 12.11.2010) v platnom znení </w:t>
            </w:r>
          </w:p>
          <w:p w14:paraId="3D9277BC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1178/2011 z 3. novembra 2011, ktorým sa ustanovujú technické požiadavky a administratívne postupy týkajúce sa posádky civilného letectva podľa nariadenia Európskeho 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216/2008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311, 25.11.2011) v platnom znení </w:t>
            </w:r>
          </w:p>
          <w:p w14:paraId="3708439C" w14:textId="0C17FA1A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748/2012 z 3. augusta 2012 stanovujúce vykonávacie pravidlá osvedčovania letovej spôsobilosti a environmentálneho osvedčovania lietadiel a prislúchajúcich výrobkov, častí a zariadení, ako aj osvedčovania projekčných a výrobných organizácií (prepracované znenie) </w:t>
            </w:r>
            <w:r w:rsidR="003C7BBE"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C7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="003C7BBE"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C7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="003C7BBE"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224, 21.8.2012) 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 platnom znení </w:t>
            </w:r>
          </w:p>
          <w:p w14:paraId="5316891E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vykonávacie 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923/2012 z 26. septembra 2012, ktorým sa stanovujú spoločné pravidlá lietania a prevádzkové ustanovenia týkajúce sa služieb a postupov v letovej prevádzke a ktorým sa mení a dopĺňa vykonávacie nariadenie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1035/2011 a nariadenia 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1265/2007,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1794/2006,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730/2006,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1033/2006 a 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255/2010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 13.10.2012) v platnom znení</w:t>
            </w:r>
          </w:p>
          <w:p w14:paraId="22972EC0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965/2012 z</w:t>
            </w:r>
            <w:r w:rsidR="000E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októbra 2012, ktorým sa ustanovujú technické požiadavky a administratívne postupy týkajúce sa leteckej prevádzky podľa nariadenia Európskeho parlamentu a 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216/2008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296, 25.10.2012) v platnom znení </w:t>
            </w:r>
          </w:p>
          <w:p w14:paraId="1CE92FFA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139/2014 z 12. februára 2014, ktorým sa stanovujú požiadavky a administratívne postupy týkajúce sa letísk podľa nariadenia Európskeho 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216/2008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 14.2.2014) v platnom znení </w:t>
            </w:r>
          </w:p>
          <w:p w14:paraId="38E25473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376/2014 z 3. apríla 2014 o ohlasovaní udalostí, ich analýze a na ne nadväzujúcich opatreniach v civilnom letectve, ktorým sa mení nariadenie Európskeho parlamentu a Rady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996/2010 a ktorým sa zrušuje smernica Európskeho parlamentu a Rady 2003/42/ES a nariadenia Komisie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1321/2007 a 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1330/2007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122, 24.4.2014) v platnom znení </w:t>
            </w:r>
          </w:p>
          <w:p w14:paraId="5DCE9651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1321/2014 z 26. novembra 2014 o zachovaní letovej spôsobilosti lietadiel a výrobkov, súčastí a zariadení leteckej techniky a o schvaľovaní organizácií a personálu zapojených do týchto činností (prepracované znenie) (U. v.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362, 17.12.2014) v platnom znení </w:t>
            </w:r>
          </w:p>
          <w:p w14:paraId="596999C2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 2015/340 z 20. februára 2015, ktorým sa stanovujú technické požiadavky a administratívne postupy týkajúce sa preukazov a osvedčení riadiacich letovej prevádzky podľa nariadenia Európskeho 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216/2008 a ktorým sa mení vykonávacie 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923/2012 a zrušuje nariadenie Komisie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805/2011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 06.03.2015) v platnom znení </w:t>
            </w:r>
          </w:p>
          <w:p w14:paraId="433C9CBD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 2015/640 z 23. apríla 2015 o dodatočných špecifikáciách letovej spôsobilosti pre daný typ prevádzky, ktorým sa mení nariadenie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965/2012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 24.4.2015) v platnom znení</w:t>
            </w:r>
          </w:p>
          <w:p w14:paraId="0755E2C5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vykonávacie nariadenie Komisie (EÚ) 2015/1998 z 5. novembra 2015, ktorým sa stanovujú podrobné opatrenia na vykonávanie spoločných základných noriem bezpečnostnej ochrany letectva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299, 14.11.2015) v platnom znení </w:t>
            </w:r>
          </w:p>
          <w:p w14:paraId="04E94675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(EÚ) 2016/679 z 27. apríla 2016 o ochrane fyzických osôb pri spracúvaní osobných údajov a o voľnom pohybe takýchto údajov, ktorým sa zrušuje smernica 95/46/ES (všeobecné nariadenie o ochrane údajov) (Ú .v.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119, 4.5.2016) </w:t>
            </w:r>
          </w:p>
          <w:p w14:paraId="0440B466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vykonávacie nariadenie Komisie (EÚ) 2017/373 z 1. marca 2017, ktorým sa stanovujú spoločné požiadavky na poskytovateľov manažmentu letovej prevádzky/leteckých navigačných služieb a na ostatné funkcie siete manažmentu letovej prevádzky, ktorým sa zrušuje nariadenie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482/2008, vykonávacie nariadenia 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1034/2011,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1035/2011 a (EÚ) 2016/1377 a ktorým sa mení nariadenie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677/2011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 8.3.2017) v platnom znení </w:t>
            </w:r>
          </w:p>
          <w:p w14:paraId="415561E1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Komisie (EÚ) 2018/395 z 13. marca 2018, ktorým sa stanovujú podrobné pravidlá prevádzky balónov</w:t>
            </w:r>
            <w:r w:rsidRPr="00C85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ako aj udeľovania preukazov spôsobilosti letovej posádke balónov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podľa nariadenia Európskeho parlamentu a Rady (EÚ) 2018/1139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 14.3.2018) v platnom znení </w:t>
            </w:r>
          </w:p>
          <w:p w14:paraId="0398D0C1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nariadenie Európskeho parlamentu a Rady (EÚ) 2018/1139 zo 4. júla 2018 o spoločných pravidlách v oblasti civilného letectva, ktorým sa zriaďuje Agentúra Európskej únie pre bezpečnosť letectva a ktorým sa menia nariadenia Európskeho 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2111/2005,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1008/2008,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996/2010, (EÚ)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376/2014 a smernice Európskeho parlamentu a Rady 2014/30/EÚ a 2014/53/EÚ a zrušujú nariadenia Európskeho parlamentu a Rady 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552/2004 a (ES)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216/2008 a nariadenie Rady (EHS)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č.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3922/91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212, 22.08.2018) v platnom znení </w:t>
            </w:r>
          </w:p>
          <w:p w14:paraId="188D31B1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vykonávacie nariadenie Komisie (EÚ) 2018/1976 zo 14. decembra 2018, ktorým sa stanovujú podrobné pravidlá prevádzky vetroňov</w:t>
            </w:r>
            <w:r w:rsidRPr="00C85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ako aj pravidlá udeľovania preukazov spôsobilosti člena letovej posádky vetroňov 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nariadenia Európskeho parlamentu a Rady (EÚ) 2018/1139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326, 20.12.2018) v platnom znení </w:t>
            </w:r>
          </w:p>
          <w:p w14:paraId="7BB801E7" w14:textId="77777777" w:rsidR="006777A4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delegované nariadenie Komisie (EÚ) 2019/945 z 12. marca 2019 o bezpilotných leteckých systémoch a o prevádzkovateľoch bezpilotných leteckých systémov z tretích krajín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 11.6.2019) v platnom znení </w:t>
            </w:r>
          </w:p>
          <w:p w14:paraId="5D2DFA5F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vykonávacie nariadenie Komisie (EÚ) 2019/947 z 24. mája 2019 o pravidlách a postupoch prevádzky bezpilotných lietadiel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 11.6.2019) v platom znení </w:t>
            </w:r>
          </w:p>
          <w:p w14:paraId="47EAE74D" w14:textId="77777777" w:rsidR="006777A4" w:rsidRPr="00C853AC" w:rsidRDefault="006777A4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vykonávacie nariadenia Komisie (EÚ) 2021/664 z 22. apríla 2021 o regulačnom rámci pre priestor U-space (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Ú. v.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 </w:t>
            </w:r>
            <w:r w:rsidRPr="00C85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 23.4.2021) v platnom znení</w:t>
            </w:r>
          </w:p>
          <w:p w14:paraId="19B8582E" w14:textId="77777777" w:rsidR="0065079D" w:rsidRPr="0065079D" w:rsidRDefault="0065079D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  <w:r w:rsidRPr="006507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mernica Európskeho parlamentu a Rady (EÚ) 2023/946 z 10. mája 2023, ktorou sa mení smernica 2003/25/ES, pokiaľ ide o začlenenie požiadaviek na zlepšenú stabilitu a zosúladenie uvedenej smernice s požiadavkami na stabilitu vymedzenými Medzinárodnou námornou organizáciou (</w:t>
            </w:r>
            <w:r w:rsidRPr="0065079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Ú. v. EÚ L 128, 15.5.2023)</w:t>
            </w:r>
          </w:p>
          <w:p w14:paraId="501BA311" w14:textId="77777777" w:rsidR="006777A4" w:rsidRPr="00C853AC" w:rsidRDefault="00064698" w:rsidP="0065079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delegované </w:t>
            </w:r>
            <w:r w:rsidR="006777A4" w:rsidRPr="00C853AC">
              <w:rPr>
                <w:rFonts w:ascii="Times New Roman" w:hAnsi="Times New Roman" w:cs="Times New Roman"/>
                <w:sz w:val="20"/>
                <w:szCs w:val="20"/>
              </w:rPr>
              <w:t>nariadenie Komisie (EÚ) 2023/1768 zo 14. júla 2023, ktorým sa stanovujú podrobné pravidlá osvedčovania a vyhlásenia týkajúcich sa systémov a manažmentu letovej prevádzky/leteckých navigačných služieb a komponentov manažmentu letovej prevádzky/leteckých navigačných služieb (</w:t>
            </w:r>
            <w:r w:rsidR="00377B4B">
              <w:rPr>
                <w:rFonts w:ascii="Times New Roman" w:hAnsi="Times New Roman" w:cs="Times New Roman"/>
                <w:sz w:val="20"/>
                <w:szCs w:val="20"/>
              </w:rPr>
              <w:t>Ú. v.</w:t>
            </w:r>
            <w:r w:rsidR="006777A4" w:rsidRPr="00C853AC">
              <w:rPr>
                <w:rFonts w:ascii="Times New Roman" w:hAnsi="Times New Roman" w:cs="Times New Roman"/>
                <w:sz w:val="20"/>
                <w:szCs w:val="20"/>
              </w:rPr>
              <w:t xml:space="preserve"> EÚ</w:t>
            </w:r>
            <w:r w:rsidR="00377B4B">
              <w:rPr>
                <w:rFonts w:ascii="Times New Roman" w:hAnsi="Times New Roman" w:cs="Times New Roman"/>
                <w:sz w:val="20"/>
                <w:szCs w:val="20"/>
              </w:rPr>
              <w:t xml:space="preserve"> L </w:t>
            </w:r>
            <w:r w:rsidR="006777A4" w:rsidRPr="00C853AC">
              <w:rPr>
                <w:rFonts w:ascii="Times New Roman" w:hAnsi="Times New Roman" w:cs="Times New Roman"/>
                <w:sz w:val="20"/>
                <w:szCs w:val="20"/>
              </w:rPr>
              <w:t>228, 15.9.2023)</w:t>
            </w:r>
          </w:p>
          <w:p w14:paraId="4F4BB285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0D8DD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0B7FA2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6DF" w14:textId="77777777" w:rsidR="001B23B7" w:rsidRPr="00612E08" w:rsidRDefault="001A7E9A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november/december 2023</w:t>
            </w:r>
          </w:p>
        </w:tc>
      </w:tr>
      <w:tr w:rsidR="00612E08" w:rsidRPr="00612E08" w14:paraId="7D2B27A9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0843DB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9F8" w14:textId="77777777" w:rsidR="001B23B7" w:rsidRPr="00612E08" w:rsidRDefault="001A7E9A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2023</w:t>
            </w:r>
          </w:p>
        </w:tc>
      </w:tr>
      <w:tr w:rsidR="00612E08" w:rsidRPr="00612E08" w14:paraId="31A8060F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9D83EA" w14:textId="77777777" w:rsidR="001B23B7" w:rsidRPr="00612E08" w:rsidRDefault="001B23B7" w:rsidP="0065079D">
            <w:pPr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C38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10B11F4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FD2EA4" w14:textId="77777777" w:rsidR="001B23B7" w:rsidRPr="00612E08" w:rsidRDefault="001B23B7" w:rsidP="0065079D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E1B" w14:textId="20D05E87" w:rsidR="001B23B7" w:rsidRPr="00612E08" w:rsidRDefault="00992944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</w:t>
            </w:r>
            <w:r w:rsidR="001A7E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75557FB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BC5D56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0FB67E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C115BCB" w14:textId="77777777" w:rsidR="001B23B7" w:rsidRPr="00612E08" w:rsidRDefault="001B23B7" w:rsidP="00014270">
            <w:pPr>
              <w:keepNext/>
              <w:numPr>
                <w:ilvl w:val="0"/>
                <w:numId w:val="1"/>
              </w:numPr>
              <w:ind w:left="425" w:hanging="3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Definovanie problému</w:t>
            </w:r>
          </w:p>
        </w:tc>
      </w:tr>
      <w:tr w:rsidR="00612E08" w:rsidRPr="00612E08" w14:paraId="0E071774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6EDF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45804C62" w14:textId="77777777" w:rsidR="001B23B7" w:rsidRPr="002B4109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5FF30AE" w14:textId="77777777" w:rsidR="007843A2" w:rsidRPr="007843A2" w:rsidRDefault="007843A2" w:rsidP="006507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FB5E54" w14:textId="77777777" w:rsidR="007843A2" w:rsidRDefault="007843A2" w:rsidP="006507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3A2">
              <w:rPr>
                <w:rFonts w:ascii="Times New Roman" w:hAnsi="Times New Roman"/>
                <w:bCs/>
                <w:sz w:val="20"/>
                <w:szCs w:val="20"/>
              </w:rPr>
              <w:t>V súčasnosti je na národnej úrovni oblasť bezpilotných lietadiel a bezpilotných leteckých systémov čiastočne upravená § 7 ods. 2 zákona č. 143/1998 Z. z. o civilnom letectve (letecký zákon) a o zmene a doplnení niektorých zákonov v znení neskorších predpisov (ďalej len „zákon č. 143/1998 Z. z.“). Na základe § 7 ods. 2 zákona č. 143/1998 Z. z. vydal Dopravný úrad rozhodnutie</w:t>
            </w:r>
            <w:r w:rsidRPr="007843A2">
              <w:rPr>
                <w:rFonts w:ascii="Times New Roman" w:hAnsi="Times New Roman"/>
                <w:sz w:val="20"/>
                <w:szCs w:val="20"/>
              </w:rPr>
              <w:t xml:space="preserve">, ktorým sa určujú podmienky vykonania letu lietadlom spôsobilým lietať bez pilota a vyhlasuje zákaz vykonania letu určených kategórií lietadiel vo vzdušnom priestore Slovenskej republiky. V roku 2019 bolo na úrovni Európskej únie prijaté </w:t>
            </w:r>
            <w:r w:rsidRPr="007843A2">
              <w:rPr>
                <w:rFonts w:ascii="Times New Roman" w:eastAsia="Calibri" w:hAnsi="Times New Roman" w:cs="Times New Roman"/>
                <w:sz w:val="20"/>
                <w:szCs w:val="20"/>
              </w:rPr>
              <w:t>vykonávacie nariadenie Komisie (EÚ) 2019/947 z 24. mája 2019 o pravidlách a postupoch prevádzky bezpilotných lietadiel v platnom znení a následne v roku 2021 boli prijaté právne záväzné akty Európskej únie vo vzťahu k oblasti vzdušného priestoru U-space, napríklad vykonávacieho nariadenia Komisie (EÚ) 2021/664 z 22. apríla 2021 o regulačnom rámci pre priestor U-space (Ú. v. EÚ L 139, 23.4.2021) v platnom znení.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B5E6B33" w14:textId="77777777" w:rsidR="007843A2" w:rsidRDefault="007843A2" w:rsidP="006507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Uvedené právne záväzné akty Európskej únie v niektorých prípadoch ponechávajú na členskom štáte Európskej únie, aby určil, ktorý orgán štátnej správy bude vykonávať činnosti uvedené v týchto právne záväzných aktoch Európskej únie. Z tohto dôvodu je potrebné jednoznačne stanoviť kompetencie príslušných orgánov štátnej správy. </w:t>
            </w:r>
          </w:p>
          <w:p w14:paraId="40433D39" w14:textId="77777777" w:rsidR="007843A2" w:rsidRDefault="007843A2" w:rsidP="006507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Uvedené právne záväzné akty Európskej únie taktiež neupravujú oblasť sankcií a ani ochrany osobných údajov.</w:t>
            </w:r>
          </w:p>
          <w:p w14:paraId="6E90884C" w14:textId="77777777" w:rsidR="007843A2" w:rsidRPr="007843A2" w:rsidRDefault="007843A2" w:rsidP="006507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Vo všeobecnosti možno uviesť, že bezpilotné lietadlá, bezpilotné letecké systémy a činnosti vykonávané týmito lietadlami alebo systémami predstavujú </w:t>
            </w:r>
            <w:r w:rsidRPr="007843A2">
              <w:rPr>
                <w:rFonts w:ascii="Times New Roman" w:eastAsia="Calibri" w:hAnsi="Times New Roman" w:cs="Times New Roman"/>
                <w:sz w:val="20"/>
                <w:szCs w:val="20"/>
              </w:rPr>
              <w:t>na celospoločensk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ý problém, ktorý je potrebné </w:t>
            </w:r>
            <w:r w:rsidR="00896332">
              <w:rPr>
                <w:rFonts w:ascii="Times New Roman" w:eastAsia="Calibri" w:hAnsi="Times New Roman" w:cs="Times New Roman"/>
                <w:sz w:val="20"/>
                <w:szCs w:val="20"/>
              </w:rPr>
              <w:t>riešim príslušnou právnou úpravou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9C9CE96" w14:textId="77777777" w:rsidR="002B4109" w:rsidRPr="00612E08" w:rsidRDefault="002B4109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4D04E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1B7124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35EE6D4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3842A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5D02101B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330B546" w14:textId="77777777" w:rsidR="007843A2" w:rsidRPr="00131302" w:rsidRDefault="007843A2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Návrhom zákona 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sa zabezpečí, že oblasť bezpilotných lietadiel, bezpilotných leteckých systémov a vzdušného priestoru U-space bude mať komplexnú národnú právnu úpravu pri zohľadnení už upravených oblastí príslušnými právne záväznými aktmi Európskej únie a tých oblastí, ktoré právne záväzné akty Európskej únie neupravujú, čím budú vykonané nielen príslušné právne záväzné akty Európskej únie, ale budú odstránené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aj 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niektoré súčasné prekážky v oblasti civilného letectva.</w:t>
            </w:r>
          </w:p>
          <w:p w14:paraId="6EA7139F" w14:textId="77777777" w:rsidR="007843A2" w:rsidRDefault="007843A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Zároveň sa zavedú sankcie za porušovanie pravidiel s cieľom zabezpečiť ochranu </w:t>
            </w:r>
            <w:r w:rsidR="008963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nielen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záujmov štátu, </w:t>
            </w:r>
            <w:r w:rsidR="008963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 </w:t>
            </w:r>
            <w:r w:rsidR="00896332" w:rsidRPr="008963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bezpečnosť iných lietadiel, osôb a majetku na zemi</w:t>
            </w:r>
            <w:r w:rsidR="008963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AA8A8C2" w14:textId="77777777" w:rsidR="002B4109" w:rsidRPr="00612E08" w:rsidRDefault="002B4109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9AEB92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CA305F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12A326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E4C1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6B1CD48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E1CFEB9" w14:textId="77777777" w:rsidR="00131302" w:rsidRPr="00131302" w:rsidRDefault="00131302" w:rsidP="0065079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02">
              <w:rPr>
                <w:rFonts w:ascii="Times New Roman" w:hAnsi="Times New Roman" w:cs="Times New Roman"/>
                <w:sz w:val="20"/>
                <w:szCs w:val="20"/>
              </w:rPr>
              <w:t>osoby činné v civilnom letectve (napríklad pilot na diaľku, prevádzkovateľ bezpilotného leteckého systému, poskytovateľ leteckých navigačných služieb, prevádzkovateľ letiska, a pod.)</w:t>
            </w:r>
          </w:p>
          <w:p w14:paraId="6964E88E" w14:textId="77777777" w:rsidR="00131302" w:rsidRPr="00131302" w:rsidRDefault="00131302" w:rsidP="0065079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02">
              <w:rPr>
                <w:rFonts w:ascii="Times New Roman" w:hAnsi="Times New Roman" w:cs="Times New Roman"/>
                <w:sz w:val="20"/>
                <w:szCs w:val="20"/>
              </w:rPr>
              <w:t>orgány štátnej správy a miestnej samosprávy</w:t>
            </w:r>
          </w:p>
          <w:p w14:paraId="5F3A7869" w14:textId="77777777" w:rsidR="00BC3234" w:rsidRPr="00612E08" w:rsidRDefault="00BC3234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9241B4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DC8697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0DE29C90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7D7D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0D5E034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0702C8" w14:textId="77777777" w:rsidR="001B23B7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</w:t>
            </w:r>
            <w:r w:rsidR="006737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alternatívne riešenia/spôsoby dosiahnutia cieľov uvedených v bode 3.</w:t>
            </w:r>
          </w:p>
          <w:p w14:paraId="00028EF9" w14:textId="77777777" w:rsidR="00BC3234" w:rsidRDefault="00BC3234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D33918A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Nulovým variantom by bolo ponechanie súčasnej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nedostatočnej</w:t>
            </w:r>
            <w:r w:rsidRPr="001313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právnej úpravy, ktorá v niektorých prípadoch neupravuje alebo upravuje len čiastočne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príslušné oblasti vo vzťahu k bezpilotným lietadlám,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bezpilotných leteckých systémov a vzdušné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mu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priestoru U-space</w:t>
            </w:r>
            <w:r w:rsidRPr="001313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E6345FB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8096B6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zohľadňuje legislatívu v oblasti civilného letectva na úrovni Európskej únie, čím budú odstránené niektoré súčasné prekážky v oblasti civilného letectva.</w:t>
            </w:r>
          </w:p>
          <w:p w14:paraId="3D228681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8EDA27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Oproti nulovému variantu predkladateľ predpokladá lepšie dodržiavanie platných právnych predpisov v oblasti civilného letectva.</w:t>
            </w:r>
          </w:p>
          <w:p w14:paraId="335406ED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399A7635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Dopĺňajú sa nové správne poplatky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vo vzťahu k oblasti bezpilotných lietadiel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, bezpilotných leteckých systémov a vzdušného priestoru U-space, pričom </w:t>
            </w:r>
            <w:r w:rsidR="007D6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sa zohľadňujú 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princípy zákona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145/1995 Z. z. o správnych poplatkoch v znení neskorších predpisov.</w:t>
            </w:r>
          </w:p>
          <w:p w14:paraId="75B5AD5C" w14:textId="77777777" w:rsidR="00131302" w:rsidRPr="00131302" w:rsidRDefault="00131302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55C8A805" w14:textId="77777777" w:rsidR="00BC3234" w:rsidRPr="00612E08" w:rsidRDefault="00131302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Ostatné zmeny v návrhu zákona iba precizujú súčasnú platnú právnu úpravu, čo oproti pôvodnému stavu (nulté riešenie) vylepší právne prostredie v oblasti civilného letectva.</w:t>
            </w:r>
          </w:p>
        </w:tc>
      </w:tr>
      <w:tr w:rsidR="00612E08" w:rsidRPr="00612E08" w14:paraId="27C2613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9D047F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5512472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185617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BABABC4" w14:textId="77777777" w:rsidR="001B23B7" w:rsidRPr="00612E08" w:rsidRDefault="00682E8C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E937E5" w14:textId="77777777" w:rsidR="001B23B7" w:rsidRPr="00612E08" w:rsidRDefault="00682E8C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4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5DF1D4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597E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4B604B2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BBA464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72BC9A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3FFC4332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519B646E" w14:textId="77777777">
              <w:trPr>
                <w:trHeight w:val="90"/>
              </w:trPr>
              <w:tc>
                <w:tcPr>
                  <w:tcW w:w="8643" w:type="dxa"/>
                </w:tcPr>
                <w:p w14:paraId="1427B019" w14:textId="77777777" w:rsidR="00A7788F" w:rsidRPr="00612E08" w:rsidRDefault="00A7788F" w:rsidP="0065079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6BEC56AB" w14:textId="77777777">
              <w:trPr>
                <w:trHeight w:val="296"/>
              </w:trPr>
              <w:tc>
                <w:tcPr>
                  <w:tcW w:w="8643" w:type="dxa"/>
                </w:tcPr>
                <w:p w14:paraId="5168B663" w14:textId="2AF545F2" w:rsidR="00A7788F" w:rsidRPr="00612E08" w:rsidRDefault="00A7788F" w:rsidP="0065079D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94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94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929D96B" w14:textId="77777777" w:rsidR="00A7788F" w:rsidRPr="00612E08" w:rsidRDefault="00A7788F" w:rsidP="0065079D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586B577" w14:textId="77777777" w:rsidR="00A7788F" w:rsidRPr="00612E08" w:rsidRDefault="00A7788F" w:rsidP="0065079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11659C26" w14:textId="77777777">
              <w:trPr>
                <w:trHeight w:val="296"/>
              </w:trPr>
              <w:tc>
                <w:tcPr>
                  <w:tcW w:w="8643" w:type="dxa"/>
                </w:tcPr>
                <w:p w14:paraId="64C5C00D" w14:textId="4322528C" w:rsidR="00A7788F" w:rsidRPr="00612E08" w:rsidRDefault="00992944" w:rsidP="00992944">
                  <w:pPr>
                    <w:spacing w:after="0" w:line="240" w:lineRule="auto"/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992944">
                    <w:rPr>
                      <w:rFonts w:ascii="Times" w:hAnsi="Times" w:cs="Times"/>
                      <w:sz w:val="20"/>
                      <w:szCs w:val="20"/>
                    </w:rPr>
                    <w:t>Vyznačený goldplating sa týka vplyvu na podnikateľské prostredie.</w:t>
                  </w:r>
                </w:p>
              </w:tc>
            </w:tr>
          </w:tbl>
          <w:p w14:paraId="02242717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C791403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A497" w14:textId="77777777" w:rsidR="001B23B7" w:rsidRPr="00612E08" w:rsidRDefault="001B23B7" w:rsidP="006507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70FDEF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01AB27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7D978A1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B36B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837F0FB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6524903E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6BE8A2B" w14:textId="77777777" w:rsidR="00896332" w:rsidRDefault="00896332" w:rsidP="0065079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842D38">
              <w:rPr>
                <w:rFonts w:ascii="Times" w:hAnsi="Times" w:cs="Times"/>
                <w:sz w:val="20"/>
                <w:szCs w:val="20"/>
              </w:rPr>
              <w:t xml:space="preserve">Účelnosť prijatia navrhovanej </w:t>
            </w:r>
            <w:r>
              <w:rPr>
                <w:rFonts w:ascii="Times" w:hAnsi="Times" w:cs="Times"/>
                <w:sz w:val="20"/>
                <w:szCs w:val="20"/>
              </w:rPr>
              <w:t xml:space="preserve">právnej </w:t>
            </w:r>
            <w:r w:rsidRPr="00842D38">
              <w:rPr>
                <w:rFonts w:ascii="Times" w:hAnsi="Times" w:cs="Times"/>
                <w:sz w:val="20"/>
                <w:szCs w:val="20"/>
              </w:rPr>
              <w:t xml:space="preserve">úpravy sa preskúma najneskôr do </w:t>
            </w:r>
            <w:r>
              <w:rPr>
                <w:rFonts w:ascii="Times" w:hAnsi="Times" w:cs="Times"/>
                <w:sz w:val="20"/>
                <w:szCs w:val="20"/>
              </w:rPr>
              <w:t>troch</w:t>
            </w:r>
            <w:r w:rsidRPr="00842D38">
              <w:rPr>
                <w:rFonts w:ascii="Times" w:hAnsi="Times" w:cs="Times"/>
                <w:sz w:val="20"/>
                <w:szCs w:val="20"/>
              </w:rPr>
              <w:t xml:space="preserve"> rokov od nadobudnutia jej účinnosti a v prípade potreby v tejto periodicite aj naďalej.</w:t>
            </w:r>
          </w:p>
          <w:p w14:paraId="16C75FD3" w14:textId="77777777" w:rsidR="00896332" w:rsidRDefault="00896332" w:rsidP="0065079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79B3F113" w14:textId="7BDAF1D5" w:rsidR="00896332" w:rsidRDefault="0089633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účelnosti sa bude realizovať na základe poznatkov získaných z aplikačnej praxe, aby sa overil účel prijatia navrhovanej právnej úpravy, t. j. či uvedená právna úprava dostatočne zohľadňuje problémy, ktoré sú</w:t>
            </w:r>
            <w:r w:rsidR="000811FB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>spôsobované činnosťou bezpilotného lietadla. Zároveň bude zohľadňovaná aj prípadná nová právna úprava tejto oblasti prijatá na úrovni Európskej únie.</w:t>
            </w:r>
          </w:p>
          <w:p w14:paraId="0734546D" w14:textId="77777777" w:rsidR="00635486" w:rsidRPr="00612E08" w:rsidRDefault="00635486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9A31DC5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98E8BF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A25CC51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71C0C9A" w14:textId="77777777" w:rsidR="001B23B7" w:rsidRPr="00612E08" w:rsidRDefault="001B23B7" w:rsidP="0065079D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A1C4D3B" w14:textId="77777777" w:rsidR="00A340BB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ACBAFBE" w14:textId="77777777" w:rsidR="00A7788F" w:rsidRPr="00612E08" w:rsidRDefault="00A7788F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321E7A9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C11DDA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3B113F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1B9E5C9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4699EB0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58545B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6A90E88" w14:textId="77777777" w:rsidR="001B23B7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9F71B0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D9578F" w14:textId="77777777" w:rsidR="001B23B7" w:rsidRPr="00612E08" w:rsidRDefault="00203EE3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00F512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C69180" w14:textId="77777777" w:rsidR="001B23B7" w:rsidRPr="00612E08" w:rsidRDefault="00635486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C8ACCB" w14:textId="77777777" w:rsidR="001B23B7" w:rsidRPr="00612E08" w:rsidRDefault="001B23B7" w:rsidP="0065079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09E02E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DA01A6" w14:textId="77777777" w:rsidR="00B84F87" w:rsidRPr="00612E08" w:rsidRDefault="00B84F8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B7E072F" w14:textId="77777777" w:rsidR="00B84F87" w:rsidRPr="00612E08" w:rsidRDefault="00B84F8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CE673AA" w14:textId="77777777" w:rsidR="003145AE" w:rsidRPr="00612E08" w:rsidRDefault="00B84F8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FEFEF36" w14:textId="77777777" w:rsidR="001B23B7" w:rsidRPr="00612E08" w:rsidRDefault="003145AE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B8DC22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E1E561" w14:textId="77777777" w:rsidR="001B23B7" w:rsidRPr="00612E08" w:rsidRDefault="008F4B4C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29C310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2CE401" w14:textId="77777777" w:rsidR="001B23B7" w:rsidRPr="00612E08" w:rsidRDefault="008F4B4C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33ADC3" w14:textId="77777777" w:rsidR="001B23B7" w:rsidRPr="00612E08" w:rsidRDefault="001B23B7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7510ED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E25BCB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E84899" w14:textId="77777777" w:rsidR="003145AE" w:rsidRPr="00612E08" w:rsidRDefault="003145AE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5F053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051525B" w14:textId="77777777" w:rsidR="003145AE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13B5B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7DF0B25" w14:textId="77777777" w:rsidR="003145AE" w:rsidRPr="00612E08" w:rsidRDefault="00131302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BB524C" w14:textId="77777777" w:rsidR="003145AE" w:rsidRPr="00612E08" w:rsidRDefault="003145AE" w:rsidP="0065079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E4C52E5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BB42BA5" w14:textId="77777777" w:rsidR="003145AE" w:rsidRPr="00612E08" w:rsidRDefault="003145AE" w:rsidP="006507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9FB4058" w14:textId="77777777" w:rsidR="003145AE" w:rsidRPr="00612E08" w:rsidRDefault="003145AE" w:rsidP="006507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E03CEC" w14:textId="77777777" w:rsidR="003145AE" w:rsidRPr="00612E08" w:rsidRDefault="003145AE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DF21E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8E2E34" w14:textId="77777777" w:rsidR="003145AE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F81C5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72263A" w14:textId="14404EE8" w:rsidR="003145AE" w:rsidRPr="00612E08" w:rsidRDefault="00955212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59BC" w14:textId="77777777" w:rsidR="003145AE" w:rsidRPr="00612E08" w:rsidRDefault="003145AE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A778E6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14ED9C" w14:textId="77777777" w:rsidR="00A7788F" w:rsidRPr="00612E08" w:rsidRDefault="00A7788F" w:rsidP="006507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AEC7261" w14:textId="77777777" w:rsidR="00A7788F" w:rsidRPr="00612E08" w:rsidRDefault="00CD6E04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E4FA" w14:textId="77777777" w:rsidR="00A7788F" w:rsidRPr="00612E08" w:rsidRDefault="00A7788F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940D6" w14:textId="77777777" w:rsidR="00A7788F" w:rsidRPr="00612E08" w:rsidRDefault="00A7788F" w:rsidP="006507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90871" w14:textId="77777777" w:rsidR="00A7788F" w:rsidRPr="00612E08" w:rsidRDefault="00A7788F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25A175" w14:textId="77777777" w:rsidR="00A7788F" w:rsidRPr="00612E08" w:rsidRDefault="00014270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C724" w14:textId="77777777" w:rsidR="00A7788F" w:rsidRPr="00612E08" w:rsidRDefault="00A7788F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57BA7B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9F4648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5826D4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6516F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FECE91" w14:textId="77777777" w:rsidR="007F587A" w:rsidRPr="00612E08" w:rsidRDefault="00371876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74FD6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CEC9AB" w14:textId="77777777" w:rsidR="007F587A" w:rsidRPr="00612E08" w:rsidRDefault="00371876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6197" w14:textId="77777777" w:rsidR="007F587A" w:rsidRPr="00612E08" w:rsidRDefault="007F587A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96E486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DEB4E3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1CE16EC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5226E4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CAAB36C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B211B9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95EB7BA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BB4C62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6B8D2A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6DD957A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0DBC4A48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B7A6149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F2D8AD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6F56AA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5C8E4C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CBF1F2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0D9FD1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9EF144E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76B75F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Mechanizmus znižovania byrokracie    </w:t>
            </w:r>
          </w:p>
          <w:p w14:paraId="24659BC5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158964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49D56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4EE8B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01F8B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D6D132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1965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9E4C179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3EABB4B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F20069C" w14:textId="77777777" w:rsidR="007F587A" w:rsidRPr="00612E08" w:rsidRDefault="00A40E90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A6AC3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CE7762" w14:textId="77777777" w:rsidR="007F587A" w:rsidRPr="00612E08" w:rsidRDefault="00A40E90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BB74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12043E" w14:textId="77777777" w:rsidR="007F587A" w:rsidRPr="00612E08" w:rsidRDefault="00A40E90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993B7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D4D2CC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7DF31AC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88170EC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5D49F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4A84CC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53FF4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03562C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AA5A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AC94FEE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BB2E86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F4A3EB" w14:textId="77777777" w:rsidR="007F587A" w:rsidRPr="00612E08" w:rsidRDefault="007F587A" w:rsidP="0065079D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415506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79B2C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8D893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96755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DDD8E1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27FF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A5ACAFB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0C45B0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DA3DE4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51C36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9808EC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469C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F0B8B3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5F68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4043A75F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29F3D8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C9E8E" w14:textId="77777777" w:rsidR="000F2BE9" w:rsidRPr="00612E08" w:rsidRDefault="000F2BE9" w:rsidP="00650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B7571" w14:textId="77777777" w:rsidR="000F2BE9" w:rsidRPr="00612E08" w:rsidRDefault="000F2BE9" w:rsidP="00650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35514F" w14:textId="77777777" w:rsidR="000F2BE9" w:rsidRPr="00612E08" w:rsidRDefault="000F2BE9" w:rsidP="00650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7D14B2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8FD811" w14:textId="77777777" w:rsidR="000F2BE9" w:rsidRPr="00612E08" w:rsidRDefault="000F2BE9" w:rsidP="00650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0D120" w14:textId="77777777" w:rsidR="000F2BE9" w:rsidRPr="00612E08" w:rsidRDefault="000F2BE9" w:rsidP="006507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B4871E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78ACF7" w14:textId="77777777" w:rsidR="000F2BE9" w:rsidRPr="00612E08" w:rsidRDefault="000F2BE9" w:rsidP="0065079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6908E8A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B94C6E" w14:textId="77777777" w:rsidR="000F2BE9" w:rsidRPr="00612E08" w:rsidRDefault="000F2BE9" w:rsidP="00650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9B5DB06" w14:textId="77777777" w:rsidR="000F2BE9" w:rsidRPr="00612E08" w:rsidRDefault="00635486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A03E76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E890111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ADEF7" w14:textId="77777777" w:rsidR="000F2BE9" w:rsidRPr="00612E08" w:rsidRDefault="000F2BE9" w:rsidP="006507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F320A0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45E83B" w14:textId="77777777" w:rsidR="000F2BE9" w:rsidRPr="00612E08" w:rsidRDefault="000F2BE9" w:rsidP="0065079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EB0675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63AD57" w14:textId="77777777" w:rsidR="000F2BE9" w:rsidRPr="00612E08" w:rsidRDefault="000F2BE9" w:rsidP="00650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FDBFBF" w14:textId="77777777" w:rsidR="000F2BE9" w:rsidRPr="00612E08" w:rsidRDefault="00635486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B1AD65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655DF92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C2C0" w14:textId="77777777" w:rsidR="000F2BE9" w:rsidRPr="00612E08" w:rsidRDefault="000F2BE9" w:rsidP="006507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01B5626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DB6A26E" w14:textId="77777777" w:rsidR="00A340BB" w:rsidRPr="00612E08" w:rsidRDefault="00A340BB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82162D" w14:textId="77777777" w:rsidR="00A340BB" w:rsidRPr="00612E08" w:rsidRDefault="0023360B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98960" w14:textId="77777777" w:rsidR="00A340BB" w:rsidRPr="00612E08" w:rsidRDefault="00A340BB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37F739" w14:textId="77777777" w:rsidR="00A340BB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42D43" w14:textId="77777777" w:rsidR="00A340BB" w:rsidRPr="00612E08" w:rsidRDefault="00A340BB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191803" w14:textId="77777777" w:rsidR="00A340BB" w:rsidRPr="00612E08" w:rsidRDefault="0023360B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1F88" w14:textId="77777777" w:rsidR="00A340BB" w:rsidRPr="00612E08" w:rsidRDefault="00A340BB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68BB8AB" w14:textId="77777777" w:rsidR="001B23B7" w:rsidRPr="00612E08" w:rsidRDefault="001B23B7" w:rsidP="0065079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062766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385003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68681070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C653C2A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12C1DC92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2378131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1663F877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43FA189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6824B000" w14:textId="77777777" w:rsidR="0098472E" w:rsidRPr="00612E08" w:rsidRDefault="0098472E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80E8C8" w14:textId="77777777" w:rsidR="0098472E" w:rsidRPr="00612E08" w:rsidRDefault="007C5312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</w:t>
            </w:r>
            <w:r w:rsidR="00377B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č. 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24/2006 Z. z. o posudzovaní vplyvov na životné prostredie a o zmene a doplnení niektorých zákonov v znení neskorších prepisov, uveďte internetový odkaz na tento proces.</w:t>
            </w:r>
          </w:p>
          <w:p w14:paraId="066F395F" w14:textId="77777777" w:rsidR="0098472E" w:rsidRDefault="0098472E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3F89686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 súčasnosti je na národnej úrovni oblasť bezpilotných lietadiel a bezpilotných leteckých systémov čiastočne upravená § 7 ods. 2 zákona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143/1998 Z. z. o civilnom letectve (letecký zákon) a o zmene a doplnení niektorých zákonov v znení neskorších predpisov (ďalej len „zákon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143/1998 Z. z.“). Na základe § 7 ods. 2 zákona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143/1998 Z. z. vydal Dopravný úrad rozhodnutie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sa určujú podmienky vykonania letu lietadlom spôsobilým lietať bez pilota a vyhlasuje zákaz vykonania letu určených kategórií lietadiel vo vzdušnom priestore Slovenskej republiky. </w:t>
            </w:r>
          </w:p>
          <w:p w14:paraId="22B3888B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8A0BB2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roku 2019 bolo na úrovni Európskej únie prijaté vykonávacie nariadenie Komisie (EÚ) 2019/947 z 24. mája 2019 o pravidlách a postupoch prevádzky bezpilotných lietadiel v platnom znení a následne v roku 2021 boli prijaté právne záväzné akty Európskej únie vo vzťahu k oblasti vzdušného priestoru U-space, napríklad vykonávacieho nariadenia Komisie (EÚ) 2021/664 z 22. apríla 2021 o regulačnom rámci pre priestor U-space (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 v.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EÚ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 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139, 23.4.2021) v platnom znení.</w:t>
            </w:r>
          </w:p>
          <w:p w14:paraId="36EF8547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DD8D7ED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Príslušným orgánom podľa čl. 17 a 18 vykonávacieho nariadenia (EÚ) 2019/947 je Dopravný úrad, ktorého pôsobnosť Dopravného úradu vo vzťahu bezpilotným lietadlám ustanovuje zákon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143/1998 Z. z., konkrétne § 7 ods. 2, § 48 ods. 1 písm. a) piaty bod zohľadňujúc 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čl. 3 ods. 34 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nariadenia 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Európskeho parlamentu a Rady (EÚ) 2018/1139 zo 4. júla 2018 o spoločných pravidlách v oblasti civilného letectva, ktorým sa zriaďuje Agentúra Európskej únie pre bezpečnosť letectva a ktorým sa menia nariadenia Európskeho parlamentu a Rady (ES)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2111/2005, (ES)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1008/2008, (EÚ)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996/2010, (EÚ)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376/2014 a smernice Európskeho parlamentu a Rady 2014/30/EÚ a 2014/53/EÚ a zrušujú nariadenia Európskeho parlamentu a Rady (ES)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552/2004 a (ES)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216/2008 a nariadenie Rady (EHS)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3922/91 (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Ú. v.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EÚ</w:t>
            </w:r>
            <w:r w:rsidR="00377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L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212, 22.8.2018) v platnom znení.</w:t>
            </w:r>
          </w:p>
          <w:p w14:paraId="22E05E7D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1495AE84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Novou právnou úpravou sa zabezpečí, že oblasť bezpilotných lietadiel, bezpilotných leteckých systémov a vzdušného priestoru U-space bude mať komplexnú národnú právnu úpravu pri zohľadnení už upravených oblastí príslušnými právne záväznými aktmi Európskej únie a tých oblastí, ktoré právne záväzné akty Európskej 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únie neupravujú, čím budú vykonané nielen príslušné právne záväzné akty Európskej únie, ale budú odstránené niektoré aj súčasné prekážky v oblasti civilného letectva.</w:t>
            </w:r>
          </w:p>
          <w:p w14:paraId="4D54ADE8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4A080B6" w14:textId="77777777" w:rsid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skutočnosť, že návrh zákona, </w:t>
            </w:r>
            <w:r w:rsidRPr="006777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 dopĺňa zákon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 </w:t>
            </w:r>
            <w:r w:rsidRPr="00677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143/1998 Z. z. o civilnom letectve (letecký zákon) a o zmene a doplnení niektorých zákonov v znení neskorších predpisov a ktorým sa menia a dopĺňajú niektoré zákony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predstavuje úplne novú národnú právnu úpravu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predmetnej oblasti vzhľadom na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potrebu vykonať príslušné právne záväzné akty Európskej únie v oblasti 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bezpilotných lietadiel, bezpilotných leteckých systémov a vzdušného priestoru U-space</w:t>
            </w:r>
            <w:r w:rsidR="00371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nebolo možné uplatniť mechanizmus</w:t>
            </w:r>
            <w:r>
              <w:t xml:space="preserve"> 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znižovania byrokracie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DB00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nákladov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  <w:p w14:paraId="5C76A161" w14:textId="77777777" w:rsid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E19E938" w14:textId="286745F2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Taktiež navrhovaná právna úprava umožní vykonávať činnosti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súlade s právom Európskej únie aj v iných členských štátov Európskej únie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keďže 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súčasnosti platná a účinná vnútroštátna právna úprava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 nie vždy umožňuje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5314E129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Uvedené predstavuje základ, ktorý bol zohľadňovaný pri vypracovaní doložky vybraných vplyvov a príslušných analýz v súlade s platnou jednotnou metodikou na posudzovanie vplyvov, pričom bolo rešpektované aj základné pravidlo platné v civilnom letectve „Safety first“ (t. j. bezpečnosť civilnéh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letectva je na prvom mieste).</w:t>
            </w:r>
          </w:p>
          <w:p w14:paraId="630EB73C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69874BA" w14:textId="5218D4DE" w:rsidR="00371876" w:rsidRPr="00371876" w:rsidRDefault="00371876" w:rsidP="003718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Predmetný návrh zákona predpokladá pozitívny vplyv na rozpočet verejnej správy, ktorý predstavuje príjem štátneho rozpočtu vzhľadom na vyberanie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správnych </w:t>
            </w:r>
            <w:r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poplatkov za príslušné úkony vykonané Ministerstvom dopravy Slovenskej republiky alebo Dopravným úradom. Súčasne návrh zákona predpokladá negatívny vplyv na rozpočet verejnej správy, ktorý je rozpočtovo krytý v rokoch 2024 a 2025. V roku 2026 je rozpočtovo krytá časť prevádzk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novovybudovaného informačného systému. Náklady na rozvoj systému bude Ministerstvo dopravy Slovenskej republik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y </w:t>
            </w:r>
            <w:r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prioritne riešiť z Operačného programu Slovensko. Rozpočtovo nekrytý vplyv v roku </w:t>
            </w:r>
            <w:r w:rsidR="00955212"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</w:t>
            </w:r>
            <w:r w:rsidR="0095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955212"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3718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predstavuje celkový vplyv vzhľadom na skutočnosť, že návrh rozpočtu verejnej správy sa schvaľuje na tri rozpočtové roky, t. j. 2024 – 2026.</w:t>
            </w:r>
          </w:p>
          <w:p w14:paraId="61C2EE0B" w14:textId="77777777" w:rsidR="00371876" w:rsidRDefault="00371876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E32FA1C" w14:textId="47F836DC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 vzťahu k správnym poplatkom možno uviesť, že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ide o nové správne poplatky, ktorých zavedenie súvisí s </w:t>
            </w:r>
            <w:r w:rsidR="00FB747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právnou úpravou v oblasti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bezpilotných lietadiel, bezpilotných leteckých systémov a vzdušného priestoru U-space.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Vplyv výšky príslušných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právnych poplatkov na konečných spotrebiteľov nie je možné kvantifikovať, keďže nie je možné vopred predvídať, akým spôsobom to osoba činná v civilnom letectve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ako</w:t>
            </w:r>
            <w:r w:rsidR="005C5A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podnikateľ,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zohľadní do konečnej ceny pre spotrebiteľa.</w:t>
            </w:r>
          </w:p>
          <w:p w14:paraId="54B1BD0B" w14:textId="77777777" w:rsidR="00DB00B8" w:rsidRP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1AE23AA" w14:textId="77777777" w:rsidR="00DB00B8" w:rsidRDefault="00DB00B8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zákona nie je možné jednoznačne kvantifikovať charakter a rozsah celkových príjmov a prínosov, keďže nie je možné konkrétne určiť počet vybraných správnych poplatk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 a pokút. Správne poplatky za 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jednotlivé 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úkony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dopravy Slovenskej republiky a Dopravn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úrad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 nepravidelné.</w:t>
            </w:r>
          </w:p>
          <w:p w14:paraId="509B1456" w14:textId="77777777" w:rsidR="001B23B7" w:rsidRPr="00612E08" w:rsidRDefault="001B23B7" w:rsidP="0065079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E57B2F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4B99C9" w14:textId="77777777" w:rsidR="001B23B7" w:rsidRPr="00612E08" w:rsidRDefault="001B23B7" w:rsidP="0065079D">
            <w:pPr>
              <w:keepNext/>
              <w:numPr>
                <w:ilvl w:val="0"/>
                <w:numId w:val="1"/>
              </w:numPr>
              <w:ind w:left="425" w:hanging="3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131CE71B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E2BB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99EDA3B" w14:textId="77777777" w:rsidR="003C0484" w:rsidRDefault="003C0484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E26C90C" w14:textId="77777777" w:rsidR="00EB4B65" w:rsidRPr="00EB4B65" w:rsidRDefault="00EB4B65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B4B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Michal Hýsek,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</w:t>
            </w:r>
            <w:r w:rsidRPr="00EB4B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civilného letectva, Ministerstvo dopravy Slovenskej republiky, 02/59494617, </w:t>
            </w:r>
            <w:hyperlink r:id="rId9" w:history="1">
              <w:r w:rsidRPr="00EB4B6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michal.hysek@mindop.sk</w:t>
              </w:r>
            </w:hyperlink>
          </w:p>
          <w:p w14:paraId="40FBB35E" w14:textId="77777777" w:rsidR="003C0484" w:rsidRPr="003C0484" w:rsidRDefault="003C0484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5E91B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DAB4FF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43DF80E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4B8F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476405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CD5010F" w14:textId="77777777" w:rsidR="00CB27E0" w:rsidRPr="00CB27E0" w:rsidRDefault="00EB4B65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B4B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výpočte výdavkov v rámci vplyv</w:t>
            </w:r>
            <w:r w:rsid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ov na rozpočet verejnej správy slúžili </w:t>
            </w:r>
            <w:r w:rsidR="00CB27E0"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ako zdroje interné dokumenty Ministerstva dopravy Slovenskej republiky a Dopravného úradu, ako aj poznatky z aplikačnej praxe.</w:t>
            </w:r>
          </w:p>
          <w:p w14:paraId="1296965C" w14:textId="541F574E" w:rsidR="00CB27E0" w:rsidRPr="00CB27E0" w:rsidRDefault="00CB27E0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 výpočte výdavkov </w:t>
            </w:r>
            <w:r w:rsidR="006737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Ministerstva </w:t>
            </w:r>
            <w:r w:rsidR="006737F0"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dopravy Slovenskej republiky </w:t>
            </w:r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vplyvov na rozpočet verejnej správy - informatizácia (prevádzka systému) boli</w:t>
            </w:r>
            <w:r w:rsidR="003740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základ </w:t>
            </w:r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zohľadnené výstupy z analýzy CBA, ktorá bola </w:t>
            </w:r>
            <w:r w:rsidR="00630928"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vypracovan</w:t>
            </w:r>
            <w:r w:rsidR="006309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630928"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 projekt</w:t>
            </w:r>
            <w:r w:rsidR="007620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rozvoja IT: Vybudovanie Informačného systému na poskytovanie leteckej informačnej služby, služieb CIS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služieb U-space (</w:t>
            </w:r>
            <w:hyperlink r:id="rId10" w:history="1">
              <w:r w:rsidRPr="00CB27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https://metais.vicepremier.gov.sk/detail/Projekt/66ca0dfd-fe18-46cd-940a-6448b3960c0c/cimaster?tab=basicForm</w:t>
              </w:r>
            </w:hyperlink>
            <w:r w:rsidRPr="00CB27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). </w:t>
            </w:r>
          </w:p>
          <w:p w14:paraId="36130F47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36A82D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1DBB9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</w:t>
            </w:r>
            <w:r w:rsidR="00377B4B">
              <w:rPr>
                <w:rFonts w:ascii="Times New Roman" w:eastAsia="Calibri" w:hAnsi="Times New Roman" w:cs="Times New Roman"/>
                <w:b/>
              </w:rPr>
              <w:t xml:space="preserve"> č. </w:t>
            </w:r>
            <w:r w:rsidR="00532A79">
              <w:rPr>
                <w:rFonts w:ascii="Times New Roman" w:eastAsia="Calibri" w:hAnsi="Times New Roman" w:cs="Times New Roman"/>
                <w:b/>
              </w:rPr>
              <w:t>276/2023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D37093F" w14:textId="77777777" w:rsidR="001B23B7" w:rsidRPr="00612E08" w:rsidRDefault="001B23B7" w:rsidP="0065079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C3EF9BE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3A7D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E46A84B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71292B8" w14:textId="77777777" w:rsidR="001B23B7" w:rsidRPr="00612E08" w:rsidRDefault="00682E8C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E93775C" w14:textId="77777777" w:rsidR="001B23B7" w:rsidRPr="00612E08" w:rsidRDefault="00682E8C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A56C814" w14:textId="77777777" w:rsidR="001B23B7" w:rsidRPr="00612E08" w:rsidRDefault="00682E8C" w:rsidP="0065079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2A7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7B316D9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Uveďte pripomienky zo stanoviska Komisie z časti II. spolu s Vaším vyhodnotením:</w:t>
            </w:r>
          </w:p>
          <w:p w14:paraId="4C802EE4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C93B32C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doložke vybraných vplyvov</w:t>
            </w:r>
          </w:p>
          <w:p w14:paraId="794D90B9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predkladateľa, aby v Doložke vybraných vplyvov v časti 1. Základné údaje, vyznačil, že ide o transpozíciu/implementáciu práva EÚ.</w:t>
            </w:r>
          </w:p>
          <w:p w14:paraId="2FB5FF38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Odôvodnenie:</w:t>
            </w: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Materiálom sa implementujú nariadenia práva EÚ a je potrebné túto informáciu uviesť v doložke vyznačením „x“</w:t>
            </w:r>
          </w:p>
          <w:p w14:paraId="740CE47A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A6140F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V Doložke vybraných vplyvov v bode 2. Komisia žiada upraviť definovanie problému. Uvádzaný text podľa názoru Komisie nie je definovaním problému, ale popisom, čo sa prijatím návrhu zákona zabezpečí.</w:t>
            </w:r>
          </w:p>
          <w:p w14:paraId="575C411D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V Doložke vybraných vplyvov v bode 3. Komisia žiada upraviť ciele a výsledný stav. Uvádzaný text podľa názoru Komisie neuvádza čo sa prijatím materiálu dosiahne. „Prijatie právnej úpravy“ a „precizovanie platnej legislatívy“ nie je popis cieľov, ale nástrojov na dosiahnutie určitých cieľov, ktoré tu ale nie sú popísané.</w:t>
            </w:r>
          </w:p>
          <w:p w14:paraId="093AE22F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V Doložke vybraných vplyvov v bode 8. Komisia žiada upraviť nie kedy „môže byť vykonané“ preskúmanie účelnosti, ale kedy a ako ho predkladateľ reálne vykoná.</w:t>
            </w:r>
          </w:p>
          <w:p w14:paraId="3303E716" w14:textId="77777777" w:rsid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C511CE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1E48EB5F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Pripomienka akceptovaná. Doložka vybraných vplyvov bola upravená.</w:t>
            </w:r>
          </w:p>
          <w:p w14:paraId="6E7A65B0" w14:textId="77777777" w:rsid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9C0A65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47AF77" w14:textId="77777777" w:rsidR="00532A79" w:rsidRPr="00532A79" w:rsidRDefault="00532A79" w:rsidP="0065079D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 vplyvom na podnikateľské prostredie </w:t>
            </w:r>
          </w:p>
          <w:p w14:paraId="6A233BD9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Komisia žiada predkladateľa o doplnenie kvalitatívnych vplyvov na podnikateľské prostredie do časti 3.4 Analýzy vplyvov na podnikateľské prostredie. </w:t>
            </w:r>
          </w:p>
          <w:p w14:paraId="64BBE8F1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Odôvodnenie:</w:t>
            </w: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Bod 13 Novozriadený informačný systém poskytuje zjednodušenie a urýchlenie komunikácie medzi dotknutými subjektami, bod 21 a 22 znižujú sa náklady prevádzkovateľovi verejného letiska a to efektívnym výkonom bezpečnostnej ochrany používaním bezpilotných lietadiel so záznamovým zariadením, Čl. III § 13b ustanovuje zákaz činnosti bezpilotného lietadla vo vymedzenom vzdušnom priestore nad stavbami.</w:t>
            </w:r>
          </w:p>
          <w:p w14:paraId="17E46216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939520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4BCCA9C4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Pripomienka akceptovaná. Analýza vplyvov na</w:t>
            </w:r>
            <w:r w:rsidR="0057411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podnikateľské prostredie bola upravená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0599A670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92CF2E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231645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vplyvom na rozpočet verejnej správy</w:t>
            </w:r>
          </w:p>
          <w:p w14:paraId="2E1A009A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Návrhom zákona sa má zabezpečiť, že oblasť bezpilotných lietadiel, bezpilotných leteckých systémov a vzdušného priestoru U-space bude mať komplexnú národnú právnu úpravu pri zohľadnení už upravených oblastí príslušnými právne záväznými aktmi Európskej únie a zároveň bude zákon predstavovať aj čiastočnú implementáciu Stratégie ochrany pred neoprávneným používaním bezpilotných lietadiel v oblasti kritickej infraštruktúry, ochrany súkromia, neoprávneného monitorovania objektov štátneho záujmu, ochrany objektov osobitnej dôležitosti a ďalších dôležitých objektov, nedovoleného prekročenia štátnej hranice alebo narušenia obmedzených a zakázaných vzdušných priestorov na území Slovenskej republiky, ktorú schválila vláda SR uznesením č. 48 z 19. januára 2022.</w:t>
            </w:r>
          </w:p>
          <w:p w14:paraId="3695DBE1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21089A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Predkladateľ v doložke vybraných vplyvov označil pozitívne a negatívne vplyvy na rozpočet verejnej správy, pričom negatívne vplyvy sú uvedené ako rozpočtovo nezabezpečené. V analýze vplyvov na rozpočet pozitívne vplyvy z titulu príjmov zo správnych poplatkov a pokút nie sú kvantifikované, pričom predkladateľ uvádza odôvodnenie, že výšku správnych poplatkov nie je možné konkrétne určiť, pretože ide o nové správne poplatky a nie je možné určiť ich rozsah a takisto nie je možné určiť príjmy z pokút, predkladateľ predpokladá, že osoby činné v leteckej doprave si budú plniť svoje povinnosti a pokuta bude uplatnená len v krajnom prípade. Uvedené odôvodnenie k pozitívnym vplyvom na rozpočet berie Komisia na vedomie. V analýze vplyvov na rozpočet je uvedené financovanie časti výdavkov ako zabezpečené v rozpočte a časť výdavkov je rozpočtovo nekrytá. S uvedeným nekorešponduje označenie rozpočtovej zabezpečenosti v bode 9. doložky.</w:t>
            </w:r>
          </w:p>
          <w:p w14:paraId="4453C8D2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4C0810" w14:textId="77777777" w:rsidR="008F4B4C" w:rsidRP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F4B4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48DE3D9B" w14:textId="77777777" w:rsidR="008F4B4C" w:rsidRP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4B4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Pripomienka akceptovaná.</w:t>
            </w:r>
            <w:r w:rsidRPr="008F4B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F4B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Čiastočne </w:t>
            </w:r>
            <w:r w:rsidRPr="008F4B4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rozpočtovo zabezpečené vplyvy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boli vyznačené</w:t>
            </w:r>
            <w:r w:rsidRPr="008F4B4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10EE3D73" w14:textId="77777777" w:rsid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B82BF6" w14:textId="77777777" w:rsidR="008F4B4C" w:rsidRP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7B4546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analýze vplyvov na rozpočet predkladateľ uvádza negatívny vplyv v roku 2024 vo výške 280 tis. eur, v roku 2025 vo výške 10,5 mil. eur, v roku 2026 vo výške 1,79 mil. eur a v roku 2027 vo výške 1,93 mil. eur. Zároveň uvádza, že financovanie zabezpečené v rozpočte je len v roku 2025 v kapitole MIRRI SR vo výške 10,4 mil. eur (zdroje EÚ – Program Slovensko a spolufinancovanie), pričom zvyšné výdavky sú uvedené ako rozpočtovo </w:t>
            </w: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nekryté. V analýze v bode 2.1.1. Financovanie návrhu predkladateľ uvádza, že „... návrh zákona predpokladá negatívny vplyv na rozpočet verejnej správy, ktorý je, s prihliadnutím na stanovené limity rozpočtu Ministerstva dopravy Slovenskej republiky a Dopravného úradu a očakávané výnosy aktuálne rozpočtovo krytý, a to na informatizáciu (prevádzka systému informácií pre používateľov vzdušného priestoru). V prípade, ak očakávané výnosy nepokryjú v plnom rozsahu predpokladané zvýšené finančné nároky, tak tieto zvýšené nároky budú predmetom rokovaní medzi Ministerstvom dopravy Slovenskej republiky a Ministerstvom financií Slovenskej republiky v rámci prípravy návrhu rozpočtu verejnej správy na príslušné rozpočtové roky.“. </w:t>
            </w:r>
          </w:p>
          <w:p w14:paraId="061D5E28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materiálom, ktorý zakladá nekrytý vplyv na rozpočet verejnej správy, Komisia zásadne nesúhlasí. Komisia žiada prepracovať doložku vybraných vplyvov a analýzu vplyvov na rozpočet tak, aby všetky výdavky súvisiace s realizáciou návrhu zákona boli zabezpečené v rámci schválených limitov dotknutých kapitol na príslušné rozpočtové obdobie bez dodatočných požiadaviek na rozpočet verejnej správy. </w:t>
            </w:r>
          </w:p>
          <w:p w14:paraId="2FB1E233" w14:textId="77777777" w:rsid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3F84CF" w14:textId="77777777" w:rsidR="008F4B4C" w:rsidRPr="00D00CC4" w:rsidRDefault="008F4B4C" w:rsidP="0065079D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5DD6E193" w14:textId="77777777" w:rsidR="00D00CC4" w:rsidRPr="00532A79" w:rsidRDefault="00D00CC4" w:rsidP="00D00CC4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Pripomienka akceptovaná. Doložka vybraných vplyvov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a analýza </w:t>
            </w: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vplyvov na rozpočet verejnej správy,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na zamestnanosť vo verejnej správe a financovanie návrhu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b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upraven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é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17989F38" w14:textId="77777777" w:rsid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20E083" w14:textId="77777777" w:rsidR="008F4B4C" w:rsidRPr="00532A79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51F221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analýze vplyvov v tabuľke č. 1/A sú uvedené nekryté vplyvy na rozpočet Dopravného úradu v roku 2024 vo výške 280 tis. eur, v rokoch 2025 a 2026 vo výške 100 tis. eur každoročne a v roku 2027 vo výške 240 tis. eur, ktoré však nie sú zohľadnené v tabuľke č. 4/A Dopravný úrad. V tabuľke č. 4/A MD SR sa uvádzajú vplyvy na Tovary a služby v roku 2025 vo výške 254 tis. eur a v rokoch 2026 a 2027 vo výške 1,69 mil. eur. Kvantifikácia predmetného vplyvu za rok 2025 však nie je uvedená v tabuľke č. 1/A za kapitolu MD SR. V nadväznosti na uvedené Komisia žiada zosúladiť jednotlivé tabuľky v analýze vplyvov na rozpočet. </w:t>
            </w:r>
          </w:p>
          <w:p w14:paraId="07C2D573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83611C" w14:textId="77777777" w:rsidR="008F4B4C" w:rsidRPr="00D00CC4" w:rsidRDefault="008F4B4C" w:rsidP="0065079D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43316230" w14:textId="77777777" w:rsidR="008F4B4C" w:rsidRP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Pripomienka akceptovaná. Tabuľky boli upravené.</w:t>
            </w:r>
          </w:p>
          <w:p w14:paraId="58909E4F" w14:textId="77777777" w:rsidR="008F4B4C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16127E" w14:textId="77777777" w:rsidR="008F4B4C" w:rsidRPr="00532A79" w:rsidRDefault="008F4B4C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D044CA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V doložke vybraných vplyvov v bode 9. predkladateľ uviedol žiadne vplyvy na limit verejných výdavkov, čomu zodpovedá aj tabuľka č. 1/B v analýze vplyvov na rozpočet. Z tabuľky č. 1/A v analýze vplyvov na rozpočet však vyplýva rozpočtovo nekrytý vplyv v rokoch 2024 až 2027, čo znamená aj vplyv na limit verejných výdavkov. Na základe uvedeného je potrebné doplniť tabuľku č. 1/B Vplyvy na limit verejných výdavkov verejnej správy, v časti vplyv na limit verejných výdavkov ŠR podľa jednotlivých subjektov, ako aj podrobné tabuľky č. 4/B.</w:t>
            </w:r>
          </w:p>
          <w:p w14:paraId="6CEBCB21" w14:textId="77777777" w:rsidR="00FE2DD8" w:rsidRPr="00532A79" w:rsidRDefault="00FE2DD8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DC9159" w14:textId="77777777" w:rsidR="00D00CC4" w:rsidRPr="00D00CC4" w:rsidRDefault="00D00CC4" w:rsidP="00D00CC4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24C0CD97" w14:textId="77777777" w:rsidR="00D00CC4" w:rsidRPr="008F4B4C" w:rsidRDefault="00D00CC4" w:rsidP="00D00CC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0CC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Pripomienka akceptovaná. Tabuľky boli upravené.</w:t>
            </w:r>
          </w:p>
          <w:p w14:paraId="139BCD8F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29A729" w14:textId="77777777" w:rsidR="00FE2DD8" w:rsidRPr="00532A79" w:rsidRDefault="00FE2DD8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FEC348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doplniť do analýzy vplyvov na rozpočet, že rozpočet na vybudovanie integrovaného informačného systému na poskytovanie leteckej informačnej služby, služieb CIS a služieb U-Space vo výške 10 434 336 eur predstavuje hornú hranicu výdavkov, ktorá bude ďalej spresňovaná a že na základe výsledkov trhových konzultácií bude aktualizovaná štúdia uskutočniteľnosti projektu, ktorá bude predložená MF SR, kde bude výška investície overená.</w:t>
            </w:r>
          </w:p>
          <w:p w14:paraId="339696DF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26AA33" w14:textId="77777777" w:rsidR="00FE2DD8" w:rsidRPr="00040300" w:rsidRDefault="00FE2DD8" w:rsidP="0065079D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4030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6D5C416A" w14:textId="77777777" w:rsidR="00FE2DD8" w:rsidRPr="008F4B4C" w:rsidRDefault="00FE2DD8" w:rsidP="006507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4030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Pripomienka akceptovaná. Informácia o aktualizácii štúdie realizovateľnosti a jej predložení Ministerstvu financií Slovenskej republiky bola doplnená.</w:t>
            </w:r>
          </w:p>
          <w:p w14:paraId="07466603" w14:textId="77777777" w:rsidR="00FE2DD8" w:rsidRDefault="00FE2DD8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C44726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Komisia odporúča doplniť do analýzy vplyvov na rozpočet informáciu, že projekt bude financovaný prostredníctvom Operačného programu Slovensko až po overení jeho ekonomickej návratnosti v aktualizovanej štúdii uskutočniteľnosti projektu.</w:t>
            </w:r>
          </w:p>
          <w:p w14:paraId="2EEA5047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16749A" w14:textId="77777777" w:rsidR="00FE2DD8" w:rsidRPr="00532A79" w:rsidRDefault="00FE2DD8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843CB7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sociálnym vplyvom</w:t>
            </w:r>
          </w:p>
          <w:p w14:paraId="621A3396" w14:textId="77777777" w:rsidR="00532A79" w:rsidRP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>V bode 9 doložky (Vybrané vplyvy materiálu) je potrebné prehodnotiť sociálne vplyvy návrhu, najmä negatívny vplyv navrhovaného zavedenia správnych poplatkov pre fyzické osoby – nepodnikateľov, ktorí chcú riadiť bezpilotné lietadlá, a v prípade identifikácie sociálnych vplyvov vypracovať príslušnú analýzu. V rámci analýzy je potrebné popísať a kvantifikovať vplyv, ako aj ovplyvnenú skupinu, a kvantifikáciu vplyvu vykonať aj formou vhodne zvolených modelových príkladov. Ak predkladateľ vplyv pokladá za marginálny a z tohto dôvodu ho označil ako žiadny vplyv, v bode 10 doložky (Poznámky) vysvetlí, prečo je tento vplyv zanedbateľný.</w:t>
            </w:r>
          </w:p>
          <w:p w14:paraId="2239EC1E" w14:textId="77777777" w:rsidR="00532A79" w:rsidRDefault="00532A79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Odôvodnenie:</w:t>
            </w:r>
            <w:r w:rsidRPr="00532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Návrh zákona predpokladá zavedenie správnych poplatkov súvisiacich s prevádzkou bezpilotných leteckých systémov alebo bezpilotných lietadiel. Poplatky za skúšku teoretických vedomostí a hodnotenie praktických zručností spolu predstavujú 90 eur (30 € + 60 €), za zápis do Registra prevádzkovateľov bezpilotných leteckých systémov 35 € (za zmenu 10 €) a v prípade, že fyzických osôb - nepodnikateľov sa týkajú aj iné poplatky, ide o stovky eur. Vzhľadom na veľký rast záujmu o riadenie bezpilotných lietadiel, ktorými predkladateľ odôvodňuje potrebu predložiť tento návrh zákona, je na mieste otázka, či poplatky nemôžu mať negatívny vplyv na hospodárenie domácností.</w:t>
            </w:r>
          </w:p>
          <w:p w14:paraId="23240095" w14:textId="77777777" w:rsidR="0057411B" w:rsidRDefault="0057411B" w:rsidP="006507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372B1F" w14:textId="77777777" w:rsidR="0057411B" w:rsidRPr="00532A79" w:rsidRDefault="0057411B" w:rsidP="006507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5A7E19AE" w14:textId="77777777" w:rsidR="00532A79" w:rsidRPr="00612E08" w:rsidRDefault="0057411B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Pripomienka akceptovaná. </w:t>
            </w:r>
            <w:r w:rsidR="006C44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Aj napriek skutočnosti, že právne záväzný akt Európskej únie definuje, kto sa musí zaregistrovať ako prevádzkovateľ bezpilotného leteckého systému (pozn. netýka sa to tých bezpilotných leteckých systémov, ktoré sú </w:t>
            </w:r>
            <w:r w:rsidR="006C449A" w:rsidRPr="006C44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 súlade so smernicou Európskeho parlamentu a Rady 2009/48/ES z 18. júna 2009 o bezpečnosti hračiek v platnom znení</w:t>
            </w:r>
            <w:r w:rsidR="006C44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t. j. sú hračkou)bola d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oložka vybraných vplyvov upravená a</w:t>
            </w:r>
            <w:r w:rsidR="006C44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 bola vypracovaná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nalýza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sociálnych 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vplyvov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32AC04C0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895B527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6FFA625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</w:t>
            </w:r>
            <w:r w:rsidR="00377B4B">
              <w:rPr>
                <w:rFonts w:ascii="Times New Roman" w:eastAsia="Calibri" w:hAnsi="Times New Roman" w:cs="Times New Roman"/>
                <w:b/>
              </w:rPr>
              <w:t xml:space="preserve"> č. </w:t>
            </w:r>
            <w:r w:rsidRPr="00612E08">
              <w:rPr>
                <w:rFonts w:ascii="Times New Roman" w:eastAsia="Calibri" w:hAnsi="Times New Roman" w:cs="Times New Roman"/>
                <w:b/>
              </w:rPr>
              <w:t>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014D4E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2537F99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7DA6745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852CFBE" w14:textId="77777777" w:rsidR="001B23B7" w:rsidRPr="00612E08" w:rsidRDefault="00682E8C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BF8B0F3" w14:textId="77777777" w:rsidR="001B23B7" w:rsidRPr="00612E08" w:rsidRDefault="00682E8C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2EA916BF" w14:textId="77777777" w:rsidR="001B23B7" w:rsidRPr="00612E08" w:rsidRDefault="00682E8C" w:rsidP="0065079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0B8794B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011E0B4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E6248C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A390ED8" w14:textId="77777777" w:rsidR="00274130" w:rsidRPr="00612E08" w:rsidRDefault="00682E8C" w:rsidP="0065079D">
      <w:pPr>
        <w:spacing w:after="0" w:line="240" w:lineRule="auto"/>
      </w:pPr>
    </w:p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AE62" w14:textId="77777777" w:rsidR="00682E8C" w:rsidRDefault="00682E8C" w:rsidP="001B23B7">
      <w:pPr>
        <w:spacing w:after="0" w:line="240" w:lineRule="auto"/>
      </w:pPr>
      <w:r>
        <w:separator/>
      </w:r>
    </w:p>
  </w:endnote>
  <w:endnote w:type="continuationSeparator" w:id="0">
    <w:p w14:paraId="57556523" w14:textId="77777777" w:rsidR="00682E8C" w:rsidRDefault="00682E8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00D1B" w14:textId="2277B19B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56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A3B20D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5EA0" w14:textId="77777777" w:rsidR="00682E8C" w:rsidRDefault="00682E8C" w:rsidP="001B23B7">
      <w:pPr>
        <w:spacing w:after="0" w:line="240" w:lineRule="auto"/>
      </w:pPr>
      <w:r>
        <w:separator/>
      </w:r>
    </w:p>
  </w:footnote>
  <w:footnote w:type="continuationSeparator" w:id="0">
    <w:p w14:paraId="1DBB12BE" w14:textId="77777777" w:rsidR="00682E8C" w:rsidRDefault="00682E8C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F39E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>Príloha</w:t>
    </w:r>
    <w:r w:rsidR="00377B4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č. 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07E2C51A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7622"/>
    <w:multiLevelType w:val="hybridMultilevel"/>
    <w:tmpl w:val="7F1E38FE"/>
    <w:lvl w:ilvl="0" w:tplc="C88C2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F27"/>
    <w:multiLevelType w:val="hybridMultilevel"/>
    <w:tmpl w:val="F382781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68ED"/>
    <w:rsid w:val="00014270"/>
    <w:rsid w:val="00040300"/>
    <w:rsid w:val="00043706"/>
    <w:rsid w:val="00064698"/>
    <w:rsid w:val="000811FB"/>
    <w:rsid w:val="00097069"/>
    <w:rsid w:val="000B063F"/>
    <w:rsid w:val="000C77CD"/>
    <w:rsid w:val="000D348F"/>
    <w:rsid w:val="000E099E"/>
    <w:rsid w:val="000F239D"/>
    <w:rsid w:val="000F2BE9"/>
    <w:rsid w:val="00113AE4"/>
    <w:rsid w:val="00131302"/>
    <w:rsid w:val="00140677"/>
    <w:rsid w:val="00156064"/>
    <w:rsid w:val="00187182"/>
    <w:rsid w:val="001A7E9A"/>
    <w:rsid w:val="001B23B7"/>
    <w:rsid w:val="001E23FD"/>
    <w:rsid w:val="001E3562"/>
    <w:rsid w:val="00203EE3"/>
    <w:rsid w:val="002243BB"/>
    <w:rsid w:val="0023360B"/>
    <w:rsid w:val="00243652"/>
    <w:rsid w:val="0028571D"/>
    <w:rsid w:val="002B4109"/>
    <w:rsid w:val="002E7128"/>
    <w:rsid w:val="002F6ADB"/>
    <w:rsid w:val="003145AE"/>
    <w:rsid w:val="00343DD7"/>
    <w:rsid w:val="003553ED"/>
    <w:rsid w:val="00371876"/>
    <w:rsid w:val="003740D1"/>
    <w:rsid w:val="00377B4B"/>
    <w:rsid w:val="003A057B"/>
    <w:rsid w:val="003A381E"/>
    <w:rsid w:val="003B3DB1"/>
    <w:rsid w:val="003C0484"/>
    <w:rsid w:val="003C7BBE"/>
    <w:rsid w:val="00411898"/>
    <w:rsid w:val="0049476D"/>
    <w:rsid w:val="004A4383"/>
    <w:rsid w:val="004C6831"/>
    <w:rsid w:val="00532A79"/>
    <w:rsid w:val="0057411B"/>
    <w:rsid w:val="00591EC6"/>
    <w:rsid w:val="00591ED3"/>
    <w:rsid w:val="005C5A93"/>
    <w:rsid w:val="005D5DBD"/>
    <w:rsid w:val="005F31B9"/>
    <w:rsid w:val="00612E08"/>
    <w:rsid w:val="00630928"/>
    <w:rsid w:val="00635486"/>
    <w:rsid w:val="0065079D"/>
    <w:rsid w:val="0066359C"/>
    <w:rsid w:val="006724D2"/>
    <w:rsid w:val="006737F0"/>
    <w:rsid w:val="006777A4"/>
    <w:rsid w:val="00682E8C"/>
    <w:rsid w:val="006B2492"/>
    <w:rsid w:val="006C449A"/>
    <w:rsid w:val="006E059B"/>
    <w:rsid w:val="006F678E"/>
    <w:rsid w:val="006F6B62"/>
    <w:rsid w:val="00720322"/>
    <w:rsid w:val="0073129F"/>
    <w:rsid w:val="0075197E"/>
    <w:rsid w:val="00761208"/>
    <w:rsid w:val="0076205B"/>
    <w:rsid w:val="007756BE"/>
    <w:rsid w:val="007843A2"/>
    <w:rsid w:val="00794E04"/>
    <w:rsid w:val="007B40C1"/>
    <w:rsid w:val="007C5312"/>
    <w:rsid w:val="007D6483"/>
    <w:rsid w:val="007D6C38"/>
    <w:rsid w:val="007D6F2C"/>
    <w:rsid w:val="007E6CA2"/>
    <w:rsid w:val="007F2AB0"/>
    <w:rsid w:val="007F587A"/>
    <w:rsid w:val="0080042A"/>
    <w:rsid w:val="00865E81"/>
    <w:rsid w:val="008801B5"/>
    <w:rsid w:val="00881E07"/>
    <w:rsid w:val="00896332"/>
    <w:rsid w:val="008B222D"/>
    <w:rsid w:val="008C79B7"/>
    <w:rsid w:val="008F4B4C"/>
    <w:rsid w:val="009431E3"/>
    <w:rsid w:val="009475F5"/>
    <w:rsid w:val="00955212"/>
    <w:rsid w:val="009717F5"/>
    <w:rsid w:val="0098472E"/>
    <w:rsid w:val="00992944"/>
    <w:rsid w:val="009C424C"/>
    <w:rsid w:val="009E09F7"/>
    <w:rsid w:val="009F4832"/>
    <w:rsid w:val="00A32FCC"/>
    <w:rsid w:val="00A340BB"/>
    <w:rsid w:val="00A40E90"/>
    <w:rsid w:val="00A60413"/>
    <w:rsid w:val="00A7788F"/>
    <w:rsid w:val="00AA3FDD"/>
    <w:rsid w:val="00AC1F5C"/>
    <w:rsid w:val="00AC30D6"/>
    <w:rsid w:val="00B00B6E"/>
    <w:rsid w:val="00B547F5"/>
    <w:rsid w:val="00B84F87"/>
    <w:rsid w:val="00BA2BF4"/>
    <w:rsid w:val="00BC3234"/>
    <w:rsid w:val="00C1572C"/>
    <w:rsid w:val="00C853AC"/>
    <w:rsid w:val="00C86714"/>
    <w:rsid w:val="00C94E4E"/>
    <w:rsid w:val="00CB08AE"/>
    <w:rsid w:val="00CB27E0"/>
    <w:rsid w:val="00CD6E04"/>
    <w:rsid w:val="00CE6AAE"/>
    <w:rsid w:val="00CF1A25"/>
    <w:rsid w:val="00D00CC4"/>
    <w:rsid w:val="00D2313B"/>
    <w:rsid w:val="00D50F1E"/>
    <w:rsid w:val="00DB00B8"/>
    <w:rsid w:val="00DF357C"/>
    <w:rsid w:val="00E440B4"/>
    <w:rsid w:val="00E53E5A"/>
    <w:rsid w:val="00E971FA"/>
    <w:rsid w:val="00EB4B65"/>
    <w:rsid w:val="00ED165A"/>
    <w:rsid w:val="00ED1AC0"/>
    <w:rsid w:val="00F50A84"/>
    <w:rsid w:val="00F87681"/>
    <w:rsid w:val="00FA02DB"/>
    <w:rsid w:val="00FB747F"/>
    <w:rsid w:val="00FE2DD8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D1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C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4B6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7B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7B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7B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7B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7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tais.vicepremier.gov.sk/detail/Projekt/66ca0dfd-fe18-46cd-940a-6448b3960c0c/cimaster?tab=basicForm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l.hysek@mindo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8802D6D-DF1F-424D-9AD4-08E56BB7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Hýsek, Michal</cp:lastModifiedBy>
  <cp:revision>42</cp:revision>
  <cp:lastPrinted>2023-11-27T04:36:00Z</cp:lastPrinted>
  <dcterms:created xsi:type="dcterms:W3CDTF">2023-09-08T08:48:00Z</dcterms:created>
  <dcterms:modified xsi:type="dcterms:W3CDTF">2024-02-27T18:50:00Z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