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9A3CA" w14:textId="77777777" w:rsidR="00ED6F91" w:rsidRPr="00181470" w:rsidRDefault="00ED6F91" w:rsidP="00B648DC">
      <w:pPr>
        <w:pStyle w:val="Nzov"/>
      </w:pPr>
      <w:bookmarkStart w:id="0" w:name="_GoBack"/>
      <w:bookmarkEnd w:id="0"/>
      <w:r w:rsidRPr="00181470">
        <w:t>DOLOŽKA ZLUČITEĽNOSTI</w:t>
      </w:r>
    </w:p>
    <w:p w14:paraId="36ED261E" w14:textId="77777777" w:rsidR="00EB633F" w:rsidRPr="00181470" w:rsidRDefault="00EB633F" w:rsidP="00B648DC">
      <w:pPr>
        <w:pStyle w:val="Zkladntext0"/>
        <w:pBdr>
          <w:bottom w:val="single" w:sz="12" w:space="1" w:color="auto"/>
        </w:pBdr>
        <w:jc w:val="center"/>
        <w:rPr>
          <w:b/>
          <w:bCs/>
          <w:szCs w:val="24"/>
        </w:rPr>
      </w:pPr>
    </w:p>
    <w:p w14:paraId="42DC2D68" w14:textId="754F2969" w:rsidR="00ED6F91" w:rsidRPr="00181470" w:rsidRDefault="00B550E2" w:rsidP="00B648DC">
      <w:pPr>
        <w:pStyle w:val="Zkladntext0"/>
        <w:pBdr>
          <w:bottom w:val="single" w:sz="12" w:space="1" w:color="auto"/>
        </w:pBdr>
        <w:jc w:val="center"/>
        <w:rPr>
          <w:b/>
          <w:bCs/>
          <w:szCs w:val="24"/>
        </w:rPr>
      </w:pPr>
      <w:r w:rsidRPr="00181470">
        <w:rPr>
          <w:b/>
          <w:bCs/>
          <w:szCs w:val="24"/>
        </w:rPr>
        <w:t xml:space="preserve">návrhu </w:t>
      </w:r>
      <w:r w:rsidR="00815440">
        <w:rPr>
          <w:b/>
          <w:szCs w:val="24"/>
        </w:rPr>
        <w:t xml:space="preserve">zákona </w:t>
      </w:r>
      <w:r w:rsidR="001664F5" w:rsidRPr="00181470">
        <w:rPr>
          <w:b/>
          <w:bCs/>
          <w:szCs w:val="24"/>
        </w:rPr>
        <w:t>s</w:t>
      </w:r>
      <w:r w:rsidR="00ED6F91" w:rsidRPr="00181470">
        <w:rPr>
          <w:b/>
          <w:bCs/>
          <w:szCs w:val="24"/>
        </w:rPr>
        <w:t> právom Európskej únie</w:t>
      </w:r>
    </w:p>
    <w:p w14:paraId="13C6C6D3" w14:textId="77777777" w:rsidR="00EB633F" w:rsidRPr="00181470" w:rsidRDefault="00EB633F" w:rsidP="00B648DC">
      <w:pPr>
        <w:pStyle w:val="Zkladntext0"/>
        <w:pBdr>
          <w:bottom w:val="single" w:sz="12" w:space="1" w:color="auto"/>
        </w:pBdr>
        <w:jc w:val="center"/>
        <w:rPr>
          <w:b/>
          <w:bCs/>
          <w:szCs w:val="24"/>
        </w:rPr>
      </w:pPr>
    </w:p>
    <w:p w14:paraId="4BC65089" w14:textId="77777777" w:rsidR="007A4ABF" w:rsidRPr="00181470" w:rsidRDefault="007A4ABF" w:rsidP="00B648DC">
      <w:pPr>
        <w:pStyle w:val="Zkladntext0"/>
        <w:jc w:val="both"/>
        <w:rPr>
          <w:szCs w:val="24"/>
        </w:rPr>
      </w:pPr>
    </w:p>
    <w:p w14:paraId="120C8757" w14:textId="77777777" w:rsidR="00ED6F91" w:rsidRPr="00181470" w:rsidRDefault="00ED6F91" w:rsidP="00B648DC">
      <w:pPr>
        <w:jc w:val="center"/>
        <w:rPr>
          <w:rFonts w:ascii="Times New Roman" w:hAnsi="Times New Roman" w:cs="Times New Roman"/>
          <w:b/>
          <w:bCs/>
        </w:rPr>
      </w:pPr>
    </w:p>
    <w:p w14:paraId="05B0D9D8" w14:textId="77777777" w:rsidR="00ED6F91" w:rsidRPr="00181470" w:rsidRDefault="00AB1CCC" w:rsidP="00B648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1470">
        <w:rPr>
          <w:rFonts w:ascii="Times New Roman" w:hAnsi="Times New Roman" w:cs="Times New Roman"/>
          <w:b/>
          <w:bCs/>
        </w:rPr>
        <w:t>Navrhovateľ</w:t>
      </w:r>
      <w:r w:rsidR="00F7772C" w:rsidRPr="00181470">
        <w:rPr>
          <w:rFonts w:ascii="Times New Roman" w:hAnsi="Times New Roman" w:cs="Times New Roman"/>
          <w:b/>
          <w:bCs/>
        </w:rPr>
        <w:t xml:space="preserve"> </w:t>
      </w:r>
      <w:r w:rsidR="00ED6F91" w:rsidRPr="00181470">
        <w:rPr>
          <w:rFonts w:ascii="Times New Roman" w:hAnsi="Times New Roman" w:cs="Times New Roman"/>
          <w:b/>
          <w:bCs/>
        </w:rPr>
        <w:t>zákona:</w:t>
      </w:r>
    </w:p>
    <w:p w14:paraId="6CA1E0A6" w14:textId="0954F1EF" w:rsidR="00B648DC" w:rsidRDefault="00D64D69" w:rsidP="00B648DC">
      <w:pPr>
        <w:ind w:firstLine="425"/>
        <w:jc w:val="both"/>
        <w:rPr>
          <w:rFonts w:ascii="Times New Roman" w:hAnsi="Times New Roman" w:cs="Times New Roman"/>
        </w:rPr>
      </w:pPr>
      <w:r w:rsidRPr="00F94322">
        <w:rPr>
          <w:rFonts w:ascii="Times New Roman" w:hAnsi="Times New Roman" w:cs="Times New Roman"/>
        </w:rPr>
        <w:t>Vláda</w:t>
      </w:r>
      <w:r w:rsidR="009643F5">
        <w:rPr>
          <w:rFonts w:ascii="Times New Roman" w:hAnsi="Times New Roman" w:cs="Times New Roman"/>
        </w:rPr>
        <w:t xml:space="preserve"> Slovenskej republiky</w:t>
      </w:r>
      <w:r w:rsidR="00ED6F91" w:rsidRPr="00181470">
        <w:rPr>
          <w:rFonts w:ascii="Times New Roman" w:hAnsi="Times New Roman" w:cs="Times New Roman"/>
        </w:rPr>
        <w:t xml:space="preserve">. </w:t>
      </w:r>
    </w:p>
    <w:p w14:paraId="19342E74" w14:textId="77777777" w:rsidR="00B648DC" w:rsidRPr="00B648DC" w:rsidRDefault="00B648DC" w:rsidP="00B648DC">
      <w:pPr>
        <w:ind w:firstLine="425"/>
        <w:jc w:val="both"/>
        <w:rPr>
          <w:rFonts w:ascii="Times New Roman" w:hAnsi="Times New Roman" w:cs="Times New Roman"/>
        </w:rPr>
      </w:pPr>
    </w:p>
    <w:p w14:paraId="01E6CC38" w14:textId="77777777" w:rsidR="00ED6F91" w:rsidRPr="00181470" w:rsidRDefault="00ED6F91" w:rsidP="00B648D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81470">
        <w:rPr>
          <w:rFonts w:ascii="Times New Roman" w:hAnsi="Times New Roman" w:cs="Times New Roman"/>
          <w:b/>
          <w:bCs/>
        </w:rPr>
        <w:t>Názov návrhu zákona:</w:t>
      </w:r>
    </w:p>
    <w:p w14:paraId="0E353D0A" w14:textId="50DD1FE2" w:rsidR="00ED6F91" w:rsidRPr="00181470" w:rsidRDefault="00B550E2" w:rsidP="00B648DC">
      <w:pPr>
        <w:pStyle w:val="Zkladntext0"/>
        <w:ind w:left="426"/>
        <w:jc w:val="both"/>
        <w:rPr>
          <w:szCs w:val="24"/>
        </w:rPr>
      </w:pPr>
      <w:r w:rsidRPr="00181470">
        <w:rPr>
          <w:szCs w:val="24"/>
        </w:rPr>
        <w:t>Návrh zákona, ktorým sa mení a dopĺňa zákon č. 222/2004 Z. z. o dani z pridanej hodno</w:t>
      </w:r>
      <w:r w:rsidR="009E1AF9" w:rsidRPr="00181470">
        <w:rPr>
          <w:szCs w:val="24"/>
        </w:rPr>
        <w:t>ty v znení neskorších predpisov</w:t>
      </w:r>
      <w:r w:rsidR="00781E5B">
        <w:rPr>
          <w:szCs w:val="24"/>
        </w:rPr>
        <w:t xml:space="preserve"> </w:t>
      </w:r>
      <w:r w:rsidR="00781E5B" w:rsidRPr="00781E5B">
        <w:rPr>
          <w:szCs w:val="24"/>
        </w:rPr>
        <w:t>a </w:t>
      </w:r>
      <w:r w:rsidR="00947814" w:rsidRPr="0070350D">
        <w:rPr>
          <w:color w:val="auto"/>
          <w:szCs w:val="24"/>
        </w:rPr>
        <w:t>ktorým sa men</w:t>
      </w:r>
      <w:r w:rsidR="00947814">
        <w:rPr>
          <w:color w:val="auto"/>
          <w:szCs w:val="24"/>
        </w:rPr>
        <w:t>ia a dopĺňajú niektoré zákony</w:t>
      </w:r>
      <w:r w:rsidR="00ED6F91" w:rsidRPr="00181470">
        <w:rPr>
          <w:szCs w:val="24"/>
        </w:rPr>
        <w:t>.</w:t>
      </w:r>
    </w:p>
    <w:p w14:paraId="2B73610F" w14:textId="77777777" w:rsidR="00ED6F91" w:rsidRPr="00181470" w:rsidRDefault="00ED6F91" w:rsidP="00B648DC">
      <w:pPr>
        <w:jc w:val="both"/>
        <w:rPr>
          <w:rFonts w:ascii="Times New Roman" w:hAnsi="Times New Roman" w:cs="Times New Roman"/>
          <w:bCs/>
        </w:rPr>
      </w:pPr>
    </w:p>
    <w:p w14:paraId="045F3E51" w14:textId="77777777" w:rsidR="009F1C17" w:rsidRPr="001C19A1" w:rsidRDefault="00ED6F91" w:rsidP="00B648D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81470">
        <w:rPr>
          <w:rFonts w:ascii="Times New Roman" w:hAnsi="Times New Roman" w:cs="Times New Roman"/>
          <w:b/>
          <w:bCs/>
        </w:rPr>
        <w:t>Pr</w:t>
      </w:r>
      <w:r w:rsidR="00B32AF9" w:rsidRPr="00181470">
        <w:rPr>
          <w:rFonts w:ascii="Times New Roman" w:hAnsi="Times New Roman" w:cs="Times New Roman"/>
          <w:b/>
          <w:bCs/>
        </w:rPr>
        <w:t xml:space="preserve">edmet návrhu zákona </w:t>
      </w:r>
      <w:r w:rsidR="006B206F" w:rsidRPr="00181470">
        <w:rPr>
          <w:rFonts w:ascii="Times New Roman" w:hAnsi="Times New Roman" w:cs="Times New Roman"/>
          <w:b/>
        </w:rPr>
        <w:t xml:space="preserve">je </w:t>
      </w:r>
      <w:r w:rsidR="009F1C17" w:rsidRPr="00181470">
        <w:rPr>
          <w:rFonts w:ascii="Times New Roman" w:hAnsi="Times New Roman" w:cs="Times New Roman"/>
          <w:b/>
        </w:rPr>
        <w:t>upraven</w:t>
      </w:r>
      <w:r w:rsidR="00B32AF9" w:rsidRPr="00181470">
        <w:rPr>
          <w:rFonts w:ascii="Times New Roman" w:hAnsi="Times New Roman" w:cs="Times New Roman"/>
          <w:b/>
        </w:rPr>
        <w:t>ý</w:t>
      </w:r>
      <w:r w:rsidR="009F1C17" w:rsidRPr="00181470">
        <w:rPr>
          <w:rFonts w:ascii="Times New Roman" w:hAnsi="Times New Roman" w:cs="Times New Roman"/>
          <w:b/>
        </w:rPr>
        <w:t xml:space="preserve"> v práve Európskej únie:</w:t>
      </w:r>
    </w:p>
    <w:p w14:paraId="54E64FF0" w14:textId="77777777" w:rsidR="001C19A1" w:rsidRPr="00181470" w:rsidRDefault="001C19A1" w:rsidP="001C19A1">
      <w:pPr>
        <w:ind w:left="425"/>
        <w:jc w:val="both"/>
        <w:rPr>
          <w:rFonts w:ascii="Times New Roman" w:hAnsi="Times New Roman" w:cs="Times New Roman"/>
          <w:b/>
          <w:bCs/>
        </w:rPr>
      </w:pPr>
    </w:p>
    <w:p w14:paraId="229591F7" w14:textId="77777777" w:rsidR="00ED6F91" w:rsidRDefault="005D34AF" w:rsidP="00B648DC">
      <w:pPr>
        <w:pStyle w:val="Zkladntext"/>
        <w:numPr>
          <w:ilvl w:val="1"/>
          <w:numId w:val="1"/>
        </w:numPr>
        <w:tabs>
          <w:tab w:val="left" w:pos="709"/>
          <w:tab w:val="left" w:pos="851"/>
        </w:tabs>
        <w:spacing w:after="0"/>
        <w:rPr>
          <w:b/>
          <w:bCs/>
          <w:iCs/>
        </w:rPr>
      </w:pPr>
      <w:r w:rsidRPr="00181470">
        <w:rPr>
          <w:b/>
          <w:bCs/>
          <w:iCs/>
        </w:rPr>
        <w:t>P</w:t>
      </w:r>
      <w:r w:rsidR="00ED6F91" w:rsidRPr="00181470">
        <w:rPr>
          <w:b/>
          <w:bCs/>
          <w:iCs/>
        </w:rPr>
        <w:t>rimárn</w:t>
      </w:r>
      <w:r w:rsidRPr="00181470">
        <w:rPr>
          <w:b/>
          <w:bCs/>
          <w:iCs/>
        </w:rPr>
        <w:t>e</w:t>
      </w:r>
      <w:r w:rsidR="00ED6F91" w:rsidRPr="00181470">
        <w:rPr>
          <w:b/>
          <w:bCs/>
          <w:iCs/>
        </w:rPr>
        <w:t xml:space="preserve"> práv</w:t>
      </w:r>
      <w:r w:rsidRPr="00181470">
        <w:rPr>
          <w:b/>
          <w:bCs/>
          <w:iCs/>
        </w:rPr>
        <w:t>o</w:t>
      </w:r>
      <w:r w:rsidR="00ED6F91" w:rsidRPr="00181470">
        <w:rPr>
          <w:b/>
          <w:bCs/>
          <w:iCs/>
        </w:rPr>
        <w:t xml:space="preserve">: </w:t>
      </w:r>
    </w:p>
    <w:p w14:paraId="5F0D7A29" w14:textId="77777777" w:rsidR="002D26AA" w:rsidRPr="00181470" w:rsidRDefault="002D26AA" w:rsidP="002D26AA">
      <w:pPr>
        <w:pStyle w:val="Zkladntext"/>
        <w:tabs>
          <w:tab w:val="left" w:pos="709"/>
          <w:tab w:val="left" w:pos="851"/>
        </w:tabs>
        <w:spacing w:after="0"/>
        <w:ind w:left="850"/>
        <w:rPr>
          <w:b/>
          <w:bCs/>
          <w:iCs/>
        </w:rPr>
      </w:pPr>
    </w:p>
    <w:p w14:paraId="23145109" w14:textId="010AC62C" w:rsidR="00F45BD2" w:rsidRDefault="00293A0E" w:rsidP="00DC6F58">
      <w:pPr>
        <w:pStyle w:val="Zkladntext"/>
        <w:numPr>
          <w:ilvl w:val="0"/>
          <w:numId w:val="3"/>
        </w:numPr>
        <w:tabs>
          <w:tab w:val="clear" w:pos="900"/>
          <w:tab w:val="num" w:pos="851"/>
        </w:tabs>
        <w:spacing w:after="0"/>
        <w:ind w:left="896" w:hanging="329"/>
        <w:jc w:val="both"/>
      </w:pPr>
      <w:r w:rsidRPr="00181470">
        <w:t xml:space="preserve">čl. </w:t>
      </w:r>
      <w:r w:rsidR="009F1C17" w:rsidRPr="00181470">
        <w:t>11</w:t>
      </w:r>
      <w:r w:rsidRPr="00181470">
        <w:t xml:space="preserve">0 až </w:t>
      </w:r>
      <w:r w:rsidR="009F1C17" w:rsidRPr="00181470">
        <w:t>11</w:t>
      </w:r>
      <w:r w:rsidRPr="00181470">
        <w:t>3</w:t>
      </w:r>
      <w:r w:rsidR="005D3AB9" w:rsidRPr="00181470">
        <w:t>, čl. 349 a 355 ods. 1</w:t>
      </w:r>
      <w:r w:rsidRPr="00181470">
        <w:t xml:space="preserve"> </w:t>
      </w:r>
      <w:r w:rsidR="00ED6F91" w:rsidRPr="00181470">
        <w:t>Zmluv</w:t>
      </w:r>
      <w:r w:rsidRPr="00181470">
        <w:t>y</w:t>
      </w:r>
      <w:r w:rsidR="00ED6F91" w:rsidRPr="00181470">
        <w:t xml:space="preserve"> o </w:t>
      </w:r>
      <w:r w:rsidR="009F1C17" w:rsidRPr="00181470">
        <w:t>fungova</w:t>
      </w:r>
      <w:r w:rsidR="00ED6F91" w:rsidRPr="00181470">
        <w:t>ní Európske</w:t>
      </w:r>
      <w:r w:rsidR="009F1C17" w:rsidRPr="00181470">
        <w:t>j</w:t>
      </w:r>
      <w:r w:rsidR="00ED6F91" w:rsidRPr="00181470">
        <w:t xml:space="preserve"> </w:t>
      </w:r>
      <w:r w:rsidR="00A07632" w:rsidRPr="00181470">
        <w:t>únie</w:t>
      </w:r>
      <w:r w:rsidR="003C5EB0">
        <w:t xml:space="preserve"> (Ú. v. EÚ C 202, 7.6.2016)</w:t>
      </w:r>
      <w:r w:rsidR="00E5013C">
        <w:t>,</w:t>
      </w:r>
    </w:p>
    <w:p w14:paraId="5D758D73" w14:textId="1561497F" w:rsidR="003C5EB0" w:rsidRDefault="003C5EB0" w:rsidP="00B648DC">
      <w:pPr>
        <w:pStyle w:val="Zkladntext"/>
        <w:numPr>
          <w:ilvl w:val="0"/>
          <w:numId w:val="3"/>
        </w:numPr>
        <w:tabs>
          <w:tab w:val="clear" w:pos="900"/>
          <w:tab w:val="num" w:pos="851"/>
        </w:tabs>
        <w:spacing w:after="0"/>
        <w:ind w:left="896" w:hanging="329"/>
      </w:pPr>
      <w:r>
        <w:t>čl. 52 Zmluvy o Európskej únii (Ú. v. EÚ C 202, 7.6.2016)</w:t>
      </w:r>
      <w:r w:rsidR="00E5013C">
        <w:t>.</w:t>
      </w:r>
    </w:p>
    <w:p w14:paraId="01C0640D" w14:textId="77777777" w:rsidR="002D26AA" w:rsidRPr="00181470" w:rsidRDefault="002D26AA" w:rsidP="002D26AA">
      <w:pPr>
        <w:pStyle w:val="Zkladntext"/>
        <w:spacing w:after="0"/>
        <w:ind w:left="896"/>
      </w:pPr>
    </w:p>
    <w:p w14:paraId="4CCAF015" w14:textId="77777777" w:rsidR="003A7AE4" w:rsidRPr="005E68BC" w:rsidRDefault="003A7AE4" w:rsidP="002D26AA">
      <w:pPr>
        <w:pStyle w:val="Zarkazkladnhotextu"/>
        <w:numPr>
          <w:ilvl w:val="1"/>
          <w:numId w:val="1"/>
        </w:numPr>
      </w:pPr>
      <w:r w:rsidRPr="005E68BC">
        <w:rPr>
          <w:b/>
          <w:bCs/>
          <w:iCs/>
        </w:rPr>
        <w:t>Sekundárne právo</w:t>
      </w:r>
      <w:r w:rsidR="003E3DB6" w:rsidRPr="005E68BC">
        <w:rPr>
          <w:b/>
          <w:bCs/>
          <w:iCs/>
        </w:rPr>
        <w:t>:</w:t>
      </w:r>
    </w:p>
    <w:p w14:paraId="206939AA" w14:textId="77777777" w:rsidR="00925F9D" w:rsidRPr="005E68BC" w:rsidRDefault="00925F9D" w:rsidP="00B648DC">
      <w:pPr>
        <w:pStyle w:val="Zarkazkladnhotextu"/>
        <w:ind w:left="850" w:firstLine="0"/>
      </w:pPr>
    </w:p>
    <w:p w14:paraId="7FD5E5AD" w14:textId="42825CBB" w:rsidR="00C30F8B" w:rsidRDefault="00A87643" w:rsidP="00C30F8B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</w:pPr>
      <w:r w:rsidRPr="00F94322">
        <w:t>s</w:t>
      </w:r>
      <w:r w:rsidR="00C30F8B" w:rsidRPr="00181470">
        <w:t>mernica Rady 2006/112/ES z  28. novembra 2006 o spoločnom systéme dane z pridanej hodnoty (</w:t>
      </w:r>
      <w:r w:rsidR="00C30F8B" w:rsidRPr="00181470">
        <w:rPr>
          <w:rStyle w:val="Zvraznenie"/>
          <w:i w:val="0"/>
        </w:rPr>
        <w:t>Ú. v. EÚ L 347, 11.12.2006) v platnom znení</w:t>
      </w:r>
      <w:r w:rsidR="00C30F8B" w:rsidRPr="00181470">
        <w:rPr>
          <w:rStyle w:val="Zvraznenie"/>
        </w:rPr>
        <w:t xml:space="preserve">, </w:t>
      </w:r>
      <w:r w:rsidR="00C30F8B" w:rsidRPr="00181470">
        <w:t>gestor: MF SR,</w:t>
      </w:r>
    </w:p>
    <w:p w14:paraId="1E2C4ED9" w14:textId="62FBFFBC" w:rsidR="001C0481" w:rsidRDefault="001C0481" w:rsidP="001C0481">
      <w:pPr>
        <w:shd w:val="clear" w:color="auto" w:fill="FFFFFF"/>
        <w:ind w:right="-115"/>
        <w:jc w:val="both"/>
      </w:pPr>
    </w:p>
    <w:p w14:paraId="788EB0C7" w14:textId="504D59DD" w:rsidR="001C0481" w:rsidRDefault="001C0481" w:rsidP="001C0481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</w:pPr>
      <w:r w:rsidRPr="00F94322">
        <w:t>s</w:t>
      </w:r>
      <w:r w:rsidRPr="00BE4F19">
        <w:t xml:space="preserve">mernica </w:t>
      </w:r>
      <w:r w:rsidRPr="00BE4F19">
        <w:rPr>
          <w:bCs/>
          <w:shd w:val="clear" w:color="auto" w:fill="FFFFFF"/>
        </w:rPr>
        <w:t>Rady 200</w:t>
      </w:r>
      <w:r>
        <w:rPr>
          <w:bCs/>
          <w:shd w:val="clear" w:color="auto" w:fill="FFFFFF"/>
        </w:rPr>
        <w:t>8</w:t>
      </w:r>
      <w:r w:rsidRPr="00BE4F19">
        <w:rPr>
          <w:bCs/>
          <w:shd w:val="clear" w:color="auto" w:fill="FFFFFF"/>
        </w:rPr>
        <w:t>/8</w:t>
      </w:r>
      <w:r>
        <w:rPr>
          <w:bCs/>
          <w:shd w:val="clear" w:color="auto" w:fill="FFFFFF"/>
        </w:rPr>
        <w:t>/ES z 12</w:t>
      </w:r>
      <w:r w:rsidRPr="00BE4F19">
        <w:rPr>
          <w:bCs/>
          <w:shd w:val="clear" w:color="auto" w:fill="FFFFFF"/>
        </w:rPr>
        <w:t>. februára 200</w:t>
      </w:r>
      <w:r>
        <w:rPr>
          <w:bCs/>
          <w:shd w:val="clear" w:color="auto" w:fill="FFFFFF"/>
        </w:rPr>
        <w:t>8</w:t>
      </w:r>
      <w:r w:rsidRPr="00BE4F19">
        <w:t xml:space="preserve">, ktorou sa mení </w:t>
      </w:r>
      <w:r>
        <w:t xml:space="preserve">a dopĺňa </w:t>
      </w:r>
      <w:r w:rsidRPr="00BE4F19">
        <w:t>smernica 2006/112/ES</w:t>
      </w:r>
      <w:r w:rsidRPr="00107074">
        <w:rPr>
          <w:bCs/>
          <w:shd w:val="clear" w:color="auto" w:fill="FFFFFF"/>
        </w:rPr>
        <w:t>, pokiaľ ide o</w:t>
      </w:r>
      <w:r>
        <w:rPr>
          <w:bCs/>
          <w:shd w:val="clear" w:color="auto" w:fill="FFFFFF"/>
        </w:rPr>
        <w:t> miesto poskytovania služieb</w:t>
      </w:r>
      <w:r w:rsidRPr="003E3AE4">
        <w:t xml:space="preserve"> (Ú. v. EÚ L </w:t>
      </w:r>
      <w:r>
        <w:t>44</w:t>
      </w:r>
      <w:r w:rsidRPr="003E3AE4">
        <w:t>, 2</w:t>
      </w:r>
      <w:r>
        <w:t>0</w:t>
      </w:r>
      <w:r w:rsidRPr="003E3AE4">
        <w:t>.</w:t>
      </w:r>
      <w:r>
        <w:t>2</w:t>
      </w:r>
      <w:r w:rsidRPr="003E3AE4">
        <w:t>.200</w:t>
      </w:r>
      <w:r>
        <w:t>8</w:t>
      </w:r>
      <w:r w:rsidRPr="003E3AE4">
        <w:t xml:space="preserve">), gestor: MF SR, </w:t>
      </w:r>
    </w:p>
    <w:p w14:paraId="5F35F82E" w14:textId="77777777" w:rsidR="00BD16DE" w:rsidRDefault="00BD16DE" w:rsidP="000E4CBD">
      <w:pPr>
        <w:pStyle w:val="Odsekzoznamu"/>
      </w:pPr>
    </w:p>
    <w:p w14:paraId="685411D3" w14:textId="289A413E" w:rsidR="00BD16DE" w:rsidRPr="00F75C2B" w:rsidRDefault="00BD16DE" w:rsidP="001C0481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</w:pPr>
      <w:r w:rsidRPr="000E4CBD">
        <w:rPr>
          <w:rFonts w:ascii="Times" w:hAnsi="Times" w:cs="Times"/>
        </w:rPr>
        <w:t>smernica Rady 2008/9/ES z 12. februára 2008, ktorou sa ustanovujú podrobné pravidlá pre vrátenie dane z pridanej hodnoty ustanovené v smernici 2006/112/ES zdaniteľným osobám, ktoré nie sú usadené v členskom štáte vrátenia dane, ale ktoré sú usadené v inom členskom štáte (Ú. v. EÚ L 44, 20.2.2008) v platnom znení, gestor: MF SR,</w:t>
      </w:r>
    </w:p>
    <w:p w14:paraId="31695ACA" w14:textId="77777777" w:rsidR="00BD16DE" w:rsidRPr="00F75C2B" w:rsidRDefault="00BD16DE" w:rsidP="000E4CBD">
      <w:pPr>
        <w:pStyle w:val="Odsekzoznamu"/>
      </w:pPr>
    </w:p>
    <w:p w14:paraId="65CB9F3E" w14:textId="3559962E" w:rsidR="00BD16DE" w:rsidRPr="00F75C2B" w:rsidRDefault="00BD16DE" w:rsidP="001C0481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</w:pPr>
      <w:r w:rsidRPr="000E4CBD">
        <w:rPr>
          <w:rFonts w:ascii="Times" w:hAnsi="Times" w:cs="Times"/>
        </w:rPr>
        <w:t>smernica Rady 2010/45/EÚ z 13. júla 2010, ktorou sa mení a dopĺňa smernica 2006/112/ES o spoločnom systéme dane z pridanej hodnoty, pokiaľ ide o pravidlá fakturácie (Ú. v. EÚ L 189, 22.7.2010), gestor: MF SR,</w:t>
      </w:r>
    </w:p>
    <w:p w14:paraId="58EE4A32" w14:textId="77777777" w:rsidR="00BD16DE" w:rsidRPr="00F75C2B" w:rsidRDefault="00BD16DE" w:rsidP="000E4CBD">
      <w:pPr>
        <w:pStyle w:val="Odsekzoznamu"/>
      </w:pPr>
    </w:p>
    <w:p w14:paraId="779BC17F" w14:textId="1D53ABDD" w:rsidR="00BD16DE" w:rsidRPr="00F75C2B" w:rsidRDefault="00BD16DE" w:rsidP="001C0481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</w:pPr>
      <w:r w:rsidRPr="000E4CBD">
        <w:rPr>
          <w:rFonts w:ascii="Times" w:hAnsi="Times" w:cs="Times"/>
        </w:rPr>
        <w:t>smernica Rady (EÚ) 2020/284 z 18. februára 2020, ktorou sa mení smernica 2006/112/ES, pokiaľ ide o zavedenie určitých požiadaviek na poskytovateľov platobných služieb (Ú. v. EÚ L 62, 2.3.2020), gestor: MF SR,</w:t>
      </w:r>
    </w:p>
    <w:p w14:paraId="4BD92385" w14:textId="77777777" w:rsidR="00C30F8B" w:rsidRPr="00BE4F19" w:rsidRDefault="00C30F8B" w:rsidP="008248B5">
      <w:pPr>
        <w:pStyle w:val="Odsekzoznamu"/>
      </w:pPr>
    </w:p>
    <w:p w14:paraId="643480F4" w14:textId="01CCF83A" w:rsidR="003D6923" w:rsidRPr="003E3AE4" w:rsidRDefault="008674D3" w:rsidP="00567402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</w:pPr>
      <w:r w:rsidRPr="00F94322">
        <w:t>s</w:t>
      </w:r>
      <w:r w:rsidR="00AE42F5" w:rsidRPr="00BE4F19">
        <w:t>mernica</w:t>
      </w:r>
      <w:r w:rsidR="00025ED5" w:rsidRPr="00BE4F19">
        <w:t xml:space="preserve"> </w:t>
      </w:r>
      <w:r w:rsidR="003E3AE4" w:rsidRPr="00BE4F19">
        <w:rPr>
          <w:bCs/>
          <w:shd w:val="clear" w:color="auto" w:fill="FFFFFF"/>
        </w:rPr>
        <w:t>Rady (EÚ) 2020/285 z 18. februára 2020</w:t>
      </w:r>
      <w:r w:rsidR="003E3AE4" w:rsidRPr="00BE4F19">
        <w:t>, ktorou sa mení smernica 2006/112/ES</w:t>
      </w:r>
      <w:r w:rsidR="00BE4F19" w:rsidRPr="00BE4F19">
        <w:t xml:space="preserve"> o spoločnom systéme dane z pridanej hodnoty</w:t>
      </w:r>
      <w:r w:rsidR="003E3AE4" w:rsidRPr="00BE4F19">
        <w:t xml:space="preserve">, </w:t>
      </w:r>
      <w:r w:rsidR="003E3AE4" w:rsidRPr="00BE4F19">
        <w:rPr>
          <w:bCs/>
          <w:shd w:val="clear" w:color="auto" w:fill="FFFFFF"/>
        </w:rPr>
        <w:t>pokiaľ ide o</w:t>
      </w:r>
      <w:r w:rsidR="003E3AE4" w:rsidRPr="00107074">
        <w:rPr>
          <w:bCs/>
          <w:shd w:val="clear" w:color="auto" w:fill="FFFFFF"/>
        </w:rPr>
        <w:t xml:space="preserve"> osobitnú úpravu pre malé podniky, a nariadenie (EÚ) č. 904/2010, pokiaľ ide o administratívnu spoluprácu a výmenu informácií na účely monitorovania správneho </w:t>
      </w:r>
      <w:r w:rsidR="003E3AE4" w:rsidRPr="003E3AE4">
        <w:rPr>
          <w:bCs/>
          <w:shd w:val="clear" w:color="auto" w:fill="FFFFFF"/>
        </w:rPr>
        <w:t>uplatňovania osobitnej úpravy pre malé podniky</w:t>
      </w:r>
      <w:r w:rsidR="00AE42F5" w:rsidRPr="003E3AE4">
        <w:t xml:space="preserve"> </w:t>
      </w:r>
      <w:r w:rsidR="005E68BC" w:rsidRPr="003E3AE4">
        <w:t xml:space="preserve">(Ú. v. EÚ L </w:t>
      </w:r>
      <w:r w:rsidR="00025ED5" w:rsidRPr="003E3AE4">
        <w:t>62</w:t>
      </w:r>
      <w:r w:rsidR="005E68BC" w:rsidRPr="003E3AE4">
        <w:t xml:space="preserve">, </w:t>
      </w:r>
      <w:r w:rsidR="00025ED5" w:rsidRPr="003E3AE4">
        <w:t>2</w:t>
      </w:r>
      <w:r w:rsidR="005E68BC" w:rsidRPr="003E3AE4">
        <w:t>.</w:t>
      </w:r>
      <w:r w:rsidR="00025ED5" w:rsidRPr="003E3AE4">
        <w:t>3</w:t>
      </w:r>
      <w:r w:rsidR="005E68BC" w:rsidRPr="003E3AE4">
        <w:t>.20</w:t>
      </w:r>
      <w:r w:rsidR="00025ED5" w:rsidRPr="003E3AE4">
        <w:t>20</w:t>
      </w:r>
      <w:r w:rsidR="005E68BC" w:rsidRPr="003E3AE4">
        <w:t>)</w:t>
      </w:r>
      <w:r w:rsidR="003E3AE4" w:rsidRPr="003E3AE4">
        <w:t xml:space="preserve"> v platnom znení</w:t>
      </w:r>
      <w:r w:rsidR="005E68BC" w:rsidRPr="003E3AE4">
        <w:t xml:space="preserve">, gestor: MF SR, </w:t>
      </w:r>
    </w:p>
    <w:p w14:paraId="4D43F019" w14:textId="77777777" w:rsidR="007C0B27" w:rsidRPr="003E3AE4" w:rsidRDefault="007C0B27" w:rsidP="007C0B27">
      <w:pPr>
        <w:pStyle w:val="Odsekzoznamu"/>
      </w:pPr>
    </w:p>
    <w:p w14:paraId="60A7C779" w14:textId="33914D72" w:rsidR="00AA25B8" w:rsidRDefault="00CC7F6A" w:rsidP="00567402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</w:pPr>
      <w:r w:rsidRPr="00F94322">
        <w:t>s</w:t>
      </w:r>
      <w:r w:rsidR="00AA25B8" w:rsidRPr="003E3AE4">
        <w:t xml:space="preserve">mernica </w:t>
      </w:r>
      <w:r w:rsidR="003E3AE4" w:rsidRPr="003E3AE4">
        <w:rPr>
          <w:bCs/>
          <w:color w:val="333333"/>
          <w:shd w:val="clear" w:color="auto" w:fill="FFFFFF"/>
        </w:rPr>
        <w:t>Rady (EÚ) 2022/542 z 5. apríla 2022, ktorou sa menia smernice 2006/112/ES a (EÚ) 2020/285, pokiaľ ide o sadzby dane z pridanej hodnoty</w:t>
      </w:r>
      <w:r w:rsidR="00AA25B8" w:rsidRPr="003E3AE4">
        <w:t xml:space="preserve"> </w:t>
      </w:r>
      <w:r w:rsidR="00AA25B8" w:rsidRPr="00F94322">
        <w:t xml:space="preserve">(Ú. v. EÚ L </w:t>
      </w:r>
      <w:r w:rsidR="003E3AE4" w:rsidRPr="00F94322">
        <w:t>107, 6</w:t>
      </w:r>
      <w:r w:rsidR="00AA25B8" w:rsidRPr="00F94322">
        <w:t>.</w:t>
      </w:r>
      <w:r w:rsidR="003E3AE4" w:rsidRPr="00F94322">
        <w:t>4</w:t>
      </w:r>
      <w:r w:rsidR="00AA25B8" w:rsidRPr="00F94322">
        <w:t>.202</w:t>
      </w:r>
      <w:r w:rsidR="003E3AE4" w:rsidRPr="00F94322">
        <w:t>2</w:t>
      </w:r>
      <w:r w:rsidR="008674D3" w:rsidRPr="00F94322">
        <w:t>)</w:t>
      </w:r>
      <w:r w:rsidR="00AA25B8" w:rsidRPr="00F94322">
        <w:t>, gestor: MF SR</w:t>
      </w:r>
      <w:r w:rsidR="00AA25B8" w:rsidRPr="003E3AE4">
        <w:t>,</w:t>
      </w:r>
    </w:p>
    <w:p w14:paraId="7ECF8EC0" w14:textId="77777777" w:rsidR="009C163F" w:rsidRDefault="009C163F" w:rsidP="009D5CF1">
      <w:pPr>
        <w:pStyle w:val="Odsekzoznamu"/>
      </w:pPr>
    </w:p>
    <w:p w14:paraId="6854E39B" w14:textId="17502C84" w:rsidR="009C163F" w:rsidRDefault="009C163F" w:rsidP="00567402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</w:pPr>
      <w:r>
        <w:rPr>
          <w:bCs/>
          <w:shd w:val="clear" w:color="auto" w:fill="FFFFFF"/>
        </w:rPr>
        <w:t>s</w:t>
      </w:r>
      <w:r w:rsidRPr="004D34EA">
        <w:rPr>
          <w:bCs/>
          <w:shd w:val="clear" w:color="auto" w:fill="FFFFFF"/>
        </w:rPr>
        <w:t>mernica Rady (EÚ) 2022/890 z 3. júna 2022, ktorou sa mení smernica 2006/112/ES, pokiaľ ide o predĺženie obdobia uplatňovania voliteľného mechanizmu prenesenia daňovej povinnosti v súvislosti s dodaním určitého tovaru a poskytovaním určitých služieb, ktoré sú náchylné na podvody, a mechanizmu rýchlej reakcie proti podvodom v oblasti DPH (Ú. v. EÚ L 155, 8.6.2022)</w:t>
      </w:r>
      <w:r>
        <w:rPr>
          <w:bCs/>
          <w:shd w:val="clear" w:color="auto" w:fill="FFFFFF"/>
        </w:rPr>
        <w:t>, gestor: MF SR,</w:t>
      </w:r>
    </w:p>
    <w:p w14:paraId="4474A2C9" w14:textId="2DA2EFBE" w:rsidR="00C3032E" w:rsidRDefault="00C3032E" w:rsidP="00C3032E">
      <w:pPr>
        <w:shd w:val="clear" w:color="auto" w:fill="FFFFFF"/>
        <w:ind w:right="-115"/>
        <w:jc w:val="both"/>
      </w:pPr>
    </w:p>
    <w:p w14:paraId="40E101A7" w14:textId="0C9122F0" w:rsidR="00C3032E" w:rsidRDefault="00C3032E" w:rsidP="00C3032E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</w:pPr>
      <w:r w:rsidRPr="00F94322">
        <w:rPr>
          <w:bCs/>
          <w:shd w:val="clear" w:color="auto" w:fill="FFFFFF"/>
        </w:rPr>
        <w:t xml:space="preserve">nariadenie Rady (EÚ) č. 904/2010 zo 7. októbra 2010 o administratívnej spolupráci a boji proti podvodom v oblasti dane z pridanej hodnoty (prepracované znenie) </w:t>
      </w:r>
      <w:r w:rsidRPr="00F94322">
        <w:rPr>
          <w:bCs/>
          <w:i/>
          <w:shd w:val="clear" w:color="auto" w:fill="FFFFFF"/>
        </w:rPr>
        <w:t>(</w:t>
      </w:r>
      <w:r w:rsidRPr="00F94322">
        <w:rPr>
          <w:rStyle w:val="Zvraznenie"/>
          <w:i w:val="0"/>
          <w:color w:val="333333"/>
          <w:shd w:val="clear" w:color="auto" w:fill="FFFFFF"/>
        </w:rPr>
        <w:t>Ú. v. EÚ L 268, 12.10.2010)</w:t>
      </w:r>
      <w:r w:rsidRPr="00F94322">
        <w:rPr>
          <w:rStyle w:val="Zvraznenie"/>
          <w:color w:val="333333"/>
          <w:shd w:val="clear" w:color="auto" w:fill="FFFFFF"/>
        </w:rPr>
        <w:t xml:space="preserve"> </w:t>
      </w:r>
      <w:r w:rsidRPr="00F94322">
        <w:t xml:space="preserve">v platnom znení, </w:t>
      </w:r>
      <w:r>
        <w:t>gestor: MF SR,</w:t>
      </w:r>
    </w:p>
    <w:p w14:paraId="083BD870" w14:textId="77777777" w:rsidR="00BD16DE" w:rsidRDefault="00BD16DE" w:rsidP="000E4CBD">
      <w:pPr>
        <w:pStyle w:val="Odsekzoznamu"/>
      </w:pPr>
    </w:p>
    <w:p w14:paraId="36F6142D" w14:textId="103CF881" w:rsidR="00BD16DE" w:rsidRPr="00F94322" w:rsidRDefault="00BD16DE" w:rsidP="00C3032E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</w:pPr>
      <w:r>
        <w:rPr>
          <w:rFonts w:ascii="Times" w:hAnsi="Times" w:cs="Times"/>
          <w:sz w:val="25"/>
          <w:szCs w:val="25"/>
        </w:rPr>
        <w:t>nariadenie Európskeho parlamentu a Rady (EÚ) č. 952/2013 z 9. októbra 2013, ktorým sa ustanovuje Colný kódex Únie (Ú. v. EÚ L 269, 10.10.2013) v platnom znení, gestor: MF SR,</w:t>
      </w:r>
    </w:p>
    <w:p w14:paraId="4BAA7C3F" w14:textId="18E2FEBF" w:rsidR="0071645E" w:rsidRPr="00C3032E" w:rsidRDefault="0071645E" w:rsidP="00C3032E">
      <w:pPr>
        <w:rPr>
          <w:highlight w:val="yellow"/>
        </w:rPr>
      </w:pPr>
    </w:p>
    <w:p w14:paraId="666D6735" w14:textId="7C79E192" w:rsidR="00C30F8B" w:rsidRDefault="00CC7F6A" w:rsidP="0069524A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</w:pPr>
      <w:r w:rsidRPr="00F94322">
        <w:t>n</w:t>
      </w:r>
      <w:r w:rsidR="00C30F8B" w:rsidRPr="003E3AE4">
        <w:t xml:space="preserve">ariadenie Rady (EÚ) č. </w:t>
      </w:r>
      <w:r w:rsidR="00086851" w:rsidRPr="003E3AE4">
        <w:t>2020</w:t>
      </w:r>
      <w:r w:rsidR="00C30F8B" w:rsidRPr="003E3AE4">
        <w:t>/</w:t>
      </w:r>
      <w:r w:rsidR="00086851" w:rsidRPr="003E3AE4">
        <w:t>283 z 18</w:t>
      </w:r>
      <w:r w:rsidR="00C30F8B" w:rsidRPr="003E3AE4">
        <w:t xml:space="preserve">. </w:t>
      </w:r>
      <w:r w:rsidR="00086851" w:rsidRPr="003E3AE4">
        <w:t>február</w:t>
      </w:r>
      <w:r w:rsidR="00C30F8B" w:rsidRPr="003E3AE4">
        <w:t>a 20</w:t>
      </w:r>
      <w:r w:rsidR="00086851" w:rsidRPr="003E3AE4">
        <w:t>20</w:t>
      </w:r>
      <w:r w:rsidR="00C30F8B" w:rsidRPr="003E3AE4">
        <w:t xml:space="preserve">, </w:t>
      </w:r>
      <w:r w:rsidR="00086851" w:rsidRPr="003E3AE4">
        <w:rPr>
          <w:bCs/>
          <w:shd w:val="clear" w:color="auto" w:fill="FFFFFF"/>
        </w:rPr>
        <w:t>ktorým sa mení nariadenie (EÚ) č. 904/2010, pokiaľ ide o opatrenia na posilnenie</w:t>
      </w:r>
      <w:r w:rsidR="00086851" w:rsidRPr="00086851">
        <w:rPr>
          <w:bCs/>
          <w:shd w:val="clear" w:color="auto" w:fill="FFFFFF"/>
        </w:rPr>
        <w:t xml:space="preserve"> administratívnej spolupráce v záujme boja proti podvodom v oblasti DPH</w:t>
      </w:r>
      <w:r w:rsidR="00C30F8B" w:rsidRPr="00086851">
        <w:t xml:space="preserve"> </w:t>
      </w:r>
      <w:r w:rsidR="00C30F8B" w:rsidRPr="00F94322">
        <w:t xml:space="preserve">(Ú. v. EÚ L </w:t>
      </w:r>
      <w:r w:rsidR="00086851" w:rsidRPr="00F94322">
        <w:t>62</w:t>
      </w:r>
      <w:r w:rsidR="00C30F8B" w:rsidRPr="00F94322">
        <w:t xml:space="preserve">, </w:t>
      </w:r>
      <w:r w:rsidR="00086851" w:rsidRPr="00F94322">
        <w:t>2</w:t>
      </w:r>
      <w:r w:rsidR="00C30F8B" w:rsidRPr="00F94322">
        <w:t>.</w:t>
      </w:r>
      <w:r w:rsidR="00086851" w:rsidRPr="00F94322">
        <w:t>3</w:t>
      </w:r>
      <w:r w:rsidR="00C30F8B" w:rsidRPr="00F94322">
        <w:t>.20</w:t>
      </w:r>
      <w:r w:rsidR="00086851" w:rsidRPr="00F94322">
        <w:t>20</w:t>
      </w:r>
      <w:r w:rsidRPr="00F94322">
        <w:t>)</w:t>
      </w:r>
      <w:r w:rsidR="00AA25B8" w:rsidRPr="00F94322">
        <w:t>,</w:t>
      </w:r>
      <w:r w:rsidR="00E5013C" w:rsidRPr="00F94322">
        <w:t xml:space="preserve"> gestor: MF SR</w:t>
      </w:r>
      <w:r w:rsidRPr="00F94322">
        <w:t>,</w:t>
      </w:r>
    </w:p>
    <w:p w14:paraId="6ACFAAC1" w14:textId="3F775B1D" w:rsidR="00C3032E" w:rsidRDefault="00C3032E" w:rsidP="00C3032E">
      <w:pPr>
        <w:shd w:val="clear" w:color="auto" w:fill="FFFFFF"/>
        <w:ind w:right="-115"/>
        <w:jc w:val="both"/>
      </w:pPr>
    </w:p>
    <w:p w14:paraId="7993C516" w14:textId="4E1DC898" w:rsidR="00C3032E" w:rsidRPr="00F94322" w:rsidRDefault="00C3032E" w:rsidP="00C3032E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  <w:rPr>
          <w:i/>
        </w:rPr>
      </w:pPr>
      <w:r w:rsidRPr="00F94322">
        <w:rPr>
          <w:bCs/>
          <w:shd w:val="clear" w:color="auto" w:fill="FFFFFF"/>
        </w:rPr>
        <w:t>vykonávacie nariadenie Komisie (EÚ) 2021/2007 zo 16. novembra 2021, ktorým sa stanovujú podrobné pravidlá uplatňovania nariadenia Rady (EÚ) č. 904/2010, pokiaľ ide o osobitnú úpravu pre malé podniky (</w:t>
      </w:r>
      <w:r w:rsidRPr="00F94322">
        <w:rPr>
          <w:rStyle w:val="Zvraznenie"/>
          <w:i w:val="0"/>
          <w:color w:val="333333"/>
          <w:shd w:val="clear" w:color="auto" w:fill="FFFFFF"/>
        </w:rPr>
        <w:t xml:space="preserve">Ú. v. EÚ L 407, 17.11.2021), </w:t>
      </w:r>
      <w:r>
        <w:t>gestor: MF SR.</w:t>
      </w:r>
    </w:p>
    <w:p w14:paraId="0E1D52CB" w14:textId="77777777" w:rsidR="003C5EB0" w:rsidRDefault="003C5EB0" w:rsidP="003C5EB0">
      <w:pPr>
        <w:pStyle w:val="Odsekzoznamu"/>
      </w:pPr>
    </w:p>
    <w:p w14:paraId="6093569E" w14:textId="377B2306" w:rsidR="00CC3ADA" w:rsidRDefault="00CE4115" w:rsidP="006E30D6">
      <w:pPr>
        <w:pStyle w:val="Zkladntext"/>
        <w:numPr>
          <w:ilvl w:val="1"/>
          <w:numId w:val="1"/>
        </w:numPr>
        <w:tabs>
          <w:tab w:val="left" w:pos="851"/>
        </w:tabs>
        <w:spacing w:after="0"/>
        <w:jc w:val="both"/>
        <w:rPr>
          <w:b/>
        </w:rPr>
      </w:pPr>
      <w:r w:rsidRPr="00086851">
        <w:rPr>
          <w:b/>
        </w:rPr>
        <w:t>J</w:t>
      </w:r>
      <w:r w:rsidR="002865EC" w:rsidRPr="00086851">
        <w:rPr>
          <w:b/>
        </w:rPr>
        <w:t>udikatúr</w:t>
      </w:r>
      <w:r w:rsidRPr="00086851">
        <w:rPr>
          <w:b/>
        </w:rPr>
        <w:t>a</w:t>
      </w:r>
      <w:r w:rsidR="002865EC" w:rsidRPr="00086851">
        <w:rPr>
          <w:b/>
        </w:rPr>
        <w:t xml:space="preserve"> Súdneho dvora Európsk</w:t>
      </w:r>
      <w:r w:rsidR="00B55479" w:rsidRPr="00086851">
        <w:rPr>
          <w:b/>
        </w:rPr>
        <w:t>ej</w:t>
      </w:r>
      <w:r w:rsidR="002865EC" w:rsidRPr="00086851">
        <w:rPr>
          <w:b/>
        </w:rPr>
        <w:t xml:space="preserve"> </w:t>
      </w:r>
      <w:r w:rsidR="00B55479" w:rsidRPr="00086851">
        <w:rPr>
          <w:b/>
        </w:rPr>
        <w:t>únie</w:t>
      </w:r>
      <w:r w:rsidRPr="00086851">
        <w:rPr>
          <w:b/>
        </w:rPr>
        <w:t>:</w:t>
      </w:r>
    </w:p>
    <w:p w14:paraId="09FB64E4" w14:textId="22E5D304" w:rsidR="002A42A2" w:rsidRDefault="002A42A2" w:rsidP="002A42A2">
      <w:pPr>
        <w:pStyle w:val="Zkladntext"/>
        <w:tabs>
          <w:tab w:val="left" w:pos="851"/>
        </w:tabs>
        <w:spacing w:after="0"/>
        <w:jc w:val="both"/>
        <w:rPr>
          <w:b/>
        </w:rPr>
      </w:pPr>
    </w:p>
    <w:p w14:paraId="69696970" w14:textId="7D3A2910" w:rsidR="002A42A2" w:rsidRPr="00021CF0" w:rsidRDefault="002A42A2" w:rsidP="002A42A2">
      <w:pPr>
        <w:pStyle w:val="Normlnywebov"/>
        <w:numPr>
          <w:ilvl w:val="0"/>
          <w:numId w:val="13"/>
        </w:numPr>
        <w:spacing w:before="0" w:after="0"/>
        <w:ind w:left="896" w:right="-113" w:hanging="357"/>
        <w:jc w:val="both"/>
        <w:rPr>
          <w:sz w:val="24"/>
          <w:szCs w:val="24"/>
          <w:lang w:eastAsia="cs-CZ"/>
        </w:rPr>
      </w:pPr>
      <w:r w:rsidRPr="00021CF0">
        <w:rPr>
          <w:sz w:val="24"/>
          <w:szCs w:val="24"/>
          <w:lang w:eastAsia="cs-CZ"/>
        </w:rPr>
        <w:t xml:space="preserve">Rozsudok Súdneho dvora vo veci </w:t>
      </w:r>
      <w:r>
        <w:rPr>
          <w:sz w:val="24"/>
          <w:szCs w:val="24"/>
        </w:rPr>
        <w:t xml:space="preserve">C‑97/09 Ingrid </w:t>
      </w:r>
      <w:proofErr w:type="spellStart"/>
      <w:r>
        <w:rPr>
          <w:sz w:val="24"/>
          <w:szCs w:val="24"/>
        </w:rPr>
        <w:t>Schmelz</w:t>
      </w:r>
      <w:proofErr w:type="spellEnd"/>
    </w:p>
    <w:p w14:paraId="2E40AEEB" w14:textId="77777777" w:rsidR="002A42A2" w:rsidRPr="00021CF0" w:rsidRDefault="002A42A2" w:rsidP="002A42A2">
      <w:pPr>
        <w:pStyle w:val="Normlnywebov"/>
        <w:spacing w:before="0" w:after="0"/>
        <w:ind w:left="750" w:right="-113" w:firstLine="146"/>
        <w:jc w:val="both"/>
        <w:rPr>
          <w:sz w:val="24"/>
          <w:szCs w:val="24"/>
        </w:rPr>
      </w:pPr>
      <w:r w:rsidRPr="00021CF0">
        <w:rPr>
          <w:sz w:val="24"/>
          <w:szCs w:val="24"/>
        </w:rPr>
        <w:t>Výrok rozsudku:</w:t>
      </w:r>
    </w:p>
    <w:p w14:paraId="35F17EA1" w14:textId="58C9D4D8" w:rsidR="002A42A2" w:rsidRPr="002A42A2" w:rsidRDefault="002A42A2" w:rsidP="002A42A2">
      <w:pPr>
        <w:ind w:left="896"/>
        <w:jc w:val="both"/>
        <w:rPr>
          <w:rFonts w:ascii="Times New Roman" w:hAnsi="Times New Roman" w:cs="Times New Roman"/>
        </w:rPr>
      </w:pPr>
      <w:r w:rsidRPr="002A42A2">
        <w:rPr>
          <w:rFonts w:ascii="Times New Roman" w:hAnsi="Times New Roman" w:cs="Times New Roman"/>
        </w:rPr>
        <w:t>„1. Skúmanie otázok neodhalilo žiadny prvok, ktorý by mohol ovplyvniť platnosť článku 24 ods. 3 a článku 28i šiestej smernice Rady 77/388/EHS zo 17. mája 1977 o zosúladení právnych predpisov členských štátov týkajúcich sa daní z obratu – spoločný systém dane z pridanej hodnoty: jednotný základ jej stanovenia, zmenenej a doplnenej smernicou Rady 2006/18/ES zo 14. februára 2006, ako aj článku 283 ods. 1 písm. c) smernice 2006/112/ES Rady z 28. novembra 2006 o spoločnom systéme dane z pridanej hodnoty, vzhľadom na článok 49 ES.</w:t>
      </w:r>
    </w:p>
    <w:p w14:paraId="65DD1053" w14:textId="1341F01C" w:rsidR="002A42A2" w:rsidRPr="002A42A2" w:rsidRDefault="002A42A2" w:rsidP="002A42A2">
      <w:pPr>
        <w:ind w:left="851" w:firstLine="45"/>
        <w:jc w:val="both"/>
      </w:pPr>
      <w:r w:rsidRPr="002A42A2">
        <w:rPr>
          <w:rFonts w:ascii="Times New Roman" w:hAnsi="Times New Roman" w:cs="Times New Roman"/>
        </w:rPr>
        <w:t>2. Články 24 a 24a smernice 77/388, zmenenej a doplnene</w:t>
      </w:r>
      <w:r>
        <w:rPr>
          <w:rFonts w:ascii="Times New Roman" w:hAnsi="Times New Roman" w:cs="Times New Roman"/>
        </w:rPr>
        <w:t xml:space="preserve">j smernicou 2006/18, ako aj </w:t>
      </w:r>
      <w:r w:rsidRPr="002A42A2">
        <w:rPr>
          <w:rFonts w:ascii="Times New Roman" w:hAnsi="Times New Roman" w:cs="Times New Roman"/>
        </w:rPr>
        <w:t>články 284 až 287 smernice 2006/112 sa majú vykladať v tom zmysle, že pojem „ročný obrat“ znamená obrat dosiahnutý podnikom v priebehu roka v členskom štáte, v ktorom je usadený.</w:t>
      </w:r>
      <w:r>
        <w:rPr>
          <w:rFonts w:ascii="Times New Roman" w:hAnsi="Times New Roman" w:cs="Times New Roman"/>
        </w:rPr>
        <w:t>“.</w:t>
      </w:r>
    </w:p>
    <w:p w14:paraId="0F6EC265" w14:textId="77777777" w:rsidR="00B648DC" w:rsidRDefault="00B648DC" w:rsidP="00014782">
      <w:pPr>
        <w:pStyle w:val="Zkladntext"/>
        <w:spacing w:after="0"/>
        <w:jc w:val="both"/>
        <w:rPr>
          <w:b/>
        </w:rPr>
      </w:pPr>
    </w:p>
    <w:p w14:paraId="4E6AFA76" w14:textId="59AD41C6" w:rsidR="00596332" w:rsidRPr="00021CF0" w:rsidRDefault="00596332" w:rsidP="00596332">
      <w:pPr>
        <w:pStyle w:val="Normlnywebov"/>
        <w:numPr>
          <w:ilvl w:val="0"/>
          <w:numId w:val="13"/>
        </w:numPr>
        <w:spacing w:before="0" w:after="0"/>
        <w:ind w:left="896" w:right="-113" w:hanging="357"/>
        <w:jc w:val="both"/>
        <w:rPr>
          <w:sz w:val="24"/>
          <w:szCs w:val="24"/>
          <w:lang w:eastAsia="cs-CZ"/>
        </w:rPr>
      </w:pPr>
      <w:r w:rsidRPr="00021CF0">
        <w:rPr>
          <w:sz w:val="24"/>
          <w:szCs w:val="24"/>
          <w:lang w:eastAsia="cs-CZ"/>
        </w:rPr>
        <w:t xml:space="preserve">Rozsudok Súdneho dvora vo veci </w:t>
      </w:r>
      <w:r>
        <w:rPr>
          <w:sz w:val="24"/>
          <w:szCs w:val="24"/>
        </w:rPr>
        <w:t xml:space="preserve">C‑118/11 </w:t>
      </w:r>
      <w:proofErr w:type="spellStart"/>
      <w:r>
        <w:rPr>
          <w:sz w:val="24"/>
          <w:szCs w:val="24"/>
        </w:rPr>
        <w:t>Eon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Menidjmunt</w:t>
      </w:r>
      <w:proofErr w:type="spellEnd"/>
    </w:p>
    <w:p w14:paraId="791751C9" w14:textId="77777777" w:rsidR="00596332" w:rsidRPr="00021CF0" w:rsidRDefault="00596332" w:rsidP="00596332">
      <w:pPr>
        <w:pStyle w:val="Normlnywebov"/>
        <w:spacing w:before="0" w:after="0"/>
        <w:ind w:left="896" w:right="-113"/>
        <w:jc w:val="both"/>
        <w:rPr>
          <w:sz w:val="24"/>
          <w:szCs w:val="24"/>
        </w:rPr>
      </w:pPr>
      <w:r w:rsidRPr="00021CF0">
        <w:rPr>
          <w:sz w:val="24"/>
          <w:szCs w:val="24"/>
        </w:rPr>
        <w:t>Výrok rozsudku:</w:t>
      </w:r>
    </w:p>
    <w:p w14:paraId="0EA992D2" w14:textId="77777777" w:rsidR="00596332" w:rsidRDefault="00596332" w:rsidP="00596332">
      <w:pPr>
        <w:pStyle w:val="Normlnywebov"/>
        <w:spacing w:before="0" w:after="0"/>
        <w:ind w:left="896" w:right="-113"/>
        <w:jc w:val="both"/>
        <w:rPr>
          <w:sz w:val="24"/>
          <w:szCs w:val="24"/>
        </w:rPr>
      </w:pPr>
      <w:r w:rsidRPr="00021CF0">
        <w:rPr>
          <w:sz w:val="24"/>
          <w:szCs w:val="24"/>
        </w:rPr>
        <w:t>„</w:t>
      </w:r>
      <w:r>
        <w:rPr>
          <w:sz w:val="24"/>
          <w:szCs w:val="24"/>
        </w:rPr>
        <w:t>1. Článok 168 písm. a) smernice Rady 2006/112/ES z 28. novembra 2006 o spoločnom systéme dane z pridanej hodnoty sa má vykladať v tom zmysle, že:</w:t>
      </w:r>
    </w:p>
    <w:p w14:paraId="1A722D13" w14:textId="77777777" w:rsidR="00596332" w:rsidRDefault="00596332" w:rsidP="00596332">
      <w:pPr>
        <w:pStyle w:val="Normlnywebov"/>
        <w:numPr>
          <w:ilvl w:val="0"/>
          <w:numId w:val="13"/>
        </w:numPr>
        <w:spacing w:before="0" w:after="0"/>
        <w:ind w:right="-113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prenajaté motorové vozidlo sa považuje za vozidlo používané na účely zdaniteľných plnení zdaniteľnej osoby, ak existuje priama a bezprostredná súvislosť medzi použitím tohto vozidla a ekonomickou činnosťou zdaniteľnej osoby, a že právo na odpočet vzniká len po uplynutí obdobia, na ktoré sa vzťahuje každá z platieb, pričom treba zohľadniť existenciu takejto súvislosti,</w:t>
      </w:r>
    </w:p>
    <w:p w14:paraId="293800E1" w14:textId="77777777" w:rsidR="00596332" w:rsidRDefault="00596332" w:rsidP="00596332">
      <w:pPr>
        <w:pStyle w:val="Normlnywebov"/>
        <w:numPr>
          <w:ilvl w:val="0"/>
          <w:numId w:val="13"/>
        </w:numPr>
        <w:spacing w:before="0" w:after="0"/>
        <w:ind w:right="-113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motorové vozidlo prenajaté na základe lízingovej zmluvy a kvalifikované ako investičný majetok sa považuje za vozidlo používané na účely zdaniteľných plnení, ak zdaniteľná osoba, ktorá ako taká vykonáva svoju činnosť, nadobudne tento majetok a celý ho zahrnie do majetku svojho podniku, pričom dochádza k priamemu </w:t>
      </w:r>
      <w:r>
        <w:rPr>
          <w:sz w:val="24"/>
          <w:szCs w:val="24"/>
          <w:lang w:eastAsia="cs-CZ"/>
        </w:rPr>
        <w:lastRenderedPageBreak/>
        <w:t>a okamžitému odpočtu DPH splatnej na vstupe a akékoľvek používanie uvedeného majetku na súkromné účely zdaniteľnej osoby alebo jej zamestnancov alebo na iné účely, než sú podnikateľské účely, sa považuje za odplatné poskytovanie služieb.</w:t>
      </w:r>
    </w:p>
    <w:p w14:paraId="64867C72" w14:textId="10CB959D" w:rsidR="00596332" w:rsidRDefault="00596332" w:rsidP="00D91CBE">
      <w:pPr>
        <w:pStyle w:val="Normlnywebov"/>
        <w:spacing w:before="0" w:after="0"/>
        <w:ind w:left="993" w:right="-113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2. Články 168 a 176 smernice 2006/112 sa majú vykladať v tom zmysle, že nebránia takej vnútroštátnej právnej úprave, ktorá stanovuje vylúčenie z práva na odpočet pre tovary a služby určené na bezplatné plnenia alebo na iné činnosti, než je ekonomická činnosť zdaniteľnej osoby, pokiaľ nie je majetok, ktorý je kvalifikovaný ako investičný majetok zahrnutý do majetku podniku.“.</w:t>
      </w:r>
    </w:p>
    <w:p w14:paraId="6D376FE4" w14:textId="35EA0E2D" w:rsidR="00D33058" w:rsidRDefault="00D33058" w:rsidP="00D91CBE">
      <w:pPr>
        <w:pStyle w:val="Normlnywebov"/>
        <w:spacing w:before="0" w:after="0"/>
        <w:ind w:left="993" w:right="-113"/>
        <w:jc w:val="both"/>
        <w:rPr>
          <w:sz w:val="24"/>
          <w:szCs w:val="24"/>
          <w:lang w:eastAsia="cs-CZ"/>
        </w:rPr>
      </w:pPr>
    </w:p>
    <w:p w14:paraId="6EFDF64C" w14:textId="77777777" w:rsidR="00D33058" w:rsidRDefault="00D33058" w:rsidP="00D33058">
      <w:pPr>
        <w:pStyle w:val="Odsekzoznamu"/>
        <w:numPr>
          <w:ilvl w:val="0"/>
          <w:numId w:val="13"/>
        </w:numPr>
        <w:spacing w:after="240"/>
        <w:ind w:left="851" w:hanging="284"/>
        <w:jc w:val="both"/>
      </w:pPr>
      <w:r w:rsidRPr="00021CF0">
        <w:rPr>
          <w:lang w:eastAsia="cs-CZ"/>
        </w:rPr>
        <w:t xml:space="preserve">Rozsudok Súdneho dvora vo veci </w:t>
      </w:r>
      <w:r w:rsidRPr="00D33058">
        <w:rPr>
          <w:color w:val="000000" w:themeColor="text1"/>
        </w:rPr>
        <w:t xml:space="preserve">C-550/11 </w:t>
      </w:r>
      <w:r w:rsidRPr="00D33058">
        <w:rPr>
          <w:lang w:eastAsia="cs-CZ"/>
        </w:rPr>
        <w:t xml:space="preserve">PIGI – </w:t>
      </w:r>
      <w:proofErr w:type="spellStart"/>
      <w:r w:rsidRPr="00D33058">
        <w:rPr>
          <w:lang w:eastAsia="cs-CZ"/>
        </w:rPr>
        <w:t>Pavleta</w:t>
      </w:r>
      <w:proofErr w:type="spellEnd"/>
      <w:r w:rsidRPr="00D33058">
        <w:rPr>
          <w:lang w:eastAsia="cs-CZ"/>
        </w:rPr>
        <w:t xml:space="preserve"> </w:t>
      </w:r>
      <w:proofErr w:type="spellStart"/>
      <w:r w:rsidRPr="00D33058">
        <w:rPr>
          <w:lang w:eastAsia="cs-CZ"/>
        </w:rPr>
        <w:t>Dimova</w:t>
      </w:r>
      <w:proofErr w:type="spellEnd"/>
      <w:r w:rsidRPr="00D33058">
        <w:rPr>
          <w:lang w:eastAsia="cs-CZ"/>
        </w:rPr>
        <w:t xml:space="preserve"> ET</w:t>
      </w:r>
    </w:p>
    <w:p w14:paraId="0D06F74B" w14:textId="69CCC066" w:rsidR="00D33058" w:rsidRPr="00D33058" w:rsidRDefault="00D33058" w:rsidP="00D33058">
      <w:pPr>
        <w:pStyle w:val="Odsekzoznamu"/>
        <w:spacing w:after="240"/>
        <w:ind w:left="851"/>
        <w:jc w:val="both"/>
        <w:rPr>
          <w:lang w:eastAsia="cs-CZ"/>
        </w:rPr>
      </w:pPr>
      <w:r w:rsidRPr="00D33058">
        <w:rPr>
          <w:color w:val="000000" w:themeColor="text1"/>
        </w:rPr>
        <w:t xml:space="preserve">Výrok </w:t>
      </w:r>
      <w:r w:rsidRPr="00D33058">
        <w:rPr>
          <w:lang w:eastAsia="cs-CZ"/>
        </w:rPr>
        <w:t>rozsudku:</w:t>
      </w:r>
    </w:p>
    <w:p w14:paraId="6DBEF029" w14:textId="51C3106B" w:rsidR="00596332" w:rsidRPr="00021CF0" w:rsidRDefault="00D33058" w:rsidP="00D33058">
      <w:pPr>
        <w:pStyle w:val="Odsekzoznamu"/>
        <w:spacing w:after="240"/>
        <w:ind w:left="851"/>
        <w:jc w:val="both"/>
        <w:rPr>
          <w:lang w:eastAsia="cs-CZ"/>
        </w:rPr>
      </w:pPr>
      <w:r w:rsidRPr="00D33058">
        <w:rPr>
          <w:lang w:eastAsia="cs-CZ"/>
        </w:rPr>
        <w:t>„Článok 185 ods. 2 smernice Rady 2006/112/ES z 28. novembra 2006 o spoločnom systéme dane z pridanej hodnoty sa má vykladať v tom zmysle, že nebráni vnútroštátnym ustanoveniam daňovej právnej úpravy, akými sú ustanovenia uvedené v § 79 a 80 bulharského zákona o dani z pridanej hodnoty (</w:t>
      </w:r>
      <w:proofErr w:type="spellStart"/>
      <w:r w:rsidRPr="00D33058">
        <w:rPr>
          <w:lang w:eastAsia="cs-CZ"/>
        </w:rPr>
        <w:t>Zakon</w:t>
      </w:r>
      <w:proofErr w:type="spellEnd"/>
      <w:r w:rsidRPr="00D33058">
        <w:rPr>
          <w:lang w:eastAsia="cs-CZ"/>
        </w:rPr>
        <w:t xml:space="preserve"> za </w:t>
      </w:r>
      <w:proofErr w:type="spellStart"/>
      <w:r w:rsidRPr="00D33058">
        <w:rPr>
          <w:lang w:eastAsia="cs-CZ"/>
        </w:rPr>
        <w:t>danak</w:t>
      </w:r>
      <w:proofErr w:type="spellEnd"/>
      <w:r w:rsidRPr="00D33058">
        <w:rPr>
          <w:lang w:eastAsia="cs-CZ"/>
        </w:rPr>
        <w:t xml:space="preserve"> </w:t>
      </w:r>
      <w:proofErr w:type="spellStart"/>
      <w:r w:rsidRPr="00D33058">
        <w:rPr>
          <w:lang w:eastAsia="cs-CZ"/>
        </w:rPr>
        <w:t>varhu</w:t>
      </w:r>
      <w:proofErr w:type="spellEnd"/>
      <w:r w:rsidRPr="00D33058">
        <w:rPr>
          <w:lang w:eastAsia="cs-CZ"/>
        </w:rPr>
        <w:t xml:space="preserve"> </w:t>
      </w:r>
      <w:proofErr w:type="spellStart"/>
      <w:r w:rsidRPr="00D33058">
        <w:rPr>
          <w:lang w:eastAsia="cs-CZ"/>
        </w:rPr>
        <w:t>dobavenata</w:t>
      </w:r>
      <w:proofErr w:type="spellEnd"/>
      <w:r w:rsidRPr="00D33058">
        <w:rPr>
          <w:lang w:eastAsia="cs-CZ"/>
        </w:rPr>
        <w:t xml:space="preserve"> </w:t>
      </w:r>
      <w:proofErr w:type="spellStart"/>
      <w:r w:rsidRPr="00D33058">
        <w:rPr>
          <w:lang w:eastAsia="cs-CZ"/>
        </w:rPr>
        <w:t>stoynost</w:t>
      </w:r>
      <w:proofErr w:type="spellEnd"/>
      <w:r w:rsidRPr="00D33058">
        <w:rPr>
          <w:lang w:eastAsia="cs-CZ"/>
        </w:rPr>
        <w:t>), ktoré v prípade konštatovania straty tovarov podliehajúcich DPH vyžadujú úpravu odpočtu tejto dane zaplatenej na vstupe v okamihu nadobudnutia tohto tovaru v prípade, ak sa zdaniteľná osoba stala obeťou krádeže predmetného tovaru neznámym páchateľom.</w:t>
      </w:r>
      <w:r>
        <w:rPr>
          <w:lang w:eastAsia="cs-CZ"/>
        </w:rPr>
        <w:t>“.</w:t>
      </w:r>
    </w:p>
    <w:p w14:paraId="2B8FE013" w14:textId="77777777" w:rsidR="00E916C8" w:rsidRPr="00021CF0" w:rsidRDefault="00E916C8" w:rsidP="00E916C8">
      <w:pPr>
        <w:pStyle w:val="Normlnywebov"/>
        <w:numPr>
          <w:ilvl w:val="0"/>
          <w:numId w:val="13"/>
        </w:numPr>
        <w:spacing w:before="0" w:after="0"/>
        <w:ind w:left="896" w:right="-113" w:hanging="357"/>
        <w:jc w:val="both"/>
        <w:rPr>
          <w:sz w:val="24"/>
          <w:szCs w:val="24"/>
          <w:lang w:eastAsia="cs-CZ"/>
        </w:rPr>
      </w:pPr>
      <w:r w:rsidRPr="00021CF0">
        <w:rPr>
          <w:sz w:val="24"/>
          <w:szCs w:val="24"/>
          <w:lang w:eastAsia="cs-CZ"/>
        </w:rPr>
        <w:t xml:space="preserve">Rozsudok Súdneho dvora vo veci </w:t>
      </w:r>
      <w:r w:rsidRPr="00021CF0">
        <w:rPr>
          <w:color w:val="000000" w:themeColor="text1"/>
          <w:sz w:val="24"/>
          <w:szCs w:val="24"/>
        </w:rPr>
        <w:t>C-326/15 DNB Banka AS</w:t>
      </w:r>
    </w:p>
    <w:p w14:paraId="4994033B" w14:textId="77777777" w:rsidR="00E916C8" w:rsidRPr="00021CF0" w:rsidRDefault="00E916C8" w:rsidP="00E916C8">
      <w:pPr>
        <w:pStyle w:val="Normlnywebov"/>
        <w:spacing w:before="0" w:after="0"/>
        <w:ind w:left="896" w:right="-113"/>
        <w:jc w:val="both"/>
        <w:rPr>
          <w:sz w:val="24"/>
          <w:szCs w:val="24"/>
          <w:lang w:eastAsia="cs-CZ"/>
        </w:rPr>
      </w:pPr>
      <w:r w:rsidRPr="00021CF0">
        <w:rPr>
          <w:color w:val="000000" w:themeColor="text1"/>
          <w:sz w:val="24"/>
          <w:szCs w:val="24"/>
        </w:rPr>
        <w:t>Výrok rozsudku:</w:t>
      </w:r>
    </w:p>
    <w:p w14:paraId="15AA128D" w14:textId="4E4CCF77" w:rsidR="00E916C8" w:rsidRDefault="00E916C8" w:rsidP="00E916C8">
      <w:pPr>
        <w:pStyle w:val="Normlnywebov"/>
        <w:spacing w:before="0" w:after="0"/>
        <w:ind w:left="896" w:right="-113"/>
        <w:jc w:val="both"/>
        <w:rPr>
          <w:sz w:val="24"/>
          <w:szCs w:val="24"/>
          <w:lang w:eastAsia="cs-CZ"/>
        </w:rPr>
      </w:pPr>
      <w:r w:rsidRPr="00021CF0">
        <w:rPr>
          <w:color w:val="000000" w:themeColor="text1"/>
          <w:sz w:val="24"/>
          <w:szCs w:val="24"/>
        </w:rPr>
        <w:t>„</w:t>
      </w:r>
      <w:r w:rsidRPr="00021CF0">
        <w:rPr>
          <w:bCs/>
          <w:color w:val="000000"/>
          <w:sz w:val="24"/>
          <w:szCs w:val="24"/>
          <w:shd w:val="clear" w:color="auto" w:fill="FFFFFF"/>
        </w:rPr>
        <w:t>Článok 132 ods. 1 písm. f) smernice Rady 2006/112/ES z 28. novembra 2006 o spoločnom systéme dane z pridanej hodnoty sa má vykladať v tom zmysle, že oslobodenie od dane upravené v tomto ustanovení sa vzťahuje iba na nezávislé skupiny osôb, ktorých členovia uskutočňujú činnosť vo verejnom záujme uvedenú v článku 132 tejto smernice, takže na služby poskytnuté zo strany skupiny, ktorej členovia vykonávajú hospodársku činnosť v oblasti finančných služieb, ktorá nepredstavuje takúto činnosť vo verejnom záujme, sa neuplatňuje toto oslobodenie od dane.“.</w:t>
      </w:r>
    </w:p>
    <w:p w14:paraId="7E456D78" w14:textId="77777777" w:rsidR="00E916C8" w:rsidRDefault="00E916C8" w:rsidP="00E916C8">
      <w:pPr>
        <w:pStyle w:val="Normlnywebov"/>
        <w:spacing w:before="0" w:after="0"/>
        <w:ind w:left="896" w:right="-113"/>
        <w:jc w:val="both"/>
        <w:rPr>
          <w:sz w:val="24"/>
          <w:szCs w:val="24"/>
          <w:lang w:eastAsia="cs-CZ"/>
        </w:rPr>
      </w:pPr>
    </w:p>
    <w:p w14:paraId="166110E9" w14:textId="38966FA2" w:rsidR="00596332" w:rsidRPr="00021CF0" w:rsidRDefault="00596332" w:rsidP="00596332">
      <w:pPr>
        <w:pStyle w:val="Normlnywebov"/>
        <w:numPr>
          <w:ilvl w:val="0"/>
          <w:numId w:val="13"/>
        </w:numPr>
        <w:spacing w:before="0" w:after="0"/>
        <w:ind w:left="896" w:right="-113" w:hanging="357"/>
        <w:jc w:val="both"/>
        <w:rPr>
          <w:sz w:val="24"/>
          <w:szCs w:val="24"/>
          <w:lang w:eastAsia="cs-CZ"/>
        </w:rPr>
      </w:pPr>
      <w:r w:rsidRPr="00021CF0">
        <w:rPr>
          <w:sz w:val="24"/>
          <w:szCs w:val="24"/>
          <w:lang w:eastAsia="cs-CZ"/>
        </w:rPr>
        <w:t xml:space="preserve">Rozsudok Súdneho dvora vo veci </w:t>
      </w:r>
      <w:r w:rsidRPr="00021CF0">
        <w:rPr>
          <w:sz w:val="24"/>
          <w:szCs w:val="24"/>
        </w:rPr>
        <w:t xml:space="preserve">C-164/16 Mercedes </w:t>
      </w:r>
      <w:proofErr w:type="spellStart"/>
      <w:r w:rsidRPr="00021CF0">
        <w:rPr>
          <w:sz w:val="24"/>
          <w:szCs w:val="24"/>
        </w:rPr>
        <w:t>Benz</w:t>
      </w:r>
      <w:proofErr w:type="spellEnd"/>
      <w:r w:rsidRPr="00021CF0">
        <w:rPr>
          <w:sz w:val="24"/>
          <w:szCs w:val="24"/>
        </w:rPr>
        <w:t xml:space="preserve"> </w:t>
      </w:r>
      <w:proofErr w:type="spellStart"/>
      <w:r w:rsidRPr="00021CF0">
        <w:rPr>
          <w:sz w:val="24"/>
          <w:szCs w:val="24"/>
        </w:rPr>
        <w:t>Financial</w:t>
      </w:r>
      <w:proofErr w:type="spellEnd"/>
      <w:r w:rsidRPr="00021CF0">
        <w:rPr>
          <w:sz w:val="24"/>
          <w:szCs w:val="24"/>
        </w:rPr>
        <w:t xml:space="preserve"> </w:t>
      </w:r>
      <w:proofErr w:type="spellStart"/>
      <w:r w:rsidRPr="00021CF0">
        <w:rPr>
          <w:sz w:val="24"/>
          <w:szCs w:val="24"/>
        </w:rPr>
        <w:t>Services</w:t>
      </w:r>
      <w:proofErr w:type="spellEnd"/>
      <w:r w:rsidRPr="00021CF0">
        <w:rPr>
          <w:sz w:val="24"/>
          <w:szCs w:val="24"/>
        </w:rPr>
        <w:t xml:space="preserve"> UK</w:t>
      </w:r>
    </w:p>
    <w:p w14:paraId="24D278E9" w14:textId="77777777" w:rsidR="00596332" w:rsidRPr="00021CF0" w:rsidRDefault="00596332" w:rsidP="00596332">
      <w:pPr>
        <w:pStyle w:val="Normlnywebov"/>
        <w:spacing w:before="0" w:after="0"/>
        <w:ind w:left="896" w:right="-113"/>
        <w:jc w:val="both"/>
        <w:rPr>
          <w:sz w:val="24"/>
          <w:szCs w:val="24"/>
          <w:lang w:eastAsia="cs-CZ"/>
        </w:rPr>
      </w:pPr>
      <w:r w:rsidRPr="00021CF0">
        <w:rPr>
          <w:sz w:val="24"/>
          <w:szCs w:val="24"/>
          <w:lang w:eastAsia="cs-CZ"/>
        </w:rPr>
        <w:t>Výrok rozsudku:</w:t>
      </w:r>
    </w:p>
    <w:p w14:paraId="39755A50" w14:textId="77777777" w:rsidR="00596332" w:rsidRPr="00021CF0" w:rsidRDefault="00596332" w:rsidP="00E916C8">
      <w:pPr>
        <w:pStyle w:val="Normlnywebov"/>
        <w:spacing w:before="0" w:after="0"/>
        <w:ind w:left="896" w:right="-113"/>
        <w:jc w:val="both"/>
        <w:rPr>
          <w:sz w:val="24"/>
          <w:szCs w:val="24"/>
          <w:lang w:eastAsia="cs-CZ"/>
        </w:rPr>
      </w:pPr>
      <w:r w:rsidRPr="00021CF0">
        <w:rPr>
          <w:sz w:val="24"/>
          <w:szCs w:val="24"/>
          <w:lang w:eastAsia="cs-CZ"/>
        </w:rPr>
        <w:t>„</w:t>
      </w:r>
      <w:r w:rsidRPr="00021CF0">
        <w:rPr>
          <w:bCs/>
          <w:color w:val="000000"/>
          <w:sz w:val="24"/>
          <w:szCs w:val="24"/>
          <w:shd w:val="clear" w:color="auto" w:fill="FFFFFF"/>
        </w:rPr>
        <w:t>Výraz „zmluva o nájme tovaru, ktorá stanovuje, že za normálnych okolností sa vlastníctvo nadobudne najneskôr pri zaplatení poslednej splátky“, uvedený v článku 14 ods. 2 písm. b) smernice Rady 2006/112/ES z 28. novembra 2006 o spoločnom systéme dane z pridanej hodnoty, sa má vykladať v tom zmysle, že sa uplatňuje na typovú nájomnú zmluvu s opciou kúpy, ak z finančných podmienok zmluvy možno vyvodiť, že uplatnenie opcie sa zdá ako jediná ekonomicky racionálna voľba, ktorú nájomca bude môcť urobiť v určitom momente, pokiaľ sa zmluva plní až do jej konca, čo prislúcha overiť vnútroštátnemu súdu.“.</w:t>
      </w:r>
    </w:p>
    <w:p w14:paraId="1CB2B678" w14:textId="77777777" w:rsidR="00596332" w:rsidRDefault="00596332" w:rsidP="00596332">
      <w:pPr>
        <w:pStyle w:val="Normlnywebov"/>
        <w:spacing w:before="0" w:after="0"/>
        <w:ind w:left="896" w:right="-113"/>
        <w:jc w:val="both"/>
        <w:rPr>
          <w:sz w:val="24"/>
          <w:szCs w:val="24"/>
          <w:lang w:eastAsia="cs-CZ"/>
        </w:rPr>
      </w:pPr>
    </w:p>
    <w:p w14:paraId="6EA24E3B" w14:textId="02AFA5A7" w:rsidR="00596332" w:rsidRPr="00021CF0" w:rsidRDefault="00596332" w:rsidP="00596332">
      <w:pPr>
        <w:pStyle w:val="Normlnywebov"/>
        <w:numPr>
          <w:ilvl w:val="0"/>
          <w:numId w:val="13"/>
        </w:numPr>
        <w:spacing w:before="0" w:after="0"/>
        <w:ind w:left="896" w:right="-113" w:hanging="357"/>
        <w:jc w:val="both"/>
        <w:rPr>
          <w:sz w:val="24"/>
          <w:szCs w:val="24"/>
          <w:lang w:eastAsia="cs-CZ"/>
        </w:rPr>
      </w:pPr>
      <w:r w:rsidRPr="00021CF0">
        <w:rPr>
          <w:sz w:val="24"/>
          <w:szCs w:val="24"/>
          <w:lang w:eastAsia="cs-CZ"/>
        </w:rPr>
        <w:t xml:space="preserve">Rozsudok Súdneho dvora vo veci </w:t>
      </w:r>
      <w:r w:rsidRPr="00021CF0">
        <w:rPr>
          <w:sz w:val="24"/>
          <w:szCs w:val="24"/>
        </w:rPr>
        <w:t>C-895/19 A</w:t>
      </w:r>
    </w:p>
    <w:p w14:paraId="63A00F83" w14:textId="77777777" w:rsidR="00596332" w:rsidRPr="00021CF0" w:rsidRDefault="00596332" w:rsidP="00596332">
      <w:pPr>
        <w:pStyle w:val="Normlnywebov"/>
        <w:spacing w:before="0" w:after="0"/>
        <w:ind w:left="896" w:right="-113"/>
        <w:jc w:val="both"/>
        <w:rPr>
          <w:sz w:val="24"/>
          <w:szCs w:val="24"/>
          <w:lang w:eastAsia="cs-CZ"/>
        </w:rPr>
      </w:pPr>
      <w:r w:rsidRPr="00021CF0">
        <w:rPr>
          <w:color w:val="000000" w:themeColor="text1"/>
          <w:sz w:val="24"/>
          <w:szCs w:val="24"/>
        </w:rPr>
        <w:t>Výrok rozsudku:</w:t>
      </w:r>
    </w:p>
    <w:p w14:paraId="0E800BF4" w14:textId="77777777" w:rsidR="00596332" w:rsidRPr="00021CF0" w:rsidRDefault="00596332" w:rsidP="00596332">
      <w:pPr>
        <w:pStyle w:val="Normlnywebov"/>
        <w:spacing w:before="0" w:after="0"/>
        <w:ind w:left="896" w:right="-113"/>
        <w:jc w:val="both"/>
        <w:rPr>
          <w:sz w:val="24"/>
          <w:szCs w:val="24"/>
          <w:lang w:eastAsia="cs-CZ"/>
        </w:rPr>
      </w:pPr>
      <w:r w:rsidRPr="00021CF0">
        <w:rPr>
          <w:color w:val="000000" w:themeColor="text1"/>
          <w:sz w:val="24"/>
          <w:szCs w:val="24"/>
        </w:rPr>
        <w:t>„</w:t>
      </w:r>
      <w:r w:rsidRPr="00021CF0">
        <w:rPr>
          <w:bCs/>
          <w:color w:val="000000"/>
          <w:sz w:val="24"/>
          <w:szCs w:val="24"/>
          <w:shd w:val="clear" w:color="auto" w:fill="FFFFFF"/>
        </w:rPr>
        <w:t>Články 167 a 178 smernice Rady 2006/112/ES z 28. novembra 2006 o spoločnom systéme dane z pridanej hodnoty, zmenenej smernicou Rady 2010/45/EÚ z 13. júla 2010, sa majú vykladať v tom zmysle, že bránia vnútroštátnej právnej úprave, podľa ktorej je uplatnenie práva na odpočítanie dane z pridanej hodnoty (DPH) súvisiacej s nadobudnutím v rámci Spoločenstva počas toho istého zdaňovacieho obdobia, v ktorom je DPH splatná, podmienené uvedením splatnej DPH v daňovom priznaní podanom v lehote troch mesiacov od uplynutia mesiaca, v ktorom vznikla daňová povinnosť týkajúca sa nadobudnutých tovarov.“.</w:t>
      </w:r>
    </w:p>
    <w:p w14:paraId="07ECF2B9" w14:textId="38B124E4" w:rsidR="009A7224" w:rsidRDefault="009A7224" w:rsidP="00AF385F">
      <w:pPr>
        <w:pStyle w:val="Normlnywebov"/>
        <w:spacing w:before="0" w:after="0"/>
        <w:ind w:left="851" w:right="28"/>
        <w:jc w:val="both"/>
        <w:rPr>
          <w:sz w:val="24"/>
          <w:szCs w:val="24"/>
          <w:lang w:eastAsia="cs-CZ"/>
        </w:rPr>
      </w:pPr>
    </w:p>
    <w:p w14:paraId="7EE11538" w14:textId="77777777" w:rsidR="00E522E4" w:rsidRDefault="00E522E4" w:rsidP="00AF385F">
      <w:pPr>
        <w:pStyle w:val="Normlnywebov"/>
        <w:spacing w:before="0" w:after="0"/>
        <w:ind w:left="851" w:right="28"/>
        <w:jc w:val="both"/>
        <w:rPr>
          <w:sz w:val="24"/>
          <w:szCs w:val="24"/>
          <w:lang w:eastAsia="cs-CZ"/>
        </w:rPr>
      </w:pPr>
    </w:p>
    <w:p w14:paraId="4D096C08" w14:textId="712ACB09" w:rsidR="00ED6F91" w:rsidRDefault="00ED6F91" w:rsidP="00B648D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  <w:r w:rsidRPr="00181470">
        <w:rPr>
          <w:rFonts w:ascii="Times New Roman" w:hAnsi="Times New Roman" w:cs="Times New Roman"/>
          <w:b/>
          <w:bCs/>
        </w:rPr>
        <w:lastRenderedPageBreak/>
        <w:t>Záväzky Slovenskej republiky vo vzťahu k Európskej únii:</w:t>
      </w:r>
    </w:p>
    <w:p w14:paraId="11BC15ED" w14:textId="77777777" w:rsidR="00362B8D" w:rsidRPr="00181470" w:rsidRDefault="00362B8D" w:rsidP="00362B8D">
      <w:pPr>
        <w:tabs>
          <w:tab w:val="left" w:pos="360"/>
        </w:tabs>
        <w:ind w:left="425"/>
        <w:jc w:val="both"/>
        <w:rPr>
          <w:rFonts w:ascii="Times New Roman" w:hAnsi="Times New Roman" w:cs="Times New Roman"/>
          <w:b/>
          <w:bCs/>
        </w:rPr>
      </w:pPr>
    </w:p>
    <w:p w14:paraId="77189C0B" w14:textId="076AF1CE" w:rsidR="00532B42" w:rsidRDefault="00532B42" w:rsidP="00B648DC">
      <w:pPr>
        <w:pStyle w:val="Zkladntext"/>
        <w:numPr>
          <w:ilvl w:val="0"/>
          <w:numId w:val="5"/>
        </w:numPr>
        <w:tabs>
          <w:tab w:val="left" w:pos="360"/>
          <w:tab w:val="left" w:pos="540"/>
        </w:tabs>
        <w:spacing w:after="0"/>
        <w:jc w:val="both"/>
      </w:pPr>
      <w:r w:rsidRPr="006E74BA">
        <w:t xml:space="preserve">Lehota na prebratie </w:t>
      </w:r>
      <w:r w:rsidRPr="00F94322">
        <w:t>smernic</w:t>
      </w:r>
      <w:r w:rsidR="00E15CD6" w:rsidRPr="00F94322">
        <w:t>e</w:t>
      </w:r>
      <w:r w:rsidRPr="00F94322">
        <w:t xml:space="preserve"> </w:t>
      </w:r>
      <w:r w:rsidRPr="00F94322">
        <w:rPr>
          <w:bCs/>
          <w:color w:val="333333"/>
          <w:shd w:val="clear" w:color="auto" w:fill="FFFFFF"/>
        </w:rPr>
        <w:t>(EÚ)</w:t>
      </w:r>
      <w:r w:rsidRPr="003E3AE4">
        <w:rPr>
          <w:bCs/>
          <w:color w:val="333333"/>
          <w:shd w:val="clear" w:color="auto" w:fill="FFFFFF"/>
        </w:rPr>
        <w:t xml:space="preserve"> 2022/542</w:t>
      </w:r>
      <w:r>
        <w:rPr>
          <w:bCs/>
          <w:color w:val="333333"/>
          <w:shd w:val="clear" w:color="auto" w:fill="FFFFFF"/>
        </w:rPr>
        <w:t xml:space="preserve"> </w:t>
      </w:r>
      <w:r w:rsidRPr="006E74BA">
        <w:t>je stanovená do 31.12.202</w:t>
      </w:r>
      <w:r>
        <w:t>4</w:t>
      </w:r>
      <w:r w:rsidRPr="006E74BA">
        <w:t>.</w:t>
      </w:r>
    </w:p>
    <w:p w14:paraId="7D825554" w14:textId="3F6BC3AD" w:rsidR="00E3436B" w:rsidRDefault="00A5051A" w:rsidP="00532B42">
      <w:pPr>
        <w:pStyle w:val="Zkladntext"/>
        <w:tabs>
          <w:tab w:val="left" w:pos="360"/>
          <w:tab w:val="left" w:pos="540"/>
        </w:tabs>
        <w:spacing w:after="0"/>
        <w:ind w:left="785"/>
        <w:jc w:val="both"/>
      </w:pPr>
      <w:r w:rsidRPr="00F75C2B">
        <w:t>L</w:t>
      </w:r>
      <w:r w:rsidR="008203E4" w:rsidRPr="00F75C2B">
        <w:t>ehota na prebratie smernice</w:t>
      </w:r>
      <w:r w:rsidR="0019568B" w:rsidRPr="00F75C2B">
        <w:t xml:space="preserve"> </w:t>
      </w:r>
      <w:r w:rsidR="00BF03DA" w:rsidRPr="00F75C2B">
        <w:t>(EÚ) 2020/28</w:t>
      </w:r>
      <w:r w:rsidR="00E5013C" w:rsidRPr="00F75C2B">
        <w:t>5</w:t>
      </w:r>
      <w:r w:rsidR="008203E4" w:rsidRPr="00F75C2B">
        <w:t xml:space="preserve"> je stanovená do 3</w:t>
      </w:r>
      <w:r w:rsidR="00655547" w:rsidRPr="00F75C2B">
        <w:t>1</w:t>
      </w:r>
      <w:r w:rsidR="008203E4" w:rsidRPr="00F75C2B">
        <w:t>.12.</w:t>
      </w:r>
      <w:r w:rsidR="00655547" w:rsidRPr="00F75C2B">
        <w:t>202</w:t>
      </w:r>
      <w:r w:rsidR="00E5013C" w:rsidRPr="00F75C2B">
        <w:t>4</w:t>
      </w:r>
      <w:r w:rsidR="00522DFA" w:rsidRPr="00F75C2B">
        <w:t>.</w:t>
      </w:r>
    </w:p>
    <w:p w14:paraId="243E9CB7" w14:textId="0458BBBE" w:rsidR="00F75C2B" w:rsidRPr="00F75C2B" w:rsidRDefault="00F75C2B" w:rsidP="00532B42">
      <w:pPr>
        <w:pStyle w:val="Zkladntext"/>
        <w:tabs>
          <w:tab w:val="left" w:pos="360"/>
          <w:tab w:val="left" w:pos="540"/>
        </w:tabs>
        <w:spacing w:after="0"/>
        <w:ind w:left="785"/>
        <w:jc w:val="both"/>
      </w:pPr>
      <w:r>
        <w:t xml:space="preserve">Lehota na prebratie </w:t>
      </w:r>
      <w:r w:rsidRPr="00CE3A3A">
        <w:rPr>
          <w:rFonts w:ascii="Times" w:hAnsi="Times" w:cs="Times"/>
        </w:rPr>
        <w:t>smernic</w:t>
      </w:r>
      <w:r>
        <w:rPr>
          <w:rFonts w:ascii="Times" w:hAnsi="Times" w:cs="Times"/>
        </w:rPr>
        <w:t>e</w:t>
      </w:r>
      <w:r w:rsidRPr="00CE3A3A">
        <w:rPr>
          <w:rFonts w:ascii="Times" w:hAnsi="Times" w:cs="Times"/>
        </w:rPr>
        <w:t xml:space="preserve"> (EÚ) 2020/284</w:t>
      </w:r>
      <w:r>
        <w:rPr>
          <w:rFonts w:ascii="Times" w:hAnsi="Times" w:cs="Times"/>
        </w:rPr>
        <w:t xml:space="preserve"> bola stanovená do</w:t>
      </w:r>
      <w:r w:rsidR="0086056E">
        <w:rPr>
          <w:rFonts w:ascii="Times" w:hAnsi="Times" w:cs="Times"/>
        </w:rPr>
        <w:t xml:space="preserve"> 31.12.2023.</w:t>
      </w:r>
    </w:p>
    <w:p w14:paraId="355AD44D" w14:textId="4EAEB7A1" w:rsidR="00F75C2B" w:rsidRPr="00F75C2B" w:rsidRDefault="00F75C2B" w:rsidP="00532B42">
      <w:pPr>
        <w:pStyle w:val="Zkladntext"/>
        <w:tabs>
          <w:tab w:val="left" w:pos="360"/>
          <w:tab w:val="left" w:pos="540"/>
        </w:tabs>
        <w:spacing w:after="0"/>
        <w:ind w:left="785"/>
        <w:jc w:val="both"/>
      </w:pPr>
      <w:r w:rsidRPr="00F75C2B">
        <w:t xml:space="preserve">Lehota na prebratie </w:t>
      </w:r>
      <w:r w:rsidRPr="000E4CBD">
        <w:rPr>
          <w:rFonts w:ascii="Times" w:hAnsi="Times" w:cs="Times"/>
        </w:rPr>
        <w:t>smernica 2010/45/EÚ</w:t>
      </w:r>
      <w:r>
        <w:rPr>
          <w:rFonts w:ascii="Times" w:hAnsi="Times" w:cs="Times"/>
        </w:rPr>
        <w:t xml:space="preserve"> bola stanovená do 31.12.2012.</w:t>
      </w:r>
    </w:p>
    <w:p w14:paraId="647980FE" w14:textId="7AAE4026" w:rsidR="00532B42" w:rsidRPr="00F75C2B" w:rsidRDefault="00532B42" w:rsidP="00532B42">
      <w:pPr>
        <w:pStyle w:val="Zkladntext"/>
        <w:tabs>
          <w:tab w:val="left" w:pos="360"/>
          <w:tab w:val="left" w:pos="540"/>
        </w:tabs>
        <w:spacing w:after="0"/>
        <w:ind w:left="785"/>
        <w:jc w:val="both"/>
      </w:pPr>
      <w:r w:rsidRPr="00F75C2B">
        <w:t>Lehota na prebratie smernice 2006/112/ES bola stanovená do 1.1.2008.</w:t>
      </w:r>
    </w:p>
    <w:p w14:paraId="09DFE187" w14:textId="46E2B75C" w:rsidR="00F75C2B" w:rsidRPr="00F75C2B" w:rsidRDefault="00F75C2B" w:rsidP="00532B42">
      <w:pPr>
        <w:pStyle w:val="Zkladntext"/>
        <w:tabs>
          <w:tab w:val="left" w:pos="360"/>
          <w:tab w:val="left" w:pos="540"/>
        </w:tabs>
        <w:spacing w:after="0"/>
        <w:ind w:left="785"/>
        <w:jc w:val="both"/>
      </w:pPr>
      <w:r w:rsidRPr="00F75C2B">
        <w:t xml:space="preserve">Lehota na prebratie </w:t>
      </w:r>
      <w:r w:rsidRPr="000E4CBD">
        <w:rPr>
          <w:rFonts w:ascii="Times" w:hAnsi="Times" w:cs="Times"/>
        </w:rPr>
        <w:t xml:space="preserve">smernice 2008/9/ES bola stanovená do </w:t>
      </w:r>
      <w:r w:rsidR="0086056E">
        <w:rPr>
          <w:rFonts w:ascii="Times" w:hAnsi="Times" w:cs="Times"/>
        </w:rPr>
        <w:t>31.12.2009.</w:t>
      </w:r>
    </w:p>
    <w:p w14:paraId="72390C1B" w14:textId="4FB53F5F" w:rsidR="00912650" w:rsidRPr="006E74BA" w:rsidRDefault="00912650" w:rsidP="00532B42">
      <w:pPr>
        <w:pStyle w:val="Zkladntext"/>
        <w:tabs>
          <w:tab w:val="left" w:pos="360"/>
          <w:tab w:val="left" w:pos="540"/>
        </w:tabs>
        <w:spacing w:after="0"/>
        <w:ind w:left="785"/>
        <w:jc w:val="both"/>
      </w:pPr>
      <w:r w:rsidRPr="00F75C2B">
        <w:t>Lehota na prebratie čl. 3 smernice 2008/8/ES bola stanovená do 1.1.2011</w:t>
      </w:r>
      <w:r w:rsidRPr="00E522E4">
        <w:t>.</w:t>
      </w:r>
    </w:p>
    <w:p w14:paraId="0C108356" w14:textId="77777777" w:rsidR="00ED6F91" w:rsidRPr="006E74BA" w:rsidRDefault="0025749D" w:rsidP="00B648DC">
      <w:pPr>
        <w:pStyle w:val="Zkladntext"/>
        <w:numPr>
          <w:ilvl w:val="0"/>
          <w:numId w:val="5"/>
        </w:numPr>
        <w:tabs>
          <w:tab w:val="left" w:pos="360"/>
        </w:tabs>
        <w:spacing w:after="0"/>
        <w:jc w:val="both"/>
      </w:pPr>
      <w:r w:rsidRPr="006E74BA">
        <w:t>Proti S</w:t>
      </w:r>
      <w:r w:rsidR="003456A0" w:rsidRPr="006E74BA">
        <w:t xml:space="preserve">lovenskej republike </w:t>
      </w:r>
      <w:r w:rsidR="009D4299" w:rsidRPr="006E74BA">
        <w:t>ne</w:t>
      </w:r>
      <w:r w:rsidRPr="006E74BA">
        <w:t>bolo začaté konanie</w:t>
      </w:r>
      <w:r w:rsidR="00423F32" w:rsidRPr="006E74BA">
        <w:t xml:space="preserve"> v rámci „EÚ Pilot“, ani nebol začatý postup EK ako aj nebolo začaté konanie Súdneho dvora EÚ proti SR</w:t>
      </w:r>
      <w:r w:rsidR="00B47BE8" w:rsidRPr="006E74BA">
        <w:t xml:space="preserve"> </w:t>
      </w:r>
      <w:r w:rsidRPr="006E74BA">
        <w:t>podľa čl. 258 až 260 Zmluvy o fungovaní Európskej únie</w:t>
      </w:r>
      <w:r w:rsidR="00ED6F91" w:rsidRPr="006E74BA">
        <w:t>.</w:t>
      </w:r>
    </w:p>
    <w:p w14:paraId="708B2B9E" w14:textId="2C212D15" w:rsidR="00B648DC" w:rsidRPr="00F94322" w:rsidRDefault="00655547" w:rsidP="00E15CD6">
      <w:pPr>
        <w:pStyle w:val="Zkladntext"/>
        <w:numPr>
          <w:ilvl w:val="0"/>
          <w:numId w:val="5"/>
        </w:numPr>
        <w:tabs>
          <w:tab w:val="left" w:pos="360"/>
        </w:tabs>
        <w:spacing w:after="0"/>
        <w:jc w:val="both"/>
      </w:pPr>
      <w:r w:rsidRPr="00F94322">
        <w:t>S</w:t>
      </w:r>
      <w:r w:rsidR="0019568B" w:rsidRPr="00F94322">
        <w:t>mernic</w:t>
      </w:r>
      <w:r w:rsidRPr="00F94322">
        <w:t>a</w:t>
      </w:r>
      <w:r w:rsidR="0019568B" w:rsidRPr="00F94322">
        <w:t xml:space="preserve"> </w:t>
      </w:r>
      <w:r w:rsidR="00BF03DA" w:rsidRPr="00F94322">
        <w:t>20</w:t>
      </w:r>
      <w:r w:rsidR="00F561EA" w:rsidRPr="00F94322">
        <w:t xml:space="preserve">06/112/ES </w:t>
      </w:r>
      <w:r w:rsidR="00BF03DA" w:rsidRPr="00F94322">
        <w:t>je</w:t>
      </w:r>
      <w:r w:rsidR="007D0443" w:rsidRPr="00F94322">
        <w:t xml:space="preserve"> prebrat</w:t>
      </w:r>
      <w:r w:rsidR="00AF55A3" w:rsidRPr="00F94322">
        <w:t>á</w:t>
      </w:r>
      <w:r w:rsidR="007D0443" w:rsidRPr="00F94322">
        <w:t xml:space="preserve"> do z</w:t>
      </w:r>
      <w:r w:rsidR="007964E5" w:rsidRPr="00F94322">
        <w:t>ákon</w:t>
      </w:r>
      <w:r w:rsidR="007D0443" w:rsidRPr="00F94322">
        <w:t>a</w:t>
      </w:r>
      <w:r w:rsidR="007964E5" w:rsidRPr="00F94322">
        <w:t xml:space="preserve"> č. 222/2004 Z. z. o dani z pridanej hodnoty v znení neskorších predpisov</w:t>
      </w:r>
      <w:r w:rsidR="00F561EA" w:rsidRPr="00F94322">
        <w:t>.</w:t>
      </w:r>
    </w:p>
    <w:p w14:paraId="19919CB9" w14:textId="04542463" w:rsidR="00912650" w:rsidRDefault="00912650" w:rsidP="00912650">
      <w:pPr>
        <w:pStyle w:val="Zkladntext"/>
        <w:tabs>
          <w:tab w:val="left" w:pos="360"/>
        </w:tabs>
        <w:spacing w:after="0"/>
        <w:ind w:left="785"/>
        <w:jc w:val="both"/>
      </w:pPr>
      <w:r w:rsidRPr="004338B9">
        <w:t xml:space="preserve">Smernica </w:t>
      </w:r>
      <w:r w:rsidRPr="004338B9">
        <w:rPr>
          <w:bCs/>
          <w:color w:val="333333"/>
          <w:shd w:val="clear" w:color="auto" w:fill="FFFFFF"/>
        </w:rPr>
        <w:t xml:space="preserve">2008/8/ES </w:t>
      </w:r>
      <w:r w:rsidRPr="004338B9">
        <w:t>je prebratá do zákona č. 222/2004 Z. z. o dani z pridanej hodnoty v znení neskorších predpisov.</w:t>
      </w:r>
    </w:p>
    <w:p w14:paraId="169161B5" w14:textId="6BD39D57" w:rsidR="0086056E" w:rsidRDefault="0086056E" w:rsidP="0086056E">
      <w:pPr>
        <w:pStyle w:val="Zkladntext"/>
        <w:tabs>
          <w:tab w:val="left" w:pos="360"/>
        </w:tabs>
        <w:spacing w:after="0"/>
        <w:ind w:left="785"/>
        <w:jc w:val="both"/>
      </w:pPr>
      <w:r w:rsidRPr="004338B9">
        <w:t xml:space="preserve">Smernica </w:t>
      </w:r>
      <w:r>
        <w:rPr>
          <w:bCs/>
          <w:color w:val="333333"/>
          <w:shd w:val="clear" w:color="auto" w:fill="FFFFFF"/>
        </w:rPr>
        <w:t>2008/9</w:t>
      </w:r>
      <w:r w:rsidRPr="004338B9">
        <w:rPr>
          <w:bCs/>
          <w:color w:val="333333"/>
          <w:shd w:val="clear" w:color="auto" w:fill="FFFFFF"/>
        </w:rPr>
        <w:t xml:space="preserve">/ES </w:t>
      </w:r>
      <w:r w:rsidRPr="004338B9">
        <w:t>je prebratá do zákona č. 222/2004 Z. z. o dani z pridanej hodnoty v znení neskorších predpisov.</w:t>
      </w:r>
    </w:p>
    <w:p w14:paraId="3539C8B4" w14:textId="54237F90" w:rsidR="0086056E" w:rsidRDefault="0086056E" w:rsidP="0086056E">
      <w:pPr>
        <w:pStyle w:val="Zkladntext"/>
        <w:tabs>
          <w:tab w:val="left" w:pos="360"/>
        </w:tabs>
        <w:spacing w:after="0"/>
        <w:ind w:left="785"/>
        <w:jc w:val="both"/>
      </w:pPr>
      <w:r w:rsidRPr="004338B9">
        <w:t xml:space="preserve">Smernica </w:t>
      </w:r>
      <w:r w:rsidRPr="004338B9">
        <w:rPr>
          <w:bCs/>
          <w:color w:val="333333"/>
          <w:shd w:val="clear" w:color="auto" w:fill="FFFFFF"/>
        </w:rPr>
        <w:t>20</w:t>
      </w:r>
      <w:r>
        <w:rPr>
          <w:bCs/>
          <w:color w:val="333333"/>
          <w:shd w:val="clear" w:color="auto" w:fill="FFFFFF"/>
        </w:rPr>
        <w:t>10</w:t>
      </w:r>
      <w:r w:rsidRPr="004338B9">
        <w:rPr>
          <w:bCs/>
          <w:color w:val="333333"/>
          <w:shd w:val="clear" w:color="auto" w:fill="FFFFFF"/>
        </w:rPr>
        <w:t>/</w:t>
      </w:r>
      <w:r>
        <w:rPr>
          <w:bCs/>
          <w:color w:val="333333"/>
          <w:shd w:val="clear" w:color="auto" w:fill="FFFFFF"/>
        </w:rPr>
        <w:t>45/EÚ</w:t>
      </w:r>
      <w:r w:rsidRPr="004338B9">
        <w:rPr>
          <w:bCs/>
          <w:color w:val="333333"/>
          <w:shd w:val="clear" w:color="auto" w:fill="FFFFFF"/>
        </w:rPr>
        <w:t xml:space="preserve"> </w:t>
      </w:r>
      <w:r w:rsidRPr="004338B9">
        <w:t>je prebratá do zákona č. 222/2004 Z. z. o dani z pridanej hodnoty v znení neskorších predpisov.</w:t>
      </w:r>
    </w:p>
    <w:p w14:paraId="65D84334" w14:textId="52008485" w:rsidR="0086056E" w:rsidRPr="004338B9" w:rsidRDefault="0086056E" w:rsidP="0086056E">
      <w:pPr>
        <w:pStyle w:val="Zkladntext"/>
        <w:tabs>
          <w:tab w:val="left" w:pos="360"/>
        </w:tabs>
        <w:spacing w:after="0"/>
        <w:ind w:left="785"/>
        <w:jc w:val="both"/>
      </w:pPr>
      <w:r w:rsidRPr="004338B9">
        <w:t xml:space="preserve">Smernica </w:t>
      </w:r>
      <w:r>
        <w:rPr>
          <w:bCs/>
          <w:color w:val="333333"/>
          <w:shd w:val="clear" w:color="auto" w:fill="FFFFFF"/>
        </w:rPr>
        <w:t>2020</w:t>
      </w:r>
      <w:r w:rsidRPr="004338B9">
        <w:rPr>
          <w:bCs/>
          <w:color w:val="333333"/>
          <w:shd w:val="clear" w:color="auto" w:fill="FFFFFF"/>
        </w:rPr>
        <w:t>/</w:t>
      </w:r>
      <w:r>
        <w:rPr>
          <w:bCs/>
          <w:color w:val="333333"/>
          <w:shd w:val="clear" w:color="auto" w:fill="FFFFFF"/>
        </w:rPr>
        <w:t>284</w:t>
      </w:r>
      <w:r w:rsidRPr="004338B9">
        <w:rPr>
          <w:bCs/>
          <w:color w:val="333333"/>
          <w:shd w:val="clear" w:color="auto" w:fill="FFFFFF"/>
        </w:rPr>
        <w:t xml:space="preserve">/ES </w:t>
      </w:r>
      <w:r w:rsidRPr="004338B9">
        <w:t>je prebratá do zákona č. 222/2004 Z. z. o dani z pridanej hodnoty v znení neskorších predpisov</w:t>
      </w:r>
      <w:r>
        <w:t xml:space="preserve"> (s účinnosťou od 1.1.2024)</w:t>
      </w:r>
      <w:r w:rsidRPr="004338B9">
        <w:t>.</w:t>
      </w:r>
    </w:p>
    <w:p w14:paraId="70E1A0A9" w14:textId="77777777" w:rsidR="0086056E" w:rsidRPr="004338B9" w:rsidRDefault="0086056E" w:rsidP="0086056E">
      <w:pPr>
        <w:pStyle w:val="Zkladntext"/>
        <w:tabs>
          <w:tab w:val="left" w:pos="360"/>
        </w:tabs>
        <w:spacing w:after="0"/>
        <w:ind w:left="785"/>
        <w:jc w:val="both"/>
      </w:pPr>
    </w:p>
    <w:p w14:paraId="26154123" w14:textId="77777777" w:rsidR="005E68BC" w:rsidRDefault="005E68BC" w:rsidP="005E68BC">
      <w:pPr>
        <w:pStyle w:val="Zkladntext"/>
        <w:tabs>
          <w:tab w:val="left" w:pos="360"/>
        </w:tabs>
        <w:spacing w:after="0"/>
        <w:ind w:left="785"/>
        <w:jc w:val="both"/>
      </w:pPr>
    </w:p>
    <w:p w14:paraId="36F1DA42" w14:textId="77777777" w:rsidR="00ED6F91" w:rsidRPr="00181470" w:rsidRDefault="00CE4115" w:rsidP="00B648DC">
      <w:pPr>
        <w:pStyle w:val="Odsekzoznamu"/>
        <w:numPr>
          <w:ilvl w:val="0"/>
          <w:numId w:val="1"/>
        </w:numPr>
        <w:tabs>
          <w:tab w:val="left" w:pos="360"/>
        </w:tabs>
        <w:jc w:val="both"/>
        <w:rPr>
          <w:b/>
          <w:bCs/>
        </w:rPr>
      </w:pPr>
      <w:r w:rsidRPr="00181470">
        <w:rPr>
          <w:b/>
          <w:bCs/>
        </w:rPr>
        <w:t>Návrh</w:t>
      </w:r>
      <w:r w:rsidR="00ED6F91" w:rsidRPr="00181470">
        <w:rPr>
          <w:b/>
          <w:bCs/>
        </w:rPr>
        <w:t xml:space="preserve"> zákona</w:t>
      </w:r>
      <w:r w:rsidRPr="00181470">
        <w:rPr>
          <w:b/>
          <w:bCs/>
        </w:rPr>
        <w:t xml:space="preserve"> je zlučiteľný</w:t>
      </w:r>
      <w:r w:rsidR="00ED6F91" w:rsidRPr="00181470">
        <w:rPr>
          <w:b/>
          <w:bCs/>
        </w:rPr>
        <w:t xml:space="preserve"> s právom Európskej únie:</w:t>
      </w:r>
    </w:p>
    <w:p w14:paraId="774EEF5D" w14:textId="77777777" w:rsidR="00CC3ADA" w:rsidRPr="00181470" w:rsidRDefault="00CC3ADA" w:rsidP="00B648DC">
      <w:pPr>
        <w:pStyle w:val="Odsekzoznamu"/>
        <w:tabs>
          <w:tab w:val="left" w:pos="360"/>
        </w:tabs>
        <w:ind w:left="425"/>
        <w:jc w:val="both"/>
        <w:rPr>
          <w:b/>
          <w:bCs/>
        </w:rPr>
      </w:pPr>
    </w:p>
    <w:p w14:paraId="2A41B760" w14:textId="77777777" w:rsidR="00CC3ADA" w:rsidRPr="00181470" w:rsidRDefault="00CE4115" w:rsidP="00B648DC">
      <w:pPr>
        <w:pStyle w:val="Odsekzoznamu"/>
        <w:tabs>
          <w:tab w:val="left" w:pos="360"/>
        </w:tabs>
        <w:ind w:left="425"/>
        <w:jc w:val="both"/>
        <w:rPr>
          <w:bCs/>
        </w:rPr>
      </w:pPr>
      <w:r w:rsidRPr="00181470">
        <w:rPr>
          <w:bCs/>
        </w:rPr>
        <w:t>Ú</w:t>
      </w:r>
      <w:r w:rsidR="00CC3ADA" w:rsidRPr="00181470">
        <w:rPr>
          <w:bCs/>
        </w:rPr>
        <w:t>pln</w:t>
      </w:r>
      <w:r w:rsidRPr="00181470">
        <w:rPr>
          <w:bCs/>
        </w:rPr>
        <w:t>e</w:t>
      </w:r>
      <w:r w:rsidR="002074CF" w:rsidRPr="00181470">
        <w:rPr>
          <w:bCs/>
        </w:rPr>
        <w:t>.</w:t>
      </w:r>
    </w:p>
    <w:sectPr w:rsidR="00CC3ADA" w:rsidRPr="00181470" w:rsidSect="00DC1DF2">
      <w:footerReference w:type="even" r:id="rId8"/>
      <w:footerReference w:type="default" r:id="rId9"/>
      <w:pgSz w:w="11906" w:h="16838" w:code="9"/>
      <w:pgMar w:top="1191" w:right="1191" w:bottom="1191" w:left="119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3A50" w14:textId="77777777" w:rsidR="00477350" w:rsidRDefault="00477350">
      <w:r>
        <w:separator/>
      </w:r>
    </w:p>
  </w:endnote>
  <w:endnote w:type="continuationSeparator" w:id="0">
    <w:p w14:paraId="2EA3233F" w14:textId="77777777" w:rsidR="00477350" w:rsidRDefault="0047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1F8F0" w14:textId="77777777" w:rsidR="00CC3ADA" w:rsidRDefault="00CC3ADA" w:rsidP="001978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EC7EC19" w14:textId="77777777" w:rsidR="00CC3ADA" w:rsidRDefault="00CC3ADA" w:rsidP="0019789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05637"/>
      <w:docPartObj>
        <w:docPartGallery w:val="Page Numbers (Bottom of Page)"/>
        <w:docPartUnique/>
      </w:docPartObj>
    </w:sdtPr>
    <w:sdtEndPr/>
    <w:sdtContent>
      <w:p w14:paraId="7C6384B4" w14:textId="025DE0ED" w:rsidR="000A13A4" w:rsidRDefault="000A13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F1">
          <w:rPr>
            <w:noProof/>
          </w:rPr>
          <w:t>3</w:t>
        </w:r>
        <w:r>
          <w:fldChar w:fldCharType="end"/>
        </w:r>
      </w:p>
    </w:sdtContent>
  </w:sdt>
  <w:p w14:paraId="0054A3E4" w14:textId="77777777" w:rsidR="00CC3ADA" w:rsidRDefault="00CC3ADA" w:rsidP="0019789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1B170" w14:textId="77777777" w:rsidR="00477350" w:rsidRDefault="00477350">
      <w:r>
        <w:separator/>
      </w:r>
    </w:p>
  </w:footnote>
  <w:footnote w:type="continuationSeparator" w:id="0">
    <w:p w14:paraId="01C9F88D" w14:textId="77777777" w:rsidR="00477350" w:rsidRDefault="0047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4.4pt" o:bullet="t">
        <v:imagedata r:id="rId1" o:title="bull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193146C"/>
    <w:multiLevelType w:val="hybridMultilevel"/>
    <w:tmpl w:val="44528930"/>
    <w:lvl w:ilvl="0" w:tplc="041B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749197D"/>
    <w:multiLevelType w:val="multilevel"/>
    <w:tmpl w:val="10FA859E"/>
    <w:lvl w:ilvl="0">
      <w:start w:val="6"/>
      <w:numFmt w:val="bullet"/>
      <w:lvlText w:val="-"/>
      <w:lvlJc w:val="left"/>
      <w:pPr>
        <w:ind w:left="993" w:hanging="425"/>
      </w:pPr>
      <w:rPr>
        <w:rFonts w:ascii="Times New Roman" w:eastAsia="Times New Roman" w:hAnsi="Times New Roman" w:hint="default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1418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843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5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5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6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7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8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91" w:hanging="708"/>
      </w:p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D2169"/>
    <w:multiLevelType w:val="hybridMultilevel"/>
    <w:tmpl w:val="435C7804"/>
    <w:lvl w:ilvl="0" w:tplc="04B4E764">
      <w:start w:val="2"/>
      <w:numFmt w:val="decimal"/>
      <w:lvlText w:val="%1."/>
      <w:lvlJc w:val="left"/>
      <w:pPr>
        <w:ind w:left="720" w:hanging="360"/>
      </w:pPr>
      <w:rPr>
        <w:rFonts w:cs="Arial Narrow" w:hint="default"/>
        <w:u w:val="none"/>
      </w:rPr>
    </w:lvl>
    <w:lvl w:ilvl="1" w:tplc="0C0C94D6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DA7A3A"/>
    <w:multiLevelType w:val="hybridMultilevel"/>
    <w:tmpl w:val="A2C008CA"/>
    <w:lvl w:ilvl="0" w:tplc="CCCEB200">
      <w:start w:val="6"/>
      <w:numFmt w:val="bullet"/>
      <w:lvlText w:val="-"/>
      <w:lvlJc w:val="left"/>
      <w:pPr>
        <w:ind w:left="162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56204527"/>
    <w:multiLevelType w:val="hybridMultilevel"/>
    <w:tmpl w:val="574A07BE"/>
    <w:lvl w:ilvl="0" w:tplc="CCCEB20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9B77D4"/>
    <w:multiLevelType w:val="multilevel"/>
    <w:tmpl w:val="D4E25A3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b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</w:lvl>
  </w:abstractNum>
  <w:abstractNum w:abstractNumId="9" w15:restartNumberingAfterBreak="0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3196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 w15:restartNumberingAfterBreak="0">
    <w:nsid w:val="7C09451C"/>
    <w:multiLevelType w:val="multilevel"/>
    <w:tmpl w:val="FC5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06BC2"/>
    <w:multiLevelType w:val="multilevel"/>
    <w:tmpl w:val="70D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91"/>
    <w:rsid w:val="00000627"/>
    <w:rsid w:val="0000109A"/>
    <w:rsid w:val="000076A9"/>
    <w:rsid w:val="000123E9"/>
    <w:rsid w:val="00012948"/>
    <w:rsid w:val="00014782"/>
    <w:rsid w:val="00025ED5"/>
    <w:rsid w:val="00030077"/>
    <w:rsid w:val="00046C33"/>
    <w:rsid w:val="00054061"/>
    <w:rsid w:val="000644A2"/>
    <w:rsid w:val="00086349"/>
    <w:rsid w:val="00086851"/>
    <w:rsid w:val="00087337"/>
    <w:rsid w:val="000A13A4"/>
    <w:rsid w:val="000A5314"/>
    <w:rsid w:val="000B0C86"/>
    <w:rsid w:val="000C755E"/>
    <w:rsid w:val="000D3A05"/>
    <w:rsid w:val="000E4CBD"/>
    <w:rsid w:val="000F792F"/>
    <w:rsid w:val="0010177A"/>
    <w:rsid w:val="00106F2D"/>
    <w:rsid w:val="00111D33"/>
    <w:rsid w:val="00112A40"/>
    <w:rsid w:val="00121568"/>
    <w:rsid w:val="00121C8D"/>
    <w:rsid w:val="0013508C"/>
    <w:rsid w:val="001522A5"/>
    <w:rsid w:val="00161DDC"/>
    <w:rsid w:val="001664F5"/>
    <w:rsid w:val="00166969"/>
    <w:rsid w:val="00176C55"/>
    <w:rsid w:val="00181470"/>
    <w:rsid w:val="00190FC0"/>
    <w:rsid w:val="001918F5"/>
    <w:rsid w:val="00193476"/>
    <w:rsid w:val="0019568B"/>
    <w:rsid w:val="0019573E"/>
    <w:rsid w:val="00197472"/>
    <w:rsid w:val="0019789C"/>
    <w:rsid w:val="001A0EA4"/>
    <w:rsid w:val="001A3F0B"/>
    <w:rsid w:val="001A6184"/>
    <w:rsid w:val="001B0176"/>
    <w:rsid w:val="001B1195"/>
    <w:rsid w:val="001B5F74"/>
    <w:rsid w:val="001C0481"/>
    <w:rsid w:val="001C19A1"/>
    <w:rsid w:val="001C3657"/>
    <w:rsid w:val="001C7871"/>
    <w:rsid w:val="001D3990"/>
    <w:rsid w:val="001E2193"/>
    <w:rsid w:val="001E28D3"/>
    <w:rsid w:val="001E31DC"/>
    <w:rsid w:val="001E7F86"/>
    <w:rsid w:val="001F3CF3"/>
    <w:rsid w:val="001F4E0C"/>
    <w:rsid w:val="001F554F"/>
    <w:rsid w:val="001F55CF"/>
    <w:rsid w:val="00201D26"/>
    <w:rsid w:val="002062AB"/>
    <w:rsid w:val="002074CF"/>
    <w:rsid w:val="00216A4A"/>
    <w:rsid w:val="002243BD"/>
    <w:rsid w:val="0022751F"/>
    <w:rsid w:val="00232106"/>
    <w:rsid w:val="0024073C"/>
    <w:rsid w:val="00244387"/>
    <w:rsid w:val="002540E8"/>
    <w:rsid w:val="0025749D"/>
    <w:rsid w:val="00267379"/>
    <w:rsid w:val="002719B4"/>
    <w:rsid w:val="00272618"/>
    <w:rsid w:val="00275CD7"/>
    <w:rsid w:val="00283F26"/>
    <w:rsid w:val="002865EC"/>
    <w:rsid w:val="00287D0F"/>
    <w:rsid w:val="00293A0E"/>
    <w:rsid w:val="002A0B41"/>
    <w:rsid w:val="002A37C5"/>
    <w:rsid w:val="002A42A2"/>
    <w:rsid w:val="002C467A"/>
    <w:rsid w:val="002C6DA7"/>
    <w:rsid w:val="002D26AA"/>
    <w:rsid w:val="002D33C4"/>
    <w:rsid w:val="002D3E61"/>
    <w:rsid w:val="002E0191"/>
    <w:rsid w:val="00312E67"/>
    <w:rsid w:val="00323322"/>
    <w:rsid w:val="0032661B"/>
    <w:rsid w:val="00330914"/>
    <w:rsid w:val="003321B0"/>
    <w:rsid w:val="0034386E"/>
    <w:rsid w:val="003456A0"/>
    <w:rsid w:val="0035021B"/>
    <w:rsid w:val="003550B7"/>
    <w:rsid w:val="00362B8D"/>
    <w:rsid w:val="003765D1"/>
    <w:rsid w:val="00387C38"/>
    <w:rsid w:val="003A7AE4"/>
    <w:rsid w:val="003C5EB0"/>
    <w:rsid w:val="003C6BB6"/>
    <w:rsid w:val="003D6923"/>
    <w:rsid w:val="003D7173"/>
    <w:rsid w:val="003E3AE4"/>
    <w:rsid w:val="003E3DB6"/>
    <w:rsid w:val="003E3E82"/>
    <w:rsid w:val="003E580E"/>
    <w:rsid w:val="00405305"/>
    <w:rsid w:val="004057D4"/>
    <w:rsid w:val="00417B76"/>
    <w:rsid w:val="00421D37"/>
    <w:rsid w:val="00422083"/>
    <w:rsid w:val="004220D4"/>
    <w:rsid w:val="00423F32"/>
    <w:rsid w:val="004306E4"/>
    <w:rsid w:val="00431B3A"/>
    <w:rsid w:val="004338B9"/>
    <w:rsid w:val="00442492"/>
    <w:rsid w:val="0045408A"/>
    <w:rsid w:val="004547BE"/>
    <w:rsid w:val="004732CE"/>
    <w:rsid w:val="004752C9"/>
    <w:rsid w:val="00477350"/>
    <w:rsid w:val="00482113"/>
    <w:rsid w:val="00483D23"/>
    <w:rsid w:val="0049159F"/>
    <w:rsid w:val="00491F99"/>
    <w:rsid w:val="004943D5"/>
    <w:rsid w:val="00496CBB"/>
    <w:rsid w:val="004A518F"/>
    <w:rsid w:val="004B3B4E"/>
    <w:rsid w:val="004C4A91"/>
    <w:rsid w:val="004C61C4"/>
    <w:rsid w:val="004E35AA"/>
    <w:rsid w:val="004F6370"/>
    <w:rsid w:val="004F74A9"/>
    <w:rsid w:val="00513C44"/>
    <w:rsid w:val="00522DFA"/>
    <w:rsid w:val="005250CE"/>
    <w:rsid w:val="00525CD1"/>
    <w:rsid w:val="00532B42"/>
    <w:rsid w:val="005338AF"/>
    <w:rsid w:val="00554A9F"/>
    <w:rsid w:val="0058023E"/>
    <w:rsid w:val="00583B4D"/>
    <w:rsid w:val="00586261"/>
    <w:rsid w:val="00596332"/>
    <w:rsid w:val="005B6995"/>
    <w:rsid w:val="005C4364"/>
    <w:rsid w:val="005C797B"/>
    <w:rsid w:val="005D34AF"/>
    <w:rsid w:val="005D3AB9"/>
    <w:rsid w:val="005D7B93"/>
    <w:rsid w:val="005E68BC"/>
    <w:rsid w:val="005E6D74"/>
    <w:rsid w:val="005F3542"/>
    <w:rsid w:val="005F4B42"/>
    <w:rsid w:val="005F7E82"/>
    <w:rsid w:val="00603ED7"/>
    <w:rsid w:val="00604640"/>
    <w:rsid w:val="00610F3B"/>
    <w:rsid w:val="0062538C"/>
    <w:rsid w:val="006266E0"/>
    <w:rsid w:val="006364DD"/>
    <w:rsid w:val="006404AD"/>
    <w:rsid w:val="00640B06"/>
    <w:rsid w:val="006544B5"/>
    <w:rsid w:val="00655547"/>
    <w:rsid w:val="006651FC"/>
    <w:rsid w:val="00672B49"/>
    <w:rsid w:val="006868A7"/>
    <w:rsid w:val="0069524A"/>
    <w:rsid w:val="00697DDD"/>
    <w:rsid w:val="006A4EF4"/>
    <w:rsid w:val="006B206F"/>
    <w:rsid w:val="006C38FC"/>
    <w:rsid w:val="006E30D6"/>
    <w:rsid w:val="006E74BA"/>
    <w:rsid w:val="006F4200"/>
    <w:rsid w:val="0071645E"/>
    <w:rsid w:val="007164BF"/>
    <w:rsid w:val="007172FB"/>
    <w:rsid w:val="00721380"/>
    <w:rsid w:val="007277C0"/>
    <w:rsid w:val="00732D0F"/>
    <w:rsid w:val="00757F6F"/>
    <w:rsid w:val="00774E0B"/>
    <w:rsid w:val="00776F43"/>
    <w:rsid w:val="00781E5B"/>
    <w:rsid w:val="00790236"/>
    <w:rsid w:val="007964E5"/>
    <w:rsid w:val="00797641"/>
    <w:rsid w:val="007A164A"/>
    <w:rsid w:val="007A4ABF"/>
    <w:rsid w:val="007B5D48"/>
    <w:rsid w:val="007C0B27"/>
    <w:rsid w:val="007C1094"/>
    <w:rsid w:val="007D0443"/>
    <w:rsid w:val="007D047F"/>
    <w:rsid w:val="007F198C"/>
    <w:rsid w:val="007F78D4"/>
    <w:rsid w:val="007F792C"/>
    <w:rsid w:val="0080216E"/>
    <w:rsid w:val="00815440"/>
    <w:rsid w:val="008170C8"/>
    <w:rsid w:val="00817E6D"/>
    <w:rsid w:val="008203E4"/>
    <w:rsid w:val="008248B5"/>
    <w:rsid w:val="00845BEF"/>
    <w:rsid w:val="00846A75"/>
    <w:rsid w:val="0086056E"/>
    <w:rsid w:val="008664C6"/>
    <w:rsid w:val="008674D3"/>
    <w:rsid w:val="008730C2"/>
    <w:rsid w:val="008827AE"/>
    <w:rsid w:val="008830BA"/>
    <w:rsid w:val="00891342"/>
    <w:rsid w:val="008928A9"/>
    <w:rsid w:val="00893A02"/>
    <w:rsid w:val="008A4E3A"/>
    <w:rsid w:val="008B0368"/>
    <w:rsid w:val="008B3369"/>
    <w:rsid w:val="008B56D1"/>
    <w:rsid w:val="008C6C83"/>
    <w:rsid w:val="00902F77"/>
    <w:rsid w:val="009075CB"/>
    <w:rsid w:val="00911977"/>
    <w:rsid w:val="00912650"/>
    <w:rsid w:val="009176F0"/>
    <w:rsid w:val="0092017E"/>
    <w:rsid w:val="00925F9D"/>
    <w:rsid w:val="009272E5"/>
    <w:rsid w:val="009303A6"/>
    <w:rsid w:val="0094087E"/>
    <w:rsid w:val="00947814"/>
    <w:rsid w:val="00960664"/>
    <w:rsid w:val="009643F5"/>
    <w:rsid w:val="009666D2"/>
    <w:rsid w:val="009769D0"/>
    <w:rsid w:val="00980020"/>
    <w:rsid w:val="00981B1A"/>
    <w:rsid w:val="0098412F"/>
    <w:rsid w:val="0098563A"/>
    <w:rsid w:val="00987FE9"/>
    <w:rsid w:val="00997F82"/>
    <w:rsid w:val="009A3CF7"/>
    <w:rsid w:val="009A6B70"/>
    <w:rsid w:val="009A7224"/>
    <w:rsid w:val="009B0FDE"/>
    <w:rsid w:val="009B26C3"/>
    <w:rsid w:val="009B6720"/>
    <w:rsid w:val="009B7FFD"/>
    <w:rsid w:val="009C163F"/>
    <w:rsid w:val="009C221A"/>
    <w:rsid w:val="009D17B5"/>
    <w:rsid w:val="009D4299"/>
    <w:rsid w:val="009D5CF1"/>
    <w:rsid w:val="009E1AF9"/>
    <w:rsid w:val="009F1C17"/>
    <w:rsid w:val="00A023E4"/>
    <w:rsid w:val="00A07395"/>
    <w:rsid w:val="00A07632"/>
    <w:rsid w:val="00A36959"/>
    <w:rsid w:val="00A40FB1"/>
    <w:rsid w:val="00A5051A"/>
    <w:rsid w:val="00A52A8A"/>
    <w:rsid w:val="00A60728"/>
    <w:rsid w:val="00A6226C"/>
    <w:rsid w:val="00A65382"/>
    <w:rsid w:val="00A7300A"/>
    <w:rsid w:val="00A806B1"/>
    <w:rsid w:val="00A844E3"/>
    <w:rsid w:val="00A87643"/>
    <w:rsid w:val="00A97AF9"/>
    <w:rsid w:val="00AA206F"/>
    <w:rsid w:val="00AA25B8"/>
    <w:rsid w:val="00AA641B"/>
    <w:rsid w:val="00AB1CCC"/>
    <w:rsid w:val="00AB1EDF"/>
    <w:rsid w:val="00AB4B6C"/>
    <w:rsid w:val="00AC4875"/>
    <w:rsid w:val="00AC7789"/>
    <w:rsid w:val="00AD5A62"/>
    <w:rsid w:val="00AE0886"/>
    <w:rsid w:val="00AE1628"/>
    <w:rsid w:val="00AE2BD8"/>
    <w:rsid w:val="00AE2F0D"/>
    <w:rsid w:val="00AE42F5"/>
    <w:rsid w:val="00AF385F"/>
    <w:rsid w:val="00AF55A3"/>
    <w:rsid w:val="00AF7C8C"/>
    <w:rsid w:val="00B03964"/>
    <w:rsid w:val="00B07A9F"/>
    <w:rsid w:val="00B32AF9"/>
    <w:rsid w:val="00B4216E"/>
    <w:rsid w:val="00B440BA"/>
    <w:rsid w:val="00B46875"/>
    <w:rsid w:val="00B47151"/>
    <w:rsid w:val="00B47BE8"/>
    <w:rsid w:val="00B550E2"/>
    <w:rsid w:val="00B55479"/>
    <w:rsid w:val="00B648DC"/>
    <w:rsid w:val="00B67B9A"/>
    <w:rsid w:val="00B735CB"/>
    <w:rsid w:val="00B76EA1"/>
    <w:rsid w:val="00B97038"/>
    <w:rsid w:val="00BA1052"/>
    <w:rsid w:val="00BB3A4A"/>
    <w:rsid w:val="00BB5203"/>
    <w:rsid w:val="00BD16DE"/>
    <w:rsid w:val="00BD5BE5"/>
    <w:rsid w:val="00BE0846"/>
    <w:rsid w:val="00BE4F19"/>
    <w:rsid w:val="00BF03DA"/>
    <w:rsid w:val="00BF604A"/>
    <w:rsid w:val="00C0389F"/>
    <w:rsid w:val="00C04413"/>
    <w:rsid w:val="00C271CD"/>
    <w:rsid w:val="00C3032E"/>
    <w:rsid w:val="00C30F8B"/>
    <w:rsid w:val="00C34205"/>
    <w:rsid w:val="00C42D69"/>
    <w:rsid w:val="00C47467"/>
    <w:rsid w:val="00C57C0B"/>
    <w:rsid w:val="00C63A39"/>
    <w:rsid w:val="00C70CBA"/>
    <w:rsid w:val="00CA6412"/>
    <w:rsid w:val="00CB22E4"/>
    <w:rsid w:val="00CB3E76"/>
    <w:rsid w:val="00CC3ADA"/>
    <w:rsid w:val="00CC7F6A"/>
    <w:rsid w:val="00CE4115"/>
    <w:rsid w:val="00CF6E86"/>
    <w:rsid w:val="00D04096"/>
    <w:rsid w:val="00D11007"/>
    <w:rsid w:val="00D122DC"/>
    <w:rsid w:val="00D33058"/>
    <w:rsid w:val="00D45DB3"/>
    <w:rsid w:val="00D45FE4"/>
    <w:rsid w:val="00D46A83"/>
    <w:rsid w:val="00D504C2"/>
    <w:rsid w:val="00D517AD"/>
    <w:rsid w:val="00D53D52"/>
    <w:rsid w:val="00D6260F"/>
    <w:rsid w:val="00D64D69"/>
    <w:rsid w:val="00D71DA9"/>
    <w:rsid w:val="00D741D4"/>
    <w:rsid w:val="00D76C11"/>
    <w:rsid w:val="00D80A3F"/>
    <w:rsid w:val="00D87659"/>
    <w:rsid w:val="00D91CBE"/>
    <w:rsid w:val="00D9261B"/>
    <w:rsid w:val="00D94B95"/>
    <w:rsid w:val="00DA45EC"/>
    <w:rsid w:val="00DA4E14"/>
    <w:rsid w:val="00DA52D6"/>
    <w:rsid w:val="00DB1115"/>
    <w:rsid w:val="00DC0F7A"/>
    <w:rsid w:val="00DC1847"/>
    <w:rsid w:val="00DC1DF2"/>
    <w:rsid w:val="00DC32BA"/>
    <w:rsid w:val="00DC5431"/>
    <w:rsid w:val="00DC55DE"/>
    <w:rsid w:val="00DC6F58"/>
    <w:rsid w:val="00DE0771"/>
    <w:rsid w:val="00DE10B6"/>
    <w:rsid w:val="00DE20B4"/>
    <w:rsid w:val="00DE337E"/>
    <w:rsid w:val="00DE7F97"/>
    <w:rsid w:val="00DF2FF0"/>
    <w:rsid w:val="00DF46F5"/>
    <w:rsid w:val="00E10D0E"/>
    <w:rsid w:val="00E15CD6"/>
    <w:rsid w:val="00E24B88"/>
    <w:rsid w:val="00E26358"/>
    <w:rsid w:val="00E31512"/>
    <w:rsid w:val="00E32DD5"/>
    <w:rsid w:val="00E3436B"/>
    <w:rsid w:val="00E34FE2"/>
    <w:rsid w:val="00E40940"/>
    <w:rsid w:val="00E41696"/>
    <w:rsid w:val="00E43043"/>
    <w:rsid w:val="00E46714"/>
    <w:rsid w:val="00E5013C"/>
    <w:rsid w:val="00E522E4"/>
    <w:rsid w:val="00E5240D"/>
    <w:rsid w:val="00E63204"/>
    <w:rsid w:val="00E650E1"/>
    <w:rsid w:val="00E75E1C"/>
    <w:rsid w:val="00E76615"/>
    <w:rsid w:val="00E76FB9"/>
    <w:rsid w:val="00E8632D"/>
    <w:rsid w:val="00E916C8"/>
    <w:rsid w:val="00E92141"/>
    <w:rsid w:val="00EA0AB5"/>
    <w:rsid w:val="00EB633F"/>
    <w:rsid w:val="00EC59F6"/>
    <w:rsid w:val="00EC5AAC"/>
    <w:rsid w:val="00ED2F4A"/>
    <w:rsid w:val="00ED4FED"/>
    <w:rsid w:val="00ED6F91"/>
    <w:rsid w:val="00EF209E"/>
    <w:rsid w:val="00EF521E"/>
    <w:rsid w:val="00EF62E2"/>
    <w:rsid w:val="00F01F02"/>
    <w:rsid w:val="00F033CC"/>
    <w:rsid w:val="00F07584"/>
    <w:rsid w:val="00F165C2"/>
    <w:rsid w:val="00F207C5"/>
    <w:rsid w:val="00F25131"/>
    <w:rsid w:val="00F32166"/>
    <w:rsid w:val="00F4409E"/>
    <w:rsid w:val="00F45BD2"/>
    <w:rsid w:val="00F541BE"/>
    <w:rsid w:val="00F561EA"/>
    <w:rsid w:val="00F64833"/>
    <w:rsid w:val="00F66D86"/>
    <w:rsid w:val="00F7085E"/>
    <w:rsid w:val="00F723B3"/>
    <w:rsid w:val="00F73A20"/>
    <w:rsid w:val="00F75C2B"/>
    <w:rsid w:val="00F7772C"/>
    <w:rsid w:val="00F83337"/>
    <w:rsid w:val="00F85826"/>
    <w:rsid w:val="00F94322"/>
    <w:rsid w:val="00F97FFE"/>
    <w:rsid w:val="00FA0B34"/>
    <w:rsid w:val="00FA5817"/>
    <w:rsid w:val="00FA76A2"/>
    <w:rsid w:val="00FB1D46"/>
    <w:rsid w:val="00FB7394"/>
    <w:rsid w:val="00FC6464"/>
    <w:rsid w:val="00FC78AF"/>
    <w:rsid w:val="00FE3A43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E1190D6"/>
  <w15:chartTrackingRefBased/>
  <w15:docId w15:val="{EC966DBB-D5A1-4C59-92EB-B4169BF3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F91"/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ED6F91"/>
    <w:pPr>
      <w:ind w:firstLine="709"/>
      <w:jc w:val="both"/>
    </w:pPr>
    <w:rPr>
      <w:rFonts w:ascii="Times New Roman" w:hAnsi="Times New Roman" w:cs="Times New Roman"/>
    </w:rPr>
  </w:style>
  <w:style w:type="paragraph" w:styleId="Nzov">
    <w:name w:val="Title"/>
    <w:basedOn w:val="Normlny"/>
    <w:qFormat/>
    <w:rsid w:val="00ED6F91"/>
    <w:pPr>
      <w:jc w:val="center"/>
    </w:pPr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ED6F91"/>
    <w:pPr>
      <w:spacing w:after="120"/>
    </w:pPr>
    <w:rPr>
      <w:rFonts w:ascii="Times New Roman" w:hAnsi="Times New Roman" w:cs="Times New Roman"/>
      <w:lang w:eastAsia="cs-CZ"/>
    </w:rPr>
  </w:style>
  <w:style w:type="character" w:styleId="Zvraznenie">
    <w:name w:val="Emphasis"/>
    <w:uiPriority w:val="20"/>
    <w:qFormat/>
    <w:rsid w:val="00ED6F91"/>
    <w:rPr>
      <w:i/>
      <w:iCs/>
    </w:rPr>
  </w:style>
  <w:style w:type="character" w:styleId="Hypertextovprepojenie">
    <w:name w:val="Hyperlink"/>
    <w:rsid w:val="00ED6F91"/>
    <w:rPr>
      <w:color w:val="0000FF"/>
      <w:u w:val="single"/>
    </w:rPr>
  </w:style>
  <w:style w:type="character" w:customStyle="1" w:styleId="ZkladntextChar0">
    <w:name w:val="Základní text Char"/>
    <w:rsid w:val="00ED6F91"/>
    <w:rPr>
      <w:snapToGrid w:val="0"/>
      <w:color w:val="000000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19789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9789C"/>
  </w:style>
  <w:style w:type="paragraph" w:customStyle="1" w:styleId="c02alineaalta">
    <w:name w:val="c02alineaalta"/>
    <w:basedOn w:val="Normlny"/>
    <w:rsid w:val="00176C55"/>
    <w:pPr>
      <w:spacing w:after="240"/>
      <w:ind w:left="567"/>
      <w:jc w:val="both"/>
    </w:pPr>
    <w:rPr>
      <w:sz w:val="22"/>
      <w:szCs w:val="22"/>
    </w:rPr>
  </w:style>
  <w:style w:type="paragraph" w:customStyle="1" w:styleId="Normlnywebov8">
    <w:name w:val="Normálny (webový)8"/>
    <w:basedOn w:val="Normlny"/>
    <w:rsid w:val="00FF0218"/>
    <w:pPr>
      <w:spacing w:before="84" w:after="84"/>
      <w:ind w:left="251" w:right="251"/>
    </w:pPr>
    <w:rPr>
      <w:rFonts w:ascii="Times New Roman" w:hAnsi="Times New Roman" w:cs="Times New Roman"/>
      <w:sz w:val="22"/>
      <w:szCs w:val="22"/>
    </w:rPr>
  </w:style>
  <w:style w:type="character" w:styleId="Siln">
    <w:name w:val="Strong"/>
    <w:uiPriority w:val="22"/>
    <w:qFormat/>
    <w:rsid w:val="00FF0218"/>
    <w:rPr>
      <w:b/>
      <w:bCs/>
    </w:rPr>
  </w:style>
  <w:style w:type="paragraph" w:styleId="Hlavika">
    <w:name w:val="header"/>
    <w:basedOn w:val="Normlny"/>
    <w:rsid w:val="004732CE"/>
    <w:pPr>
      <w:tabs>
        <w:tab w:val="center" w:pos="4536"/>
        <w:tab w:val="right" w:pos="9072"/>
      </w:tabs>
    </w:pPr>
  </w:style>
  <w:style w:type="paragraph" w:customStyle="1" w:styleId="Zkladntext0">
    <w:name w:val="Základní text"/>
    <w:uiPriority w:val="99"/>
    <w:rsid w:val="00E63204"/>
    <w:pPr>
      <w:widowControl w:val="0"/>
      <w:snapToGrid w:val="0"/>
    </w:pPr>
    <w:rPr>
      <w:color w:val="000000"/>
      <w:sz w:val="24"/>
    </w:rPr>
  </w:style>
  <w:style w:type="character" w:customStyle="1" w:styleId="ZarkazkladnhotextuChar">
    <w:name w:val="Zarážka základného textu Char"/>
    <w:link w:val="Zarkazkladnhotextu"/>
    <w:uiPriority w:val="99"/>
    <w:locked/>
    <w:rsid w:val="003A7AE4"/>
    <w:rPr>
      <w:sz w:val="24"/>
      <w:szCs w:val="24"/>
    </w:rPr>
  </w:style>
  <w:style w:type="paragraph" w:customStyle="1" w:styleId="Default">
    <w:name w:val="Default"/>
    <w:rsid w:val="00846A7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46A7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46A7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46A75"/>
    <w:rPr>
      <w:rFonts w:cs="Times New Roman"/>
      <w:color w:val="auto"/>
    </w:rPr>
  </w:style>
  <w:style w:type="character" w:customStyle="1" w:styleId="ZkladntextChar">
    <w:name w:val="Základný text Char"/>
    <w:link w:val="Zkladntext"/>
    <w:uiPriority w:val="99"/>
    <w:rsid w:val="006A4EF4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0F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0F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522DFA"/>
    <w:pPr>
      <w:widowControl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customStyle="1" w:styleId="Zkladntext1">
    <w:name w:val="Zkladn text"/>
    <w:rsid w:val="00F45BD2"/>
    <w:pPr>
      <w:widowControl w:val="0"/>
      <w:autoSpaceDE w:val="0"/>
      <w:autoSpaceDN w:val="0"/>
    </w:pPr>
    <w:rPr>
      <w:color w:val="000000"/>
    </w:rPr>
  </w:style>
  <w:style w:type="paragraph" w:styleId="Normlnywebov">
    <w:name w:val="Normal (Web)"/>
    <w:basedOn w:val="Normlny"/>
    <w:rsid w:val="00757F6F"/>
    <w:pPr>
      <w:spacing w:before="125" w:after="125"/>
      <w:ind w:left="563" w:right="438"/>
    </w:pPr>
    <w:rPr>
      <w:rFonts w:ascii="Times New Roman" w:hAnsi="Times New Roman" w:cs="Times New Roman"/>
      <w:sz w:val="19"/>
      <w:szCs w:val="19"/>
    </w:rPr>
  </w:style>
  <w:style w:type="paragraph" w:customStyle="1" w:styleId="hidden">
    <w:name w:val="hidden"/>
    <w:basedOn w:val="Normlny"/>
    <w:rsid w:val="008203E4"/>
    <w:pPr>
      <w:spacing w:after="150"/>
    </w:pPr>
    <w:rPr>
      <w:rFonts w:ascii="Times New Roman" w:hAnsi="Times New Roman" w:cs="Times New Roman"/>
      <w:vanish/>
    </w:rPr>
  </w:style>
  <w:style w:type="paragraph" w:customStyle="1" w:styleId="textundertitle">
    <w:name w:val="textundertitle"/>
    <w:basedOn w:val="Normlny"/>
    <w:rsid w:val="00925F9D"/>
    <w:pPr>
      <w:spacing w:after="30"/>
    </w:pPr>
    <w:rPr>
      <w:rFonts w:ascii="Times New Roman" w:hAnsi="Times New Roman" w:cs="Times New Roman"/>
    </w:rPr>
  </w:style>
  <w:style w:type="paragraph" w:customStyle="1" w:styleId="c08dispositif">
    <w:name w:val="c08dispositif"/>
    <w:basedOn w:val="Normlny"/>
    <w:rsid w:val="00E75E1C"/>
    <w:pPr>
      <w:spacing w:before="100" w:beforeAutospacing="1" w:after="240"/>
      <w:ind w:left="1134" w:hanging="567"/>
      <w:jc w:val="both"/>
    </w:pPr>
    <w:rPr>
      <w:rFonts w:ascii="Times New Roman" w:hAnsi="Times New Roman" w:cs="Times New Roman"/>
      <w:b/>
      <w:bCs/>
    </w:rPr>
  </w:style>
  <w:style w:type="character" w:customStyle="1" w:styleId="ovfl-xlt1">
    <w:name w:val="ovfl-xlt1"/>
    <w:basedOn w:val="Predvolenpsmoodseku"/>
    <w:rsid w:val="00D80A3F"/>
    <w:rPr>
      <w:rFonts w:ascii="Arial" w:hAnsi="Arial" w:cs="Arial" w:hint="default"/>
      <w:caps/>
      <w:color w:val="F4B400"/>
      <w:sz w:val="21"/>
      <w:szCs w:val="21"/>
    </w:rPr>
  </w:style>
  <w:style w:type="character" w:customStyle="1" w:styleId="snck-msg3">
    <w:name w:val="snck-msg3"/>
    <w:basedOn w:val="Predvolenpsmoodseku"/>
    <w:rsid w:val="00D80A3F"/>
    <w:rPr>
      <w:color w:val="FFFFFF"/>
    </w:rPr>
  </w:style>
  <w:style w:type="character" w:customStyle="1" w:styleId="cmty-btn1">
    <w:name w:val="cmty-btn1"/>
    <w:basedOn w:val="Predvolenpsmoodseku"/>
    <w:rsid w:val="00D80A3F"/>
    <w:rPr>
      <w:rFonts w:ascii="Arial" w:hAnsi="Arial" w:cs="Arial" w:hint="default"/>
      <w:caps/>
      <w:color w:val="F4B400"/>
      <w:sz w:val="21"/>
      <w:szCs w:val="21"/>
    </w:rPr>
  </w:style>
  <w:style w:type="character" w:customStyle="1" w:styleId="tlid-result-container-error-button">
    <w:name w:val="tlid-result-container-error-button"/>
    <w:basedOn w:val="Predvolenpsmoodseku"/>
    <w:rsid w:val="00D80A3F"/>
  </w:style>
  <w:style w:type="character" w:customStyle="1" w:styleId="empty-placeholder3">
    <w:name w:val="empty-placeholder3"/>
    <w:basedOn w:val="Predvolenpsmoodseku"/>
    <w:rsid w:val="00D80A3F"/>
  </w:style>
  <w:style w:type="character" w:customStyle="1" w:styleId="translating-placeholder">
    <w:name w:val="translating-placeholder"/>
    <w:basedOn w:val="Predvolenpsmoodseku"/>
    <w:rsid w:val="00D80A3F"/>
  </w:style>
  <w:style w:type="character" w:customStyle="1" w:styleId="tlid-translation">
    <w:name w:val="tlid-translation"/>
    <w:basedOn w:val="Predvolenpsmoodseku"/>
    <w:rsid w:val="00D80A3F"/>
  </w:style>
  <w:style w:type="character" w:customStyle="1" w:styleId="PtaChar">
    <w:name w:val="Päta Char"/>
    <w:basedOn w:val="Predvolenpsmoodseku"/>
    <w:link w:val="Pta"/>
    <w:uiPriority w:val="99"/>
    <w:rsid w:val="001B1195"/>
    <w:rPr>
      <w:rFonts w:ascii="Arial" w:hAnsi="Arial" w:cs="Arial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C5E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5E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5EB0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5E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5EB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6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11158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39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4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2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7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5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29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86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5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0801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2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2389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9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159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7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2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84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8" w:color="CAD7DC"/>
                                    <w:left w:val="single" w:sz="6" w:space="23" w:color="CAD7DC"/>
                                    <w:bottom w:val="single" w:sz="6" w:space="8" w:color="CAD7DC"/>
                                    <w:right w:val="single" w:sz="6" w:space="8" w:color="CAD7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F70A-7A4B-45A8-8AE8-E2DF5B99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1583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Zamecnikova Petra</dc:creator>
  <cp:keywords/>
  <cp:lastModifiedBy>Dancak Jan</cp:lastModifiedBy>
  <cp:revision>9</cp:revision>
  <cp:lastPrinted>2018-05-23T07:21:00Z</cp:lastPrinted>
  <dcterms:created xsi:type="dcterms:W3CDTF">2023-07-31T06:44:00Z</dcterms:created>
  <dcterms:modified xsi:type="dcterms:W3CDTF">2023-10-20T10:59:00Z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Daňové právo_x000d_
Daň z pridanej hodnoty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Miloš Mikloš</vt:lpwstr>
  </property>
  <property fmtid="{D5CDD505-2E9C-101B-9397-08002B2CF9AE}" pid="12" name="FSC#SKEDITIONSLOVLEX@103.510:zodppredkladatel">
    <vt:lpwstr>Peter Kažimír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222/2004 Z. z. o dani z pridanej hodnoty v znení neskorších predpisov a ktorým sa mení a dopĺňa zákon č. 289/2008 Z. z. o používaní elektronickej registračnej pokladnice a o zmene a doplnení zákona Slovenskej národnej r</vt:lpwstr>
  </property>
  <property fmtid="{D5CDD505-2E9C-101B-9397-08002B2CF9AE}" pid="15" name="FSC#SKEDITIONSLOVLEX@103.510:nazovpredpis1">
    <vt:lpwstr>ady č. 511/1992 Zb. o správe daní a poplatkov a o zmenách v sústave územných finančných orgánov v znení neskorších predpisov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2018</vt:lpwstr>
  </property>
  <property fmtid="{D5CDD505-2E9C-101B-9397-08002B2CF9AE}" pid="23" name="FSC#SKEDITIONSLOVLEX@103.510:plnynazovpredpis">
    <vt:lpwstr> Zákon, ktorým sa mení a dopĺňa zákon č. 222/2004 Z. z. o dani z pridanej hodnoty v znení neskorších predpisov a ktorým sa mení a dopĺňa zákon č. 289/2008 Z. z. o používaní elektronickej registračnej pokladnice a o zmene a doplnení zákona Slovenskej národ</vt:lpwstr>
  </property>
  <property fmtid="{D5CDD505-2E9C-101B-9397-08002B2CF9AE}" pid="24" name="FSC#SKEDITIONSLOVLEX@103.510:plnynazovpredpis1">
    <vt:lpwstr>nej rady č. 511/1992 Zb. o správe daní a poplatkov a o zmenách v sústave územných finančných orgánov v znení neskorších predpisov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MF/007705/2018-731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LP/2018/428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 Slovenskej republiky</vt:lpwstr>
  </property>
  <property fmtid="{D5CDD505-2E9C-101B-9397-08002B2CF9AE}" pid="142" name="FSC#SKEDITIONSLOVLEX@103.510:funkciaZodpPredAkuzativ">
    <vt:lpwstr>ministrovi financií Slovenskej republiky</vt:lpwstr>
  </property>
  <property fmtid="{D5CDD505-2E9C-101B-9397-08002B2CF9AE}" pid="143" name="FSC#SKEDITIONSLOVLEX@103.510:funkciaZodpPredDativ">
    <vt:lpwstr>ministra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Kažimír_x000d_
minister financií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22. 6. 2018</vt:lpwstr>
  </property>
  <property fmtid="{D5CDD505-2E9C-101B-9397-08002B2CF9AE}" pid="151" name="FSC#COOSYSTEM@1.1:Container">
    <vt:lpwstr>COO.2145.1000.3.2789323</vt:lpwstr>
  </property>
  <property fmtid="{D5CDD505-2E9C-101B-9397-08002B2CF9AE}" pid="152" name="FSC#FSCFOLIO@1.1001:docpropproject">
    <vt:lpwstr/>
  </property>
</Properties>
</file>