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53164" w14:textId="6B9F9844" w:rsidR="00722033" w:rsidRPr="007C0DD7" w:rsidRDefault="00722033" w:rsidP="007C0DD7">
      <w:pPr>
        <w:spacing w:after="20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033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14:paraId="0FA4FDA2" w14:textId="0803639D" w:rsidR="006933A9" w:rsidRPr="006933A9" w:rsidRDefault="006933A9" w:rsidP="007C0DD7">
      <w:pPr>
        <w:spacing w:after="200"/>
        <w:ind w:firstLine="708"/>
        <w:rPr>
          <w:rFonts w:ascii="Times New Roman" w:hAnsi="Times New Roman" w:cs="Times New Roman"/>
          <w:sz w:val="24"/>
          <w:szCs w:val="24"/>
        </w:rPr>
      </w:pPr>
      <w:r w:rsidRPr="006933A9">
        <w:rPr>
          <w:rFonts w:ascii="Times New Roman" w:hAnsi="Times New Roman" w:cs="Times New Roman"/>
          <w:sz w:val="24"/>
          <w:szCs w:val="24"/>
        </w:rPr>
        <w:t xml:space="preserve">Ministerstvo financií Slovenskej republiky predkladá návrh zákona, ktorým sa mení </w:t>
      </w:r>
      <w:r w:rsidR="00807619">
        <w:rPr>
          <w:rFonts w:ascii="Times New Roman" w:hAnsi="Times New Roman" w:cs="Times New Roman"/>
          <w:sz w:val="24"/>
          <w:szCs w:val="24"/>
        </w:rPr>
        <w:br/>
      </w:r>
      <w:r w:rsidRPr="006933A9">
        <w:rPr>
          <w:rFonts w:ascii="Times New Roman" w:hAnsi="Times New Roman" w:cs="Times New Roman"/>
          <w:sz w:val="24"/>
          <w:szCs w:val="24"/>
        </w:rPr>
        <w:t xml:space="preserve">a dopĺňa zákon č. </w:t>
      </w:r>
      <w:r w:rsidR="00843222">
        <w:rPr>
          <w:rFonts w:ascii="Times New Roman" w:hAnsi="Times New Roman" w:cs="Times New Roman"/>
          <w:sz w:val="24"/>
          <w:szCs w:val="24"/>
        </w:rPr>
        <w:t>222/2004 Z. z. o dani z pridanej hodnoty v znen</w:t>
      </w:r>
      <w:r w:rsidRPr="006933A9">
        <w:rPr>
          <w:rFonts w:ascii="Times New Roman" w:hAnsi="Times New Roman" w:cs="Times New Roman"/>
          <w:sz w:val="24"/>
          <w:szCs w:val="24"/>
        </w:rPr>
        <w:t>í neskorších predpisov</w:t>
      </w:r>
      <w:r w:rsidR="005F5AB0">
        <w:rPr>
          <w:rFonts w:ascii="Times New Roman" w:hAnsi="Times New Roman" w:cs="Times New Roman"/>
          <w:sz w:val="24"/>
          <w:szCs w:val="24"/>
        </w:rPr>
        <w:t xml:space="preserve"> </w:t>
      </w:r>
      <w:r w:rsidR="00973B44" w:rsidRPr="00973B44">
        <w:rPr>
          <w:rFonts w:ascii="Times New Roman" w:hAnsi="Times New Roman" w:cs="Times New Roman"/>
          <w:sz w:val="24"/>
          <w:szCs w:val="24"/>
        </w:rPr>
        <w:t>a ktorým sa menia a dopĺňajú niektoré zákony</w:t>
      </w:r>
      <w:r w:rsidR="002D21B5">
        <w:rPr>
          <w:rFonts w:ascii="Times New Roman" w:hAnsi="Times New Roman" w:cs="Times New Roman"/>
          <w:sz w:val="24"/>
          <w:szCs w:val="24"/>
        </w:rPr>
        <w:t>, ako iniciatívny materiál</w:t>
      </w:r>
      <w:r w:rsidRPr="006933A9">
        <w:rPr>
          <w:rFonts w:ascii="Times New Roman" w:hAnsi="Times New Roman" w:cs="Times New Roman"/>
          <w:sz w:val="24"/>
          <w:szCs w:val="24"/>
        </w:rPr>
        <w:t>.</w:t>
      </w:r>
    </w:p>
    <w:p w14:paraId="4DF24AF5" w14:textId="4D1F5180" w:rsidR="006933A9" w:rsidRPr="006933A9" w:rsidRDefault="006933A9" w:rsidP="007C0DD7">
      <w:pPr>
        <w:pStyle w:val="Bezriadkovania"/>
        <w:spacing w:after="200"/>
        <w:ind w:firstLine="708"/>
        <w:jc w:val="both"/>
      </w:pPr>
      <w:r w:rsidRPr="006933A9">
        <w:t xml:space="preserve">Primárnym cieľom predkladaného návrhu </w:t>
      </w:r>
      <w:r w:rsidR="00CA5770">
        <w:t xml:space="preserve">zákona </w:t>
      </w:r>
      <w:r w:rsidR="00843222">
        <w:t xml:space="preserve">je prebrať do zákona č. 222/2004 Z. z. o dani z pridanej hodnoty v znení neskorších predpisov (ďalej len „zákon o DPH“) </w:t>
      </w:r>
      <w:r w:rsidR="00233669" w:rsidRPr="00107074">
        <w:t xml:space="preserve">smernicu </w:t>
      </w:r>
      <w:r w:rsidR="00233669" w:rsidRPr="00107074">
        <w:rPr>
          <w:bCs/>
          <w:shd w:val="clear" w:color="auto" w:fill="FFFFFF"/>
        </w:rPr>
        <w:t>Rady (EÚ) 2020/285 z 18. februára 2020</w:t>
      </w:r>
      <w:r w:rsidR="00233669" w:rsidRPr="00107074">
        <w:t>, ktorou sa mení smernica 2006/112/ES</w:t>
      </w:r>
      <w:r w:rsidR="00F436AA">
        <w:t xml:space="preserve"> o spoločnom systéme dane z pridanej hodnoty</w:t>
      </w:r>
      <w:r w:rsidR="00233669" w:rsidRPr="00107074">
        <w:t xml:space="preserve">, </w:t>
      </w:r>
      <w:r w:rsidR="00233669" w:rsidRPr="00107074">
        <w:rPr>
          <w:bCs/>
          <w:shd w:val="clear" w:color="auto" w:fill="FFFFFF"/>
        </w:rPr>
        <w:t>pokiaľ ide o osobitnú úpravu pre malé podniky, a nariadenie (EÚ) č. 904/2010, pokiaľ ide o administratívnu spoluprácu a výmenu informácií na účely monitorovania správneho uplatňovania osobitnej úpravy pre malé podniky</w:t>
      </w:r>
      <w:r w:rsidR="009E58D4">
        <w:rPr>
          <w:bCs/>
          <w:shd w:val="clear" w:color="auto" w:fill="FFFFFF"/>
        </w:rPr>
        <w:t xml:space="preserve"> </w:t>
      </w:r>
      <w:r w:rsidR="009E58D4" w:rsidRPr="00A04E04">
        <w:t>(Ú. v. EÚ L 62, 2.3.2020)</w:t>
      </w:r>
      <w:r w:rsidR="00843222">
        <w:t xml:space="preserve">, </w:t>
      </w:r>
      <w:r w:rsidR="00B11A98">
        <w:t>pretože</w:t>
      </w:r>
      <w:r w:rsidR="00843222">
        <w:t xml:space="preserve"> Slovenskej republike vyplýva povinnosť prijať a uverejniť zákon potrebný na dosiahnutie súladu zák</w:t>
      </w:r>
      <w:r w:rsidR="007C0DD7">
        <w:t>ona o DPH s citovanou smernicou.</w:t>
      </w:r>
    </w:p>
    <w:p w14:paraId="0C6FCB15" w14:textId="6D484539" w:rsidR="003600AD" w:rsidRDefault="00EB779E" w:rsidP="007C0DD7">
      <w:pPr>
        <w:pStyle w:val="Bezriadkovania"/>
        <w:spacing w:after="200"/>
        <w:ind w:firstLine="708"/>
        <w:jc w:val="both"/>
        <w:rPr>
          <w:highlight w:val="yellow"/>
        </w:rPr>
      </w:pPr>
      <w:r w:rsidRPr="00107074">
        <w:t>Zmenami a doplnením zákona o DPH dôjde k zavedeniu harmonizovaných pravidiel s cieľom znížiť zaťaženie malých podnikov súvisiace s dodržiavaním súčasných predpisov. Malý podnik bude mať možnosť využívať oslobodenie od dane aj v inom členskom štáte, ako v členskom štáte, v ktorom je usadený</w:t>
      </w:r>
      <w:r w:rsidR="002E3BD7">
        <w:t>, ak bude spĺňať ustanovené hmotnoprávne podmienky. Súčasne s využitím tohto oslobodenia v členskom štáte, v ktorom malý podnik nie je usadený, sa</w:t>
      </w:r>
      <w:r w:rsidR="00102615">
        <w:t xml:space="preserve"> v súlade s transponovanou smernicou</w:t>
      </w:r>
      <w:r w:rsidR="002E3BD7">
        <w:t xml:space="preserve"> za účelom zabezpečenia účinnej kontroly ukladajú</w:t>
      </w:r>
      <w:r w:rsidR="00102615">
        <w:t xml:space="preserve"> dotknutému podniku viaceré povinnosti</w:t>
      </w:r>
      <w:r w:rsidR="00102615" w:rsidRPr="00102615">
        <w:t xml:space="preserve"> </w:t>
      </w:r>
      <w:r w:rsidR="00102615">
        <w:t xml:space="preserve">administratívnej povahy. </w:t>
      </w:r>
      <w:r w:rsidR="00102615" w:rsidRPr="00107074">
        <w:t>Upraví sa aj spôsob skončenia využívania oslobodenia od dane malým podnikom.</w:t>
      </w:r>
      <w:r w:rsidR="00102615">
        <w:t xml:space="preserve"> Predmetné zmeny si taktiež vyžadujú zásadným spôsobom upraviť skutočnosti, na základe ktorých sa </w:t>
      </w:r>
      <w:r w:rsidR="008C50EB">
        <w:t xml:space="preserve">tuzemská </w:t>
      </w:r>
      <w:r w:rsidR="00102615">
        <w:t xml:space="preserve">zdaniteľná osoba </w:t>
      </w:r>
      <w:r w:rsidR="008C50EB">
        <w:t xml:space="preserve">a zahraničná zdaniteľná osoba </w:t>
      </w:r>
      <w:r w:rsidR="00102615">
        <w:t>stáva platiteľom dane.</w:t>
      </w:r>
      <w:r w:rsidR="00843222">
        <w:t xml:space="preserve"> </w:t>
      </w:r>
      <w:r w:rsidR="00360CA1">
        <w:t xml:space="preserve">Potrebné je tiež upraviť </w:t>
      </w:r>
      <w:r w:rsidR="00360CA1">
        <w:rPr>
          <w:rStyle w:val="awspanawtext3"/>
          <w:color w:val="000000"/>
        </w:rPr>
        <w:t xml:space="preserve">práva a povinnosti platiteľov dane, ktorí si nesplnili zákonnú registračnú alebo oznamovaciu povinnosť. </w:t>
      </w:r>
      <w:r w:rsidR="00DE1D2B">
        <w:t xml:space="preserve">Zároveň </w:t>
      </w:r>
      <w:r w:rsidR="00233669">
        <w:t>z dôvodu požiadaviek aplikačnej praxe, ako aj z dôvodu znižovania administratívnych povinností zdaniteľných osôb, dôjde k úprave</w:t>
      </w:r>
      <w:r w:rsidR="00843222">
        <w:t xml:space="preserve"> niektor</w:t>
      </w:r>
      <w:r w:rsidR="00233669">
        <w:t>ých</w:t>
      </w:r>
      <w:r w:rsidR="003600AD">
        <w:t xml:space="preserve"> iných</w:t>
      </w:r>
      <w:r w:rsidR="00843222">
        <w:t xml:space="preserve"> ustanoven</w:t>
      </w:r>
      <w:r w:rsidR="00233669">
        <w:t>í</w:t>
      </w:r>
      <w:r w:rsidR="00843222">
        <w:t xml:space="preserve"> zákona o DPH.</w:t>
      </w:r>
      <w:r w:rsidR="00F3611C">
        <w:t xml:space="preserve"> </w:t>
      </w:r>
    </w:p>
    <w:p w14:paraId="5E6F4DE0" w14:textId="7C823B25" w:rsidR="003600AD" w:rsidRPr="007C0DD7" w:rsidRDefault="003600AD" w:rsidP="007C0DD7">
      <w:pPr>
        <w:pStyle w:val="Bezriadkovania"/>
        <w:spacing w:after="200"/>
        <w:ind w:firstLine="708"/>
        <w:jc w:val="both"/>
        <w:rPr>
          <w:color w:val="000000"/>
        </w:rPr>
      </w:pPr>
      <w:r>
        <w:t>Cieľom predkladaného materiálu je taktiež nastaviť podmienky a pravidlá uplatňovania samozdanenia pri dovoze tovaru do tuzemska tak</w:t>
      </w:r>
      <w:r w:rsidR="00600274">
        <w:t>,</w:t>
      </w:r>
      <w:r>
        <w:t xml:space="preserve"> aby tento inštitút mohol byť od 1. </w:t>
      </w:r>
      <w:r w:rsidR="000A489B">
        <w:t>januára 2025</w:t>
      </w:r>
      <w:r>
        <w:t xml:space="preserve"> uplatňovaný vybranými platiteľmi dane, </w:t>
      </w:r>
      <w:r w:rsidRPr="001034B2">
        <w:t>ktorí dávajú dostatočné materiálne záruky</w:t>
      </w:r>
      <w:r>
        <w:t xml:space="preserve"> o ich spoľahlivosti. Ide o </w:t>
      </w:r>
      <w:r>
        <w:rPr>
          <w:color w:val="000000"/>
        </w:rPr>
        <w:t>platiteľov dane so sídlom v tuzemsku, ktorí majú účinný štatút schváleného hospodárskeho subjektu (</w:t>
      </w:r>
      <w:r w:rsidR="00E10669">
        <w:rPr>
          <w:color w:val="000000"/>
        </w:rPr>
        <w:t>ďalej len „</w:t>
      </w:r>
      <w:r>
        <w:rPr>
          <w:color w:val="000000"/>
        </w:rPr>
        <w:t>AEO</w:t>
      </w:r>
      <w:r w:rsidR="00E10669">
        <w:rPr>
          <w:color w:val="000000"/>
        </w:rPr>
        <w:t>“</w:t>
      </w:r>
      <w:r>
        <w:rPr>
          <w:color w:val="000000"/>
        </w:rPr>
        <w:t xml:space="preserve">) podľa colných predpisov, ako aj platiteľov dane </w:t>
      </w:r>
      <w:r w:rsidR="00E10669">
        <w:rPr>
          <w:color w:val="000000"/>
        </w:rPr>
        <w:t xml:space="preserve">so </w:t>
      </w:r>
      <w:r w:rsidR="00E10669" w:rsidRPr="00C3125E">
        <w:rPr>
          <w:color w:val="000000"/>
        </w:rPr>
        <w:t>štatútom AEO</w:t>
      </w:r>
      <w:r w:rsidRPr="00C3125E">
        <w:rPr>
          <w:color w:val="000000"/>
        </w:rPr>
        <w:t>, ktorí</w:t>
      </w:r>
      <w:r w:rsidR="00E10669" w:rsidRPr="00C3125E">
        <w:rPr>
          <w:color w:val="000000"/>
        </w:rPr>
        <w:t xml:space="preserve"> dovážajú do tuzemska tovar v rámci centralizovaného colného konania</w:t>
      </w:r>
      <w:r w:rsidRPr="00C3125E">
        <w:t xml:space="preserve">. </w:t>
      </w:r>
      <w:r w:rsidRPr="00C3125E">
        <w:rPr>
          <w:color w:val="000000"/>
        </w:rPr>
        <w:t xml:space="preserve">Z pohľadu platiteľa dane pôjde </w:t>
      </w:r>
      <w:r w:rsidR="00E10669" w:rsidRPr="00C3125E">
        <w:rPr>
          <w:color w:val="000000"/>
        </w:rPr>
        <w:t xml:space="preserve">oproti súčasnému stavu </w:t>
      </w:r>
      <w:r w:rsidRPr="00C3125E">
        <w:rPr>
          <w:color w:val="000000"/>
        </w:rPr>
        <w:t>o cash-flow neutrálne riešenie.</w:t>
      </w:r>
    </w:p>
    <w:p w14:paraId="4139A00E" w14:textId="1BBFAD92" w:rsidR="00973B44" w:rsidRPr="006064F5" w:rsidRDefault="00973B44" w:rsidP="007C0DD7">
      <w:pPr>
        <w:pStyle w:val="Bezriadkovania"/>
        <w:spacing w:after="200"/>
        <w:ind w:firstLine="708"/>
        <w:jc w:val="both"/>
      </w:pPr>
      <w:r w:rsidRPr="00C3125E">
        <w:t xml:space="preserve">V súvislosti so zmenami a doplnením zákona o DPH je potrebné upraviť aj </w:t>
      </w:r>
      <w:r w:rsidR="00B11A98">
        <w:t>niektoré</w:t>
      </w:r>
      <w:r w:rsidRPr="00C3125E">
        <w:t xml:space="preserve"> ustanovenia v zákone č. 289/2008 Z. z. o používaní elektronickej registračnej pokladnice a o zmene a doplnení zákona Slovenskej národnej rady č. 511/1992 Zb. o správe daní a poplatkov a o zmenách v </w:t>
      </w:r>
      <w:r w:rsidRPr="006064F5">
        <w:t>sústave územných finančných orgánov v znení neskorších predpisov a v zákone č. 563/2009 Z. z. o správe daní (daňový poriadok) a o zmene a doplnení niektorých zákonov v znení neskorších predpisov.</w:t>
      </w:r>
    </w:p>
    <w:p w14:paraId="53A53129" w14:textId="77777777" w:rsidR="007C0DD7" w:rsidRPr="009771AF" w:rsidRDefault="006933A9" w:rsidP="007C0DD7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6064F5">
        <w:rPr>
          <w:rFonts w:ascii="Times New Roman" w:hAnsi="Times New Roman" w:cs="Times New Roman"/>
          <w:sz w:val="24"/>
          <w:szCs w:val="24"/>
        </w:rPr>
        <w:tab/>
      </w:r>
      <w:r w:rsidR="00DC6B81" w:rsidRPr="009771AF">
        <w:rPr>
          <w:rFonts w:ascii="Times New Roman" w:hAnsi="Times New Roman" w:cs="Times New Roman"/>
          <w:sz w:val="24"/>
          <w:szCs w:val="24"/>
        </w:rPr>
        <w:t>Návrh zákona má pozitívny aj negatívny vplyv na rozpočet verejnej správy, pozitívny a negatívny vplyv na podnikateľské prostredie, pozitívny vplyv na informatizáciu spoločnosti, a nebude mať sociálne vplyvy, vplyvy na životné prostredie, služby verejnej správy pre občana a ani na manželstvo, rodičovstvo a rodinu.</w:t>
      </w:r>
    </w:p>
    <w:p w14:paraId="1E1FEC85" w14:textId="2F4BCC4A" w:rsidR="006064F5" w:rsidRDefault="002D6E99" w:rsidP="007C0DD7">
      <w:pPr>
        <w:spacing w:after="200"/>
        <w:ind w:firstLine="708"/>
        <w:rPr>
          <w:rFonts w:ascii="Times New Roman" w:hAnsi="Times New Roman" w:cs="Times New Roman"/>
          <w:sz w:val="24"/>
          <w:szCs w:val="24"/>
        </w:rPr>
      </w:pPr>
      <w:r w:rsidRPr="006064F5">
        <w:rPr>
          <w:rFonts w:ascii="Times New Roman" w:hAnsi="Times New Roman" w:cs="Times New Roman"/>
          <w:sz w:val="24"/>
          <w:szCs w:val="24"/>
        </w:rPr>
        <w:t>Návrh zákona nemá byť predmetom vnútrokomunitárneho pripomienkového konania.</w:t>
      </w:r>
    </w:p>
    <w:p w14:paraId="09E8F4C0" w14:textId="49021043" w:rsidR="00B11A98" w:rsidRPr="006064F5" w:rsidRDefault="00B11A98" w:rsidP="007C0DD7">
      <w:pPr>
        <w:spacing w:after="200"/>
        <w:ind w:firstLine="708"/>
        <w:rPr>
          <w:rFonts w:ascii="Times New Roman" w:hAnsi="Times New Roman" w:cs="Times New Roman"/>
          <w:sz w:val="24"/>
          <w:szCs w:val="24"/>
        </w:rPr>
      </w:pPr>
      <w:r w:rsidRPr="009A4200">
        <w:rPr>
          <w:rFonts w:ascii="Times New Roman" w:hAnsi="Times New Roman" w:cs="Times New Roman"/>
          <w:sz w:val="24"/>
          <w:szCs w:val="24"/>
        </w:rPr>
        <w:t xml:space="preserve">Návrh zákona bol predmetom predbežného pripomienkového konania. </w:t>
      </w:r>
      <w:r>
        <w:rPr>
          <w:rFonts w:ascii="Times New Roman" w:hAnsi="Times New Roman" w:cs="Times New Roman"/>
          <w:sz w:val="24"/>
          <w:szCs w:val="24"/>
        </w:rPr>
        <w:t>Stála pracovná komisia</w:t>
      </w:r>
      <w:r w:rsidRPr="009A4200">
        <w:rPr>
          <w:rFonts w:ascii="Times New Roman" w:hAnsi="Times New Roman" w:cs="Times New Roman"/>
          <w:sz w:val="24"/>
          <w:szCs w:val="24"/>
        </w:rPr>
        <w:t xml:space="preserve"> Legislatívnej rady vlády Slovenskej republiky na posudzovanie vybraných vplyvov pri Ministerstve ho</w:t>
      </w:r>
      <w:r>
        <w:rPr>
          <w:rFonts w:ascii="Times New Roman" w:hAnsi="Times New Roman" w:cs="Times New Roman"/>
          <w:sz w:val="24"/>
          <w:szCs w:val="24"/>
        </w:rPr>
        <w:t xml:space="preserve">spodárstva Slovenskej republiky vyjadrila k návrhu zákona nesúhlasné stanovisko. Ministerstvo financií Slovenskej republiky sa s pripomienkami a odporúčaniami </w:t>
      </w:r>
      <w:r>
        <w:rPr>
          <w:rFonts w:ascii="Times New Roman" w:hAnsi="Times New Roman" w:cs="Times New Roman"/>
          <w:sz w:val="24"/>
          <w:szCs w:val="24"/>
        </w:rPr>
        <w:lastRenderedPageBreak/>
        <w:t>vysporiadalo. Následne boli pripomienky Ministerstva hospodárstva Slovenskej republiky prerokované v medzirezortnom pripomienkovom konaní.</w:t>
      </w:r>
      <w:bookmarkStart w:id="0" w:name="_GoBack"/>
      <w:bookmarkEnd w:id="0"/>
    </w:p>
    <w:p w14:paraId="3761F59F" w14:textId="77777777" w:rsidR="0018050F" w:rsidRPr="0018050F" w:rsidRDefault="006064F5" w:rsidP="007C0DD7">
      <w:pPr>
        <w:spacing w:after="200"/>
        <w:ind w:firstLine="708"/>
        <w:rPr>
          <w:rFonts w:ascii="Times New Roman" w:hAnsi="Times New Roman" w:cs="Times New Roman"/>
          <w:sz w:val="24"/>
          <w:szCs w:val="24"/>
        </w:rPr>
      </w:pPr>
      <w:r w:rsidRPr="009771AF">
        <w:rPr>
          <w:rFonts w:ascii="Times New Roman" w:hAnsi="Times New Roman" w:cs="Times New Roman"/>
          <w:sz w:val="24"/>
          <w:szCs w:val="24"/>
        </w:rPr>
        <w:t xml:space="preserve">Návrh zákona bol </w:t>
      </w:r>
      <w:r w:rsidRPr="00D93F1D">
        <w:rPr>
          <w:rFonts w:ascii="Times New Roman" w:hAnsi="Times New Roman" w:cs="Times New Roman"/>
          <w:sz w:val="24"/>
          <w:szCs w:val="24"/>
        </w:rPr>
        <w:t xml:space="preserve">predmetom medzirezortného pripomienkového konania, ktorého vyhodnotenie </w:t>
      </w:r>
      <w:r w:rsidRPr="0018050F">
        <w:rPr>
          <w:rFonts w:ascii="Times New Roman" w:hAnsi="Times New Roman" w:cs="Times New Roman"/>
          <w:sz w:val="24"/>
          <w:szCs w:val="24"/>
        </w:rPr>
        <w:t>tvorí prílohu materiálu. Návrh zákona sa predkladá na rokovanie Legislatívnej rady vlády SR bez rozporov.</w:t>
      </w:r>
    </w:p>
    <w:p w14:paraId="738107A2" w14:textId="795C3449" w:rsidR="00DC6B81" w:rsidRPr="0018050F" w:rsidRDefault="0018050F" w:rsidP="007C0DD7">
      <w:pPr>
        <w:spacing w:after="200"/>
        <w:ind w:firstLine="708"/>
        <w:rPr>
          <w:rFonts w:ascii="Times New Roman" w:hAnsi="Times New Roman" w:cs="Times New Roman"/>
          <w:sz w:val="24"/>
          <w:szCs w:val="24"/>
        </w:rPr>
      </w:pPr>
      <w:r w:rsidRPr="0018050F">
        <w:rPr>
          <w:rFonts w:ascii="Times New Roman" w:hAnsi="Times New Roman" w:cs="Times New Roman"/>
          <w:sz w:val="24"/>
          <w:szCs w:val="24"/>
        </w:rPr>
        <w:t>Predkladaný návrh zákona je v súlade s Ústavou Slovenskej republiky, ústavnými zákonmi, nálezmi Ústavného súdu Slovenskej republiky a inými právnymi predpismi, medzinárodnými zmluvami a dokumentmi, ktorými je Slovenská republika viazaná, ako aj v súlade s právom Európskej únie.</w:t>
      </w:r>
      <w:r w:rsidR="00DC6B81" w:rsidRPr="001805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5C3FC" w14:textId="2D43CD33" w:rsidR="006F0373" w:rsidRPr="002B54E9" w:rsidRDefault="006933A9" w:rsidP="006F037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050F">
        <w:rPr>
          <w:rFonts w:ascii="Times New Roman" w:hAnsi="Times New Roman" w:cs="Times New Roman"/>
          <w:sz w:val="24"/>
          <w:szCs w:val="24"/>
        </w:rPr>
        <w:tab/>
      </w:r>
    </w:p>
    <w:p w14:paraId="785766C2" w14:textId="4D3699D7" w:rsidR="006724C9" w:rsidRPr="00EF0314" w:rsidRDefault="006724C9" w:rsidP="006F0373">
      <w:pPr>
        <w:spacing w:after="2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724C9" w:rsidRPr="00EF0314" w:rsidSect="007C0DD7">
      <w:pgSz w:w="11906" w:h="16838"/>
      <w:pgMar w:top="993" w:right="1418" w:bottom="56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E5DF1" w14:textId="77777777" w:rsidR="00C14B02" w:rsidRDefault="00C14B02" w:rsidP="002D6E99">
      <w:r>
        <w:separator/>
      </w:r>
    </w:p>
  </w:endnote>
  <w:endnote w:type="continuationSeparator" w:id="0">
    <w:p w14:paraId="178DA2A3" w14:textId="77777777" w:rsidR="00C14B02" w:rsidRDefault="00C14B02" w:rsidP="002D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918AA" w14:textId="77777777" w:rsidR="00C14B02" w:rsidRDefault="00C14B02" w:rsidP="002D6E99">
      <w:r>
        <w:separator/>
      </w:r>
    </w:p>
  </w:footnote>
  <w:footnote w:type="continuationSeparator" w:id="0">
    <w:p w14:paraId="236A3CA6" w14:textId="77777777" w:rsidR="00C14B02" w:rsidRDefault="00C14B02" w:rsidP="002D6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2D1F"/>
    <w:multiLevelType w:val="hybridMultilevel"/>
    <w:tmpl w:val="2976140A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33"/>
    <w:rsid w:val="000935BF"/>
    <w:rsid w:val="000A489B"/>
    <w:rsid w:val="000C3DB6"/>
    <w:rsid w:val="00102615"/>
    <w:rsid w:val="0018050F"/>
    <w:rsid w:val="00197F9A"/>
    <w:rsid w:val="00222AAA"/>
    <w:rsid w:val="00233669"/>
    <w:rsid w:val="00242636"/>
    <w:rsid w:val="00285F92"/>
    <w:rsid w:val="002D21B5"/>
    <w:rsid w:val="002D69B4"/>
    <w:rsid w:val="002D6E99"/>
    <w:rsid w:val="002E3BD7"/>
    <w:rsid w:val="002F7C0B"/>
    <w:rsid w:val="00330A0C"/>
    <w:rsid w:val="003600AD"/>
    <w:rsid w:val="00360CA1"/>
    <w:rsid w:val="00370C41"/>
    <w:rsid w:val="003D735C"/>
    <w:rsid w:val="003F40CB"/>
    <w:rsid w:val="0042100F"/>
    <w:rsid w:val="00436678"/>
    <w:rsid w:val="0046042D"/>
    <w:rsid w:val="004E7455"/>
    <w:rsid w:val="005318F2"/>
    <w:rsid w:val="005C3B86"/>
    <w:rsid w:val="005E6E6E"/>
    <w:rsid w:val="005F5AB0"/>
    <w:rsid w:val="00600274"/>
    <w:rsid w:val="006063A4"/>
    <w:rsid w:val="006064F5"/>
    <w:rsid w:val="006724C9"/>
    <w:rsid w:val="00675D94"/>
    <w:rsid w:val="006933A9"/>
    <w:rsid w:val="0069523B"/>
    <w:rsid w:val="006D408B"/>
    <w:rsid w:val="006F0373"/>
    <w:rsid w:val="007115DC"/>
    <w:rsid w:val="00722033"/>
    <w:rsid w:val="00796FC5"/>
    <w:rsid w:val="007C0DD7"/>
    <w:rsid w:val="007D6A7A"/>
    <w:rsid w:val="007E2094"/>
    <w:rsid w:val="007E22E6"/>
    <w:rsid w:val="00807563"/>
    <w:rsid w:val="00807619"/>
    <w:rsid w:val="0083106B"/>
    <w:rsid w:val="00832119"/>
    <w:rsid w:val="00843222"/>
    <w:rsid w:val="00861FBC"/>
    <w:rsid w:val="00862765"/>
    <w:rsid w:val="008648AF"/>
    <w:rsid w:val="008C26B5"/>
    <w:rsid w:val="008C50EB"/>
    <w:rsid w:val="008C68FB"/>
    <w:rsid w:val="0094205F"/>
    <w:rsid w:val="00966446"/>
    <w:rsid w:val="00973B44"/>
    <w:rsid w:val="009771AF"/>
    <w:rsid w:val="009B4D46"/>
    <w:rsid w:val="009C4001"/>
    <w:rsid w:val="009E58D4"/>
    <w:rsid w:val="00A14A09"/>
    <w:rsid w:val="00A3787C"/>
    <w:rsid w:val="00AC401B"/>
    <w:rsid w:val="00AE34D2"/>
    <w:rsid w:val="00AF7C70"/>
    <w:rsid w:val="00B11A98"/>
    <w:rsid w:val="00B53313"/>
    <w:rsid w:val="00BC046E"/>
    <w:rsid w:val="00C14B02"/>
    <w:rsid w:val="00C25E48"/>
    <w:rsid w:val="00C3125E"/>
    <w:rsid w:val="00CA5770"/>
    <w:rsid w:val="00CB5BBD"/>
    <w:rsid w:val="00CE4626"/>
    <w:rsid w:val="00CF6933"/>
    <w:rsid w:val="00D17B1C"/>
    <w:rsid w:val="00D463B0"/>
    <w:rsid w:val="00D53CA4"/>
    <w:rsid w:val="00D93F1D"/>
    <w:rsid w:val="00DB0B7A"/>
    <w:rsid w:val="00DC21F3"/>
    <w:rsid w:val="00DC6B81"/>
    <w:rsid w:val="00DD629A"/>
    <w:rsid w:val="00DE1D2B"/>
    <w:rsid w:val="00DF0DAF"/>
    <w:rsid w:val="00E10669"/>
    <w:rsid w:val="00EB779E"/>
    <w:rsid w:val="00ED2624"/>
    <w:rsid w:val="00EE0D17"/>
    <w:rsid w:val="00EF0314"/>
    <w:rsid w:val="00EF0FE5"/>
    <w:rsid w:val="00F3611C"/>
    <w:rsid w:val="00F436AA"/>
    <w:rsid w:val="00FD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7D382A"/>
  <w15:chartTrackingRefBased/>
  <w15:docId w15:val="{24AAD601-149F-4237-ADB1-5BC0D60A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2033"/>
    <w:pPr>
      <w:spacing w:after="0" w:line="240" w:lineRule="auto"/>
      <w:jc w:val="both"/>
    </w:pPr>
    <w:rPr>
      <w:rFonts w:ascii="Arial Narrow" w:hAnsi="Arial Narrow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1">
    <w:name w:val="awspan1"/>
    <w:basedOn w:val="Predvolenpsmoodseku"/>
    <w:rsid w:val="00722033"/>
    <w:rPr>
      <w:color w:val="000000"/>
    </w:rPr>
  </w:style>
  <w:style w:type="character" w:styleId="Zstupntext">
    <w:name w:val="Placeholder Text"/>
    <w:basedOn w:val="Predvolenpsmoodseku"/>
    <w:uiPriority w:val="99"/>
    <w:semiHidden/>
    <w:rsid w:val="00722033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0F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0FE5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942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4205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4205F"/>
    <w:rPr>
      <w:rFonts w:ascii="Arial Narrow" w:hAnsi="Arial Narrow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42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4205F"/>
    <w:rPr>
      <w:rFonts w:ascii="Arial Narrow" w:hAnsi="Arial Narrow"/>
      <w:b/>
      <w:bCs/>
      <w:sz w:val="20"/>
      <w:szCs w:val="20"/>
    </w:rPr>
  </w:style>
  <w:style w:type="paragraph" w:styleId="Bezriadkovania">
    <w:name w:val="No Spacing"/>
    <w:uiPriority w:val="1"/>
    <w:qFormat/>
    <w:rsid w:val="003F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3611C"/>
    <w:rPr>
      <w:i/>
      <w:iCs/>
    </w:rPr>
  </w:style>
  <w:style w:type="paragraph" w:styleId="Odsekzoznamu">
    <w:name w:val="List Paragraph"/>
    <w:basedOn w:val="Normlny"/>
    <w:uiPriority w:val="99"/>
    <w:qFormat/>
    <w:rsid w:val="00F3611C"/>
    <w:pPr>
      <w:widowControl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D6E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6E99"/>
    <w:rPr>
      <w:rFonts w:ascii="Arial Narrow" w:hAnsi="Arial Narrow"/>
      <w:szCs w:val="36"/>
    </w:rPr>
  </w:style>
  <w:style w:type="paragraph" w:styleId="Pta">
    <w:name w:val="footer"/>
    <w:basedOn w:val="Normlny"/>
    <w:link w:val="PtaChar"/>
    <w:uiPriority w:val="99"/>
    <w:unhideWhenUsed/>
    <w:rsid w:val="002D6E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6E99"/>
    <w:rPr>
      <w:rFonts w:ascii="Arial Narrow" w:hAnsi="Arial Narrow"/>
      <w:szCs w:val="36"/>
    </w:rPr>
  </w:style>
  <w:style w:type="character" w:customStyle="1" w:styleId="awspanawtext3">
    <w:name w:val="awspan awtext3"/>
    <w:basedOn w:val="Predvolenpsmoodseku"/>
    <w:rsid w:val="00360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C0C21-B3A3-4512-A402-9F6FDC9C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Ivanicova Eva</dc:creator>
  <cp:keywords/>
  <dc:description/>
  <cp:lastModifiedBy>Dancak Jan</cp:lastModifiedBy>
  <cp:revision>10</cp:revision>
  <cp:lastPrinted>2020-10-01T12:46:00Z</cp:lastPrinted>
  <dcterms:created xsi:type="dcterms:W3CDTF">2023-12-19T08:35:00Z</dcterms:created>
  <dcterms:modified xsi:type="dcterms:W3CDTF">2023-12-29T06:24:00Z</dcterms:modified>
</cp:coreProperties>
</file>