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171CA" w:rsidRDefault="00F171CA">
      <w:pPr>
        <w:jc w:val="center"/>
        <w:divId w:val="1006637851"/>
        <w:rPr>
          <w:rFonts w:ascii="Times" w:hAnsi="Times" w:cs="Times"/>
          <w:sz w:val="25"/>
          <w:szCs w:val="25"/>
        </w:rPr>
      </w:pPr>
      <w:r>
        <w:rPr>
          <w:rFonts w:ascii="Times" w:hAnsi="Times" w:cs="Times"/>
          <w:sz w:val="25"/>
          <w:szCs w:val="25"/>
        </w:rPr>
        <w:t xml:space="preserve">Zákon, ktorým sa mení a dopĺňa zákon č. 180/2014 Z. z. o podmienkach výkonu volebného práva a o zmene a doplnení niektorých zákonov v znení neskorších predpisov a ktorým sa menia a dopĺňajú niektoré zákony </w:t>
      </w:r>
    </w:p>
    <w:p w:rsidR="00927118" w:rsidRPr="00024402" w:rsidRDefault="00927118" w:rsidP="00283B12">
      <w:pPr>
        <w:spacing w:after="0" w:line="240" w:lineRule="auto"/>
      </w:pPr>
    </w:p>
    <w:tbl>
      <w:tblPr>
        <w:tblW w:w="15598" w:type="dxa"/>
        <w:tblCellMar>
          <w:left w:w="0" w:type="dxa"/>
          <w:right w:w="0" w:type="dxa"/>
        </w:tblCellMar>
        <w:tblLook w:val="0000" w:firstRow="0" w:lastRow="0" w:firstColumn="0" w:lastColumn="0" w:noHBand="0" w:noVBand="0"/>
      </w:tblPr>
      <w:tblGrid>
        <w:gridCol w:w="7797"/>
        <w:gridCol w:w="7801"/>
      </w:tblGrid>
      <w:tr w:rsidR="00927118" w:rsidRPr="00283B12" w:rsidTr="00B76589">
        <w:tc>
          <w:tcPr>
            <w:tcW w:w="7797"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r w:rsidRPr="00283B12">
              <w:rPr>
                <w:rFonts w:ascii="Times New Roman" w:hAnsi="Times New Roman" w:cs="Calibri"/>
                <w:sz w:val="18"/>
                <w:szCs w:val="18"/>
              </w:rPr>
              <w:t>Spôsob pripomienkového konania</w:t>
            </w:r>
          </w:p>
        </w:tc>
        <w:tc>
          <w:tcPr>
            <w:tcW w:w="7801" w:type="dxa"/>
            <w:tcBorders>
              <w:top w:val="nil"/>
              <w:left w:val="nil"/>
              <w:bottom w:val="nil"/>
              <w:right w:val="nil"/>
            </w:tcBorders>
          </w:tcPr>
          <w:p w:rsidR="00927118" w:rsidRPr="00283B12" w:rsidRDefault="00283B12" w:rsidP="00283B12">
            <w:pPr>
              <w:spacing w:after="0" w:line="240" w:lineRule="auto"/>
              <w:rPr>
                <w:rFonts w:ascii="Times New Roman" w:hAnsi="Times New Roman" w:cs="Calibri"/>
                <w:sz w:val="18"/>
                <w:szCs w:val="18"/>
              </w:rPr>
            </w:pPr>
            <w:bookmarkStart w:id="0" w:name="_GoBack"/>
            <w:bookmarkEnd w:id="0"/>
            <w:r w:rsidRPr="00283B12">
              <w:rPr>
                <w:rFonts w:ascii="Times New Roman" w:hAnsi="Times New Roman" w:cs="Calibri"/>
                <w:sz w:val="18"/>
                <w:szCs w:val="18"/>
              </w:rPr>
              <w:t>LP/2023/671 od 15. – 24. novembra 2023</w:t>
            </w:r>
          </w:p>
        </w:tc>
      </w:tr>
      <w:tr w:rsidR="00A251BF" w:rsidRPr="00283B12" w:rsidTr="00B76589">
        <w:tc>
          <w:tcPr>
            <w:tcW w:w="7797" w:type="dxa"/>
            <w:tcBorders>
              <w:top w:val="nil"/>
              <w:left w:val="nil"/>
              <w:bottom w:val="nil"/>
              <w:right w:val="nil"/>
            </w:tcBorders>
          </w:tcPr>
          <w:p w:rsidR="00A251BF" w:rsidRPr="00283B12" w:rsidRDefault="00A251BF" w:rsidP="00283B12">
            <w:pPr>
              <w:spacing w:after="0" w:line="240" w:lineRule="auto"/>
              <w:rPr>
                <w:rFonts w:ascii="Times New Roman" w:hAnsi="Times New Roman" w:cs="Calibri"/>
                <w:sz w:val="18"/>
                <w:szCs w:val="18"/>
              </w:rPr>
            </w:pPr>
            <w:r w:rsidRPr="00283B12">
              <w:rPr>
                <w:rFonts w:ascii="Times New Roman" w:hAnsi="Times New Roman" w:cs="Calibri"/>
                <w:sz w:val="18"/>
                <w:szCs w:val="18"/>
              </w:rPr>
              <w:t>Počet vznesených pripomienok, z toho zásadných</w:t>
            </w:r>
          </w:p>
        </w:tc>
        <w:tc>
          <w:tcPr>
            <w:tcW w:w="7801" w:type="dxa"/>
            <w:tcBorders>
              <w:top w:val="nil"/>
              <w:left w:val="nil"/>
              <w:bottom w:val="nil"/>
              <w:right w:val="nil"/>
            </w:tcBorders>
          </w:tcPr>
          <w:p w:rsidR="00A251BF" w:rsidRPr="00283B12" w:rsidRDefault="00F171CA" w:rsidP="00283B12">
            <w:pPr>
              <w:spacing w:after="0" w:line="240" w:lineRule="auto"/>
              <w:rPr>
                <w:rFonts w:ascii="Times New Roman" w:hAnsi="Times New Roman" w:cs="Calibri"/>
                <w:sz w:val="18"/>
                <w:szCs w:val="18"/>
              </w:rPr>
            </w:pPr>
            <w:r w:rsidRPr="00283B12">
              <w:rPr>
                <w:rFonts w:ascii="Times" w:hAnsi="Times" w:cs="Times"/>
                <w:sz w:val="18"/>
                <w:szCs w:val="18"/>
              </w:rPr>
              <w:t>17 /2</w:t>
            </w:r>
          </w:p>
        </w:tc>
      </w:tr>
      <w:tr w:rsidR="00927118" w:rsidRPr="00283B12" w:rsidTr="00B76589">
        <w:tc>
          <w:tcPr>
            <w:tcW w:w="7797"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r w:rsidRPr="00283B12">
              <w:rPr>
                <w:rFonts w:ascii="Times New Roman" w:hAnsi="Times New Roman" w:cs="Calibri"/>
                <w:sz w:val="18"/>
                <w:szCs w:val="18"/>
              </w:rPr>
              <w:t>Počet vyhodnotených pripomienok</w:t>
            </w:r>
          </w:p>
        </w:tc>
        <w:tc>
          <w:tcPr>
            <w:tcW w:w="7801" w:type="dxa"/>
            <w:tcBorders>
              <w:top w:val="nil"/>
              <w:left w:val="nil"/>
              <w:bottom w:val="nil"/>
              <w:right w:val="nil"/>
            </w:tcBorders>
          </w:tcPr>
          <w:p w:rsidR="00927118" w:rsidRPr="00283B12" w:rsidRDefault="00F171CA" w:rsidP="00283B12">
            <w:pPr>
              <w:spacing w:after="0" w:line="240" w:lineRule="auto"/>
              <w:rPr>
                <w:rFonts w:ascii="Times New Roman" w:hAnsi="Times New Roman" w:cs="Calibri"/>
                <w:sz w:val="18"/>
                <w:szCs w:val="18"/>
              </w:rPr>
            </w:pPr>
            <w:r w:rsidRPr="00283B12">
              <w:rPr>
                <w:rFonts w:ascii="Times" w:hAnsi="Times" w:cs="Times"/>
                <w:sz w:val="18"/>
                <w:szCs w:val="18"/>
              </w:rPr>
              <w:t>17</w:t>
            </w:r>
          </w:p>
        </w:tc>
      </w:tr>
      <w:tr w:rsidR="00927118" w:rsidRPr="00283B12" w:rsidTr="00B76589">
        <w:tc>
          <w:tcPr>
            <w:tcW w:w="7797"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p>
        </w:tc>
        <w:tc>
          <w:tcPr>
            <w:tcW w:w="7801"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p>
        </w:tc>
      </w:tr>
      <w:tr w:rsidR="00927118" w:rsidRPr="00283B12" w:rsidTr="00B76589">
        <w:tc>
          <w:tcPr>
            <w:tcW w:w="7797"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r w:rsidRPr="00283B12">
              <w:rPr>
                <w:rFonts w:ascii="Times New Roman" w:hAnsi="Times New Roman" w:cs="Calibri"/>
                <w:sz w:val="18"/>
                <w:szCs w:val="18"/>
              </w:rPr>
              <w:t>Počet akceptovaných pripomienok, z toho zásadných</w:t>
            </w:r>
          </w:p>
        </w:tc>
        <w:tc>
          <w:tcPr>
            <w:tcW w:w="7801" w:type="dxa"/>
            <w:tcBorders>
              <w:top w:val="nil"/>
              <w:left w:val="nil"/>
              <w:bottom w:val="nil"/>
              <w:right w:val="nil"/>
            </w:tcBorders>
          </w:tcPr>
          <w:p w:rsidR="00927118" w:rsidRPr="00283B12" w:rsidRDefault="00F171CA" w:rsidP="00283B12">
            <w:pPr>
              <w:spacing w:after="0" w:line="240" w:lineRule="auto"/>
              <w:rPr>
                <w:rFonts w:ascii="Times New Roman" w:hAnsi="Times New Roman" w:cs="Calibri"/>
                <w:sz w:val="18"/>
                <w:szCs w:val="18"/>
              </w:rPr>
            </w:pPr>
            <w:r w:rsidRPr="00283B12">
              <w:rPr>
                <w:rFonts w:ascii="Times" w:hAnsi="Times" w:cs="Times"/>
                <w:sz w:val="18"/>
                <w:szCs w:val="18"/>
              </w:rPr>
              <w:t>10 /0</w:t>
            </w:r>
          </w:p>
        </w:tc>
      </w:tr>
      <w:tr w:rsidR="00927118" w:rsidRPr="00283B12" w:rsidTr="00B76589">
        <w:tc>
          <w:tcPr>
            <w:tcW w:w="7797"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r w:rsidRPr="00283B12">
              <w:rPr>
                <w:rFonts w:ascii="Times New Roman" w:hAnsi="Times New Roman" w:cs="Calibri"/>
                <w:sz w:val="18"/>
                <w:szCs w:val="18"/>
              </w:rPr>
              <w:t>Počet čiastočne akceptovaných pripomienok, z toho zásadných</w:t>
            </w:r>
          </w:p>
        </w:tc>
        <w:tc>
          <w:tcPr>
            <w:tcW w:w="7801" w:type="dxa"/>
            <w:tcBorders>
              <w:top w:val="nil"/>
              <w:left w:val="nil"/>
              <w:bottom w:val="nil"/>
              <w:right w:val="nil"/>
            </w:tcBorders>
          </w:tcPr>
          <w:p w:rsidR="00927118" w:rsidRPr="00283B12" w:rsidRDefault="00F171CA" w:rsidP="00283B12">
            <w:pPr>
              <w:spacing w:after="0" w:line="240" w:lineRule="auto"/>
              <w:rPr>
                <w:rFonts w:ascii="Times New Roman" w:hAnsi="Times New Roman" w:cs="Calibri"/>
                <w:sz w:val="18"/>
                <w:szCs w:val="18"/>
              </w:rPr>
            </w:pPr>
            <w:r w:rsidRPr="00283B12">
              <w:rPr>
                <w:rFonts w:ascii="Times" w:hAnsi="Times" w:cs="Times"/>
                <w:sz w:val="18"/>
                <w:szCs w:val="18"/>
              </w:rPr>
              <w:t>1 /0</w:t>
            </w:r>
          </w:p>
        </w:tc>
      </w:tr>
      <w:tr w:rsidR="00927118" w:rsidRPr="00283B12" w:rsidTr="00B76589">
        <w:tc>
          <w:tcPr>
            <w:tcW w:w="7797"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r w:rsidRPr="00283B12">
              <w:rPr>
                <w:rFonts w:ascii="Times New Roman" w:hAnsi="Times New Roman" w:cs="Calibri"/>
                <w:sz w:val="18"/>
                <w:szCs w:val="18"/>
              </w:rPr>
              <w:t>Počet neakceptovaných pripomienok, z toho zásadných</w:t>
            </w:r>
          </w:p>
        </w:tc>
        <w:tc>
          <w:tcPr>
            <w:tcW w:w="7801" w:type="dxa"/>
            <w:tcBorders>
              <w:top w:val="nil"/>
              <w:left w:val="nil"/>
              <w:bottom w:val="nil"/>
              <w:right w:val="nil"/>
            </w:tcBorders>
          </w:tcPr>
          <w:p w:rsidR="00927118" w:rsidRPr="00283B12" w:rsidRDefault="00F171CA" w:rsidP="00283B12">
            <w:pPr>
              <w:spacing w:after="0" w:line="240" w:lineRule="auto"/>
              <w:rPr>
                <w:rFonts w:ascii="Times New Roman" w:hAnsi="Times New Roman" w:cs="Calibri"/>
                <w:sz w:val="18"/>
                <w:szCs w:val="18"/>
              </w:rPr>
            </w:pPr>
            <w:r w:rsidRPr="00283B12">
              <w:rPr>
                <w:rFonts w:ascii="Times" w:hAnsi="Times" w:cs="Times"/>
                <w:sz w:val="18"/>
                <w:szCs w:val="18"/>
              </w:rPr>
              <w:t>6 /2</w:t>
            </w:r>
          </w:p>
        </w:tc>
      </w:tr>
      <w:tr w:rsidR="00927118" w:rsidRPr="00283B12" w:rsidTr="00B76589">
        <w:tc>
          <w:tcPr>
            <w:tcW w:w="7797"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bCs/>
                <w:sz w:val="18"/>
                <w:szCs w:val="18"/>
              </w:rPr>
            </w:pPr>
          </w:p>
        </w:tc>
        <w:tc>
          <w:tcPr>
            <w:tcW w:w="7801"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p>
        </w:tc>
      </w:tr>
      <w:tr w:rsidR="00927118" w:rsidRPr="00283B12" w:rsidTr="00B76589">
        <w:tc>
          <w:tcPr>
            <w:tcW w:w="7797"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r w:rsidRPr="00283B12">
              <w:rPr>
                <w:rFonts w:ascii="Times New Roman" w:hAnsi="Times New Roman" w:cs="Calibri"/>
                <w:bCs/>
                <w:sz w:val="18"/>
                <w:szCs w:val="18"/>
              </w:rPr>
              <w:t>Rozporové konanie (s kým, kedy, s akým výsledkom)</w:t>
            </w:r>
          </w:p>
        </w:tc>
        <w:tc>
          <w:tcPr>
            <w:tcW w:w="7801"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p>
        </w:tc>
      </w:tr>
      <w:tr w:rsidR="00927118" w:rsidRPr="00283B12" w:rsidTr="00B76589">
        <w:tc>
          <w:tcPr>
            <w:tcW w:w="7797"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bCs/>
                <w:sz w:val="18"/>
                <w:szCs w:val="18"/>
              </w:rPr>
            </w:pPr>
            <w:r w:rsidRPr="00283B12">
              <w:rPr>
                <w:rFonts w:ascii="Times New Roman" w:hAnsi="Times New Roman" w:cs="Calibri"/>
                <w:bCs/>
                <w:sz w:val="18"/>
                <w:szCs w:val="18"/>
              </w:rPr>
              <w:t>Počet odstránených pripomienok</w:t>
            </w:r>
          </w:p>
        </w:tc>
        <w:tc>
          <w:tcPr>
            <w:tcW w:w="7801"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p>
        </w:tc>
      </w:tr>
      <w:tr w:rsidR="00927118" w:rsidRPr="00283B12" w:rsidTr="00B76589">
        <w:tc>
          <w:tcPr>
            <w:tcW w:w="7797"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bCs/>
                <w:sz w:val="18"/>
                <w:szCs w:val="18"/>
              </w:rPr>
            </w:pPr>
            <w:r w:rsidRPr="00283B12">
              <w:rPr>
                <w:rFonts w:ascii="Times New Roman" w:hAnsi="Times New Roman" w:cs="Calibri"/>
                <w:bCs/>
                <w:sz w:val="18"/>
                <w:szCs w:val="18"/>
              </w:rPr>
              <w:t>Počet neodstránených pripomienok</w:t>
            </w:r>
          </w:p>
        </w:tc>
        <w:tc>
          <w:tcPr>
            <w:tcW w:w="7801" w:type="dxa"/>
            <w:tcBorders>
              <w:top w:val="nil"/>
              <w:left w:val="nil"/>
              <w:bottom w:val="nil"/>
              <w:right w:val="nil"/>
            </w:tcBorders>
          </w:tcPr>
          <w:p w:rsidR="00927118" w:rsidRPr="00283B12" w:rsidRDefault="00927118" w:rsidP="00283B12">
            <w:pPr>
              <w:spacing w:after="0" w:line="240" w:lineRule="auto"/>
              <w:rPr>
                <w:rFonts w:ascii="Times New Roman" w:hAnsi="Times New Roman" w:cs="Calibri"/>
                <w:sz w:val="18"/>
                <w:szCs w:val="18"/>
              </w:rPr>
            </w:pPr>
          </w:p>
        </w:tc>
      </w:tr>
    </w:tbl>
    <w:p w:rsidR="00927118" w:rsidRPr="00283B12" w:rsidRDefault="00927118" w:rsidP="00283B12">
      <w:pPr>
        <w:spacing w:after="0" w:line="240" w:lineRule="auto"/>
        <w:rPr>
          <w:rFonts w:ascii="Times New Roman" w:hAnsi="Times New Roman" w:cs="Calibri"/>
          <w:b/>
          <w:sz w:val="18"/>
          <w:szCs w:val="18"/>
        </w:rPr>
      </w:pPr>
    </w:p>
    <w:p w:rsidR="00927118" w:rsidRPr="00283B12" w:rsidRDefault="00927118" w:rsidP="00283B12">
      <w:pPr>
        <w:spacing w:after="0" w:line="240" w:lineRule="auto"/>
        <w:rPr>
          <w:sz w:val="18"/>
          <w:szCs w:val="18"/>
        </w:rPr>
      </w:pPr>
      <w:r w:rsidRPr="00283B12">
        <w:rPr>
          <w:rFonts w:ascii="Times New Roman" w:hAnsi="Times New Roman" w:cs="Calibri"/>
          <w:sz w:val="18"/>
          <w:szCs w:val="18"/>
        </w:rPr>
        <w:t>Sumarizácia vznesených pripomienok podľa subjektov</w:t>
      </w:r>
    </w:p>
    <w:p w:rsidR="00F171CA" w:rsidRDefault="00F171CA" w:rsidP="00283B12">
      <w:pPr>
        <w:spacing w:after="0"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7"/>
        <w:gridCol w:w="1405"/>
        <w:gridCol w:w="1405"/>
        <w:gridCol w:w="1392"/>
        <w:gridCol w:w="1038"/>
      </w:tblGrid>
      <w:tr w:rsidR="00F171CA" w:rsidTr="00283B12">
        <w:trPr>
          <w:divId w:val="877156688"/>
          <w:jc w:val="center"/>
        </w:trPr>
        <w:tc>
          <w:tcPr>
            <w:tcW w:w="123"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rsidP="00283B12">
            <w:pPr>
              <w:spacing w:after="0" w:line="240" w:lineRule="auto"/>
              <w:rPr>
                <w:rFonts w:ascii="Times" w:hAnsi="Times" w:cs="Times"/>
                <w:b/>
                <w:bCs/>
                <w:sz w:val="25"/>
                <w:szCs w:val="25"/>
              </w:rPr>
            </w:pPr>
            <w:r>
              <w:rPr>
                <w:rFonts w:ascii="Times" w:hAnsi="Times" w:cs="Times"/>
                <w:b/>
                <w:bCs/>
                <w:sz w:val="25"/>
                <w:szCs w:val="25"/>
              </w:rPr>
              <w:t>Č.</w:t>
            </w:r>
          </w:p>
        </w:tc>
        <w:tc>
          <w:tcPr>
            <w:tcW w:w="2908"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rsidP="00283B12">
            <w:pPr>
              <w:spacing w:after="0" w:line="240" w:lineRule="auto"/>
              <w:rPr>
                <w:rFonts w:ascii="Times" w:hAnsi="Times" w:cs="Times"/>
                <w:b/>
                <w:bCs/>
                <w:sz w:val="25"/>
                <w:szCs w:val="25"/>
              </w:rPr>
            </w:pPr>
            <w:r>
              <w:rPr>
                <w:rFonts w:ascii="Times" w:hAnsi="Times" w:cs="Times"/>
                <w:b/>
                <w:bCs/>
                <w:sz w:val="25"/>
                <w:szCs w:val="25"/>
              </w:rPr>
              <w:t>Subjekt</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rsidP="00283B12">
            <w:pPr>
              <w:spacing w:after="0" w:line="240" w:lineRule="auto"/>
              <w:rPr>
                <w:rFonts w:ascii="Times" w:hAnsi="Times" w:cs="Times"/>
                <w:b/>
                <w:bCs/>
                <w:sz w:val="25"/>
                <w:szCs w:val="25"/>
              </w:rPr>
            </w:pPr>
            <w:r>
              <w:rPr>
                <w:rFonts w:ascii="Times" w:hAnsi="Times" w:cs="Times"/>
                <w:b/>
                <w:bCs/>
                <w:sz w:val="25"/>
                <w:szCs w:val="25"/>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rsidP="00283B12">
            <w:pPr>
              <w:spacing w:after="0" w:line="240" w:lineRule="auto"/>
              <w:rPr>
                <w:rFonts w:ascii="Times" w:hAnsi="Times" w:cs="Times"/>
                <w:b/>
                <w:bCs/>
                <w:sz w:val="25"/>
                <w:szCs w:val="25"/>
              </w:rPr>
            </w:pPr>
            <w:r>
              <w:rPr>
                <w:rFonts w:ascii="Times" w:hAnsi="Times" w:cs="Times"/>
                <w:b/>
                <w:bCs/>
                <w:sz w:val="25"/>
                <w:szCs w:val="25"/>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rsidP="00283B12">
            <w:pPr>
              <w:spacing w:after="0" w:line="240" w:lineRule="auto"/>
              <w:rPr>
                <w:rFonts w:ascii="Times" w:hAnsi="Times" w:cs="Times"/>
                <w:b/>
                <w:bCs/>
                <w:sz w:val="25"/>
                <w:szCs w:val="25"/>
              </w:rPr>
            </w:pPr>
            <w:r>
              <w:rPr>
                <w:rFonts w:ascii="Times" w:hAnsi="Times" w:cs="Times"/>
                <w:b/>
                <w:bCs/>
                <w:sz w:val="25"/>
                <w:szCs w:val="25"/>
              </w:rPr>
              <w:t>Nemali pripomienky</w:t>
            </w:r>
          </w:p>
        </w:tc>
        <w:tc>
          <w:tcPr>
            <w:tcW w:w="391"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rsidP="00283B12">
            <w:pPr>
              <w:spacing w:after="0" w:line="240" w:lineRule="auto"/>
              <w:rPr>
                <w:rFonts w:ascii="Times" w:hAnsi="Times" w:cs="Times"/>
                <w:b/>
                <w:bCs/>
                <w:sz w:val="25"/>
                <w:szCs w:val="25"/>
              </w:rPr>
            </w:pPr>
            <w:r>
              <w:rPr>
                <w:rFonts w:ascii="Times" w:hAnsi="Times" w:cs="Times"/>
                <w:b/>
                <w:bCs/>
                <w:sz w:val="25"/>
                <w:szCs w:val="25"/>
              </w:rPr>
              <w:t>Vôbec nezaslali</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sz w:val="20"/>
                <w:szCs w:val="20"/>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sz w:val="20"/>
                <w:szCs w:val="20"/>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sz w:val="20"/>
                <w:szCs w:val="20"/>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sz w:val="20"/>
                <w:szCs w:val="20"/>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sz w:val="20"/>
                <w:szCs w:val="20"/>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sz w:val="20"/>
                <w:szCs w:val="20"/>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sz w:val="20"/>
                <w:szCs w:val="20"/>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sz w:val="20"/>
                <w:szCs w:val="20"/>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sz w:val="20"/>
                <w:szCs w:val="20"/>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sz w:val="20"/>
                <w:szCs w:val="20"/>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27</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28</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29</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30</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31</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32</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33</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34</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35</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36</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37</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38</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39</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40</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41</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lastRenderedPageBreak/>
              <w:t>42</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43</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44</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45</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46</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47</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48</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49</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50</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51</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52</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53</w:t>
            </w:r>
            <w:r w:rsidR="00F171CA">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x</w:t>
            </w:r>
          </w:p>
        </w:tc>
      </w:tr>
      <w:tr w:rsidR="00F171CA" w:rsidTr="00283B12">
        <w:trPr>
          <w:divId w:val="877156688"/>
          <w:jc w:val="center"/>
        </w:trPr>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F171CA" w:rsidP="00283B12">
            <w:pPr>
              <w:spacing w:after="0" w:line="240" w:lineRule="auto"/>
              <w:rPr>
                <w:rFonts w:ascii="Times" w:hAnsi="Times" w:cs="Times"/>
                <w:sz w:val="25"/>
                <w:szCs w:val="25"/>
              </w:rPr>
            </w:pPr>
            <w:r>
              <w:rPr>
                <w:rFonts w:ascii="Times" w:hAnsi="Times" w:cs="Times"/>
                <w:sz w:val="25"/>
                <w:szCs w:val="25"/>
              </w:rPr>
              <w:t>17 (15o,2z)</w:t>
            </w:r>
          </w:p>
        </w:tc>
        <w:tc>
          <w:tcPr>
            <w:tcW w:w="0" w:type="auto"/>
            <w:tcBorders>
              <w:top w:val="outset" w:sz="6" w:space="0" w:color="000000"/>
              <w:left w:val="outset" w:sz="6" w:space="0" w:color="000000"/>
              <w:bottom w:val="outset" w:sz="6" w:space="0" w:color="000000"/>
              <w:right w:val="outset" w:sz="6" w:space="0" w:color="000000"/>
            </w:tcBorders>
          </w:tcPr>
          <w:p w:rsidR="00F171CA" w:rsidRDefault="00F171CA" w:rsidP="00283B12">
            <w:pPr>
              <w:spacing w:after="0" w:line="240" w:lineRule="auto"/>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71CA" w:rsidRDefault="00283B12" w:rsidP="00283B12">
            <w:pPr>
              <w:spacing w:after="0" w:line="240" w:lineRule="auto"/>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171CA" w:rsidRPr="00283B12" w:rsidRDefault="00283B12" w:rsidP="00283B12">
            <w:pPr>
              <w:spacing w:after="0" w:line="240" w:lineRule="auto"/>
              <w:rPr>
                <w:rFonts w:ascii="Times" w:hAnsi="Times" w:cs="Times"/>
                <w:sz w:val="25"/>
                <w:szCs w:val="25"/>
              </w:rPr>
            </w:pPr>
            <w:r w:rsidRPr="00283B12">
              <w:rPr>
                <w:rFonts w:ascii="Times" w:hAnsi="Times" w:cs="Times"/>
                <w:sz w:val="25"/>
                <w:szCs w:val="25"/>
              </w:rPr>
              <w:t>27</w:t>
            </w:r>
          </w:p>
        </w:tc>
      </w:tr>
    </w:tbl>
    <w:p w:rsidR="00BF7CE0" w:rsidRPr="00BF7CE0" w:rsidRDefault="00BF7CE0" w:rsidP="00283B12">
      <w:pPr>
        <w:spacing w:after="0" w:line="240" w:lineRule="auto"/>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283B12">
      <w:pPr>
        <w:pStyle w:val="Zkladntext"/>
        <w:widowControl/>
        <w:jc w:val="left"/>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283B12">
            <w:pPr>
              <w:pStyle w:val="Zkladntext"/>
              <w:widowControl/>
              <w:jc w:val="left"/>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283B12">
            <w:pPr>
              <w:pStyle w:val="Zkladntext"/>
              <w:widowControl/>
              <w:jc w:val="left"/>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283B12">
            <w:pPr>
              <w:pStyle w:val="Zkladntext"/>
              <w:widowControl/>
              <w:jc w:val="left"/>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283B12">
            <w:pPr>
              <w:pStyle w:val="Zkladntext"/>
              <w:widowControl/>
              <w:jc w:val="left"/>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283B12">
            <w:pPr>
              <w:pStyle w:val="Zkladntext"/>
              <w:widowControl/>
              <w:jc w:val="left"/>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283B12">
            <w:pPr>
              <w:pStyle w:val="Zkladntext"/>
              <w:widowControl/>
              <w:jc w:val="left"/>
              <w:rPr>
                <w:b w:val="0"/>
                <w:color w:val="000000"/>
                <w:sz w:val="25"/>
                <w:szCs w:val="25"/>
              </w:rPr>
            </w:pPr>
          </w:p>
        </w:tc>
        <w:tc>
          <w:tcPr>
            <w:tcW w:w="3119" w:type="dxa"/>
            <w:tcBorders>
              <w:top w:val="nil"/>
              <w:left w:val="nil"/>
              <w:bottom w:val="nil"/>
              <w:right w:val="nil"/>
            </w:tcBorders>
          </w:tcPr>
          <w:p w:rsidR="00BF7CE0" w:rsidRPr="009F7218" w:rsidRDefault="00BF7CE0" w:rsidP="00283B12">
            <w:pPr>
              <w:pStyle w:val="Zkladntext"/>
              <w:widowControl/>
              <w:jc w:val="left"/>
              <w:rPr>
                <w:b w:val="0"/>
                <w:color w:val="000000"/>
                <w:sz w:val="25"/>
                <w:szCs w:val="25"/>
              </w:rPr>
            </w:pPr>
            <w:r w:rsidRPr="009F7218">
              <w:rPr>
                <w:b w:val="0"/>
                <w:color w:val="000000"/>
                <w:sz w:val="25"/>
                <w:szCs w:val="25"/>
              </w:rPr>
              <w:t>ČA – čiastočne akceptovaná</w:t>
            </w:r>
          </w:p>
        </w:tc>
      </w:tr>
    </w:tbl>
    <w:p w:rsidR="00E85710" w:rsidRDefault="00E85710" w:rsidP="00283B12">
      <w:pPr>
        <w:spacing w:after="0" w:line="240" w:lineRule="auto"/>
      </w:pPr>
      <w:r>
        <w:br w:type="page"/>
      </w:r>
    </w:p>
    <w:p w:rsidR="00F171CA" w:rsidRDefault="00F171C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Spôsob vyhodnotenia</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Všeobecne - O:</w:t>
            </w:r>
            <w:r>
              <w:rPr>
                <w:rFonts w:ascii="Times" w:hAnsi="Times" w:cs="Times"/>
                <w:sz w:val="25"/>
                <w:szCs w:val="25"/>
              </w:rPr>
              <w:br/>
              <w:t>K vyššie uvedenému materiálu Generálna prokuratúra Slovenskej republiky neuplatňuje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Nad rámec novely Navrhujeme v rámci novelizácie predmetného zákona vyriešiť situáciu v tzv. celoštátnych voľbách (voľby do Národnej rady Slovenskej republiky, voľby prezidenta Slovenskej republiky, ľudové hlasovanie o odvolaní prezidenta a referendum) v prípade obvineného alebo odsúdeného občana Slovenskej republiky, ktorý má trvalý pobyt v zahraničí, avšak v čase konania volieb bude vo výkone väzby alebo vo výkone trestu odňatia slobody na území Slovenskej republiky. Odôvodnenie: Vo voľbách do Národnej rady Slovenskej republiky v roku 2023 Zbor väzenskej a justičnej stráže riešil prípad, keď si odsúdená občianka Slovenskej republiky s trvalým pobytom mimo územia Slovenskej republiky, ktorá bola v čase trvania volieb vo výkone trestu odňatia slobody, nemohla uplatniť svoje volebné právo, pretože aktuálne platný zákon takúto situáciu nerieši. V tomto prípade bolo teda porušené jej ústavné právo. Je veľká pravdepodobnosť, že podobné prípady sa v budúcnosti môžu opakovať, preto navrhujeme predmetnú pripomienku aj nad rámec predkladanej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Načrtnutá problematika je nad rámec predmetu úpravy predkladanej novely a bude riešená v osobitnom legislatívnom procese v nasledujúcom období.</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Čl. I bod 1</w:t>
            </w:r>
            <w:r>
              <w:rPr>
                <w:rFonts w:ascii="Times" w:hAnsi="Times" w:cs="Times"/>
                <w:sz w:val="25"/>
                <w:szCs w:val="25"/>
              </w:rPr>
              <w:br/>
            </w:r>
            <w:r>
              <w:rPr>
                <w:rFonts w:ascii="Times" w:hAnsi="Times" w:cs="Times"/>
                <w:sz w:val="25"/>
                <w:szCs w:val="25"/>
              </w:rPr>
              <w:lastRenderedPageBreak/>
              <w:t>1. V čl. I bode 1 § 19a ods. 2, 4, 6 a 8 odporúčame za slovo „častí“ vložiť slovo „tohto“.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Text upravený.</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Čl. I bod 9</w:t>
            </w:r>
            <w:r>
              <w:rPr>
                <w:rFonts w:ascii="Times" w:hAnsi="Times" w:cs="Times"/>
                <w:sz w:val="25"/>
                <w:szCs w:val="25"/>
              </w:rPr>
              <w:br/>
              <w:t>2. V čl. I bode 9 odporúčame doplniť druhú vetu v tomto znení: „Doterajší odsek 3 sa označuje ako odsek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Text upravený.</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Čl. I bod 15</w:t>
            </w:r>
            <w:r>
              <w:rPr>
                <w:rFonts w:ascii="Times" w:hAnsi="Times" w:cs="Times"/>
                <w:sz w:val="25"/>
                <w:szCs w:val="25"/>
              </w:rPr>
              <w:br/>
              <w:t>3. V čl. I bode 15 § 188 ods. 5 poslednej vete odporúčame pred slovo „zverejňuje“ vložiť slovo „bezodkladne“.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Čas zverejnenia je zrejmý z prvej vety ustanovenia. Posledná veta rieši iba príslušnosť na zverejnenie zápisnice.</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(napríklad v čl. I bode 1 § 19a ods. 2, 4, 6 a 8 za slovo „častí“ vložiť slovo „tohto“, v bode 1 § 19a ods. 10 tretej vete vypustiť slová „po dobu“ ako nadbytočné, v bode 2 § 30 ods. 5 druhej vete, v bode 3 § 32 ods. 3 druhej vete, v bode 10 § 155 ods. 4 druhej vete, v bode 11 § 156 ods. 4 druhej vete, v bode 14 § 187 ods. 4 druhej vete a v bode 15 § 188 ods. 5 druhej vete slovo „predchádzajúcej“ nahradiť slovom „prvej“, v bode 9 doplniť druhú vetu v tomto znení: „Doterajší odsek 3 sa označuje ako odsek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Text upravený.</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bodu 4: Odporúčame doplniť do odôvodnenia tohto bodu v osobitnej časti dôvodovej správy, prečo sa zmena v rozsahu údajov o kandidátoch uvádzaných na kandidátnych listinách nevzťahuje (a to opätovne) na kandidátov na prezidenta.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Text upravený.</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K správe o účasti verejnosti na tvorbe právnych predpisov</w:t>
            </w:r>
            <w:r>
              <w:rPr>
                <w:rFonts w:ascii="Times" w:hAnsi="Times" w:cs="Times"/>
                <w:sz w:val="25"/>
                <w:szCs w:val="25"/>
              </w:rPr>
              <w:br/>
              <w:t>Odporúčame používať správu o účasti verejnosti na tvorbe právnych predpisov v znení prílohy č. 4 k Legislatívnym pravidlám vlády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Považujeme za vhodnejšie vyjadrenie správy o účasti verejnosti súvislým textom.</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K obalu</w:t>
            </w:r>
            <w:r>
              <w:rPr>
                <w:rFonts w:ascii="Times" w:hAnsi="Times" w:cs="Times"/>
                <w:sz w:val="25"/>
                <w:szCs w:val="25"/>
              </w:rPr>
              <w:br/>
              <w:t>Odporúčame v názve navrhovaného zákona odstrániť slovné spojenie „ a ktorým sa menia a dopĺňajú niektoré zákony“, a zároveň odporúčame nahradiť rok „2023“ rokom „2024“. Odôvodnenie: legislatívno-technická pripomienka. Z obsahu vlastného materiálu nevyplýva novelizácia ďalších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Text upravený.</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V čl. I bod. 7 odporúčame vložiť pred „§“ predložku „v“.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Text upravený.</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piatom odseku absentuje informácia v súvislosti s vplyvmi na limit verejných výdavkov. Uvedené je potrebné zohľadniť aj v šiestom odseku dôvodovej správy všeobecná časť.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Text upravený.</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Čl. I § 19a ods. 10</w:t>
            </w:r>
            <w:r>
              <w:rPr>
                <w:rFonts w:ascii="Times" w:hAnsi="Times" w:cs="Times"/>
                <w:sz w:val="25"/>
                <w:szCs w:val="25"/>
              </w:rPr>
              <w:br/>
              <w:t xml:space="preserve">V bode 1 vlastného materiálu (§ 19a ods. 10) sa uvádza: „Osobné údaje zaregistrovaného kandidáta, kandidáta uvedeného na zaregistrovanej kandidátnej listine a kandidáta na prezidenta v rozsahu dátum narodenia, rodné číslo, pohlavie a adresa trvalého </w:t>
            </w:r>
            <w:r>
              <w:rPr>
                <w:rFonts w:ascii="Times" w:hAnsi="Times" w:cs="Times"/>
                <w:sz w:val="25"/>
                <w:szCs w:val="25"/>
              </w:rPr>
              <w:lastRenderedPageBreak/>
              <w:t>pobytu sa nesprístupňujú. Rovnako sa nesprístupňujú osobné údaje nezaregistrovaného kandidáta, kandidáta uvedeného na nezaregistrovanej kandidátnej listine alebo kandidáta, ktorý bol z kandidátnej listiny vyčiarknutý. Osobné údaje podľa prvej vety a druhej vety sa uchovávajú po dobu päť rokov.“. Slová „dátum narodenia“ v odseku 10 odporúčame vypustiť. Odôvodnenie: Podľa § 103 ods. 4 zákona č. 180/2014 Z. z. o podmienkach výkonu volebného práva a o zmene a doplnení niektorých zákonov: „Predseda Národnej rady Slovenskej republiky do 24 hodín od prijatia návrhu na kandidáta oznamuje štátnej komisii meno, priezvisko, titul kandidáta, vek, zamestnanie a adresu trvalého pobytu kandidáta.“ V zmysle uvedeného, je uvedenie dátumu narodenia vo výpočte údajov o kandidátovi, ktoré sa nesprístupňujú nadbytočné. Navyše vzhľadom na ďalšiu navrhovanú zmenu zákona uvedenú v bode 4, v rámci ktorej sa nahrádza údaj o dátume narodenia rodným číslom ide o bezpredmetnú informáciu.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Čl. I. ods. 9</w:t>
            </w:r>
            <w:r>
              <w:rPr>
                <w:rFonts w:ascii="Times" w:hAnsi="Times" w:cs="Times"/>
                <w:sz w:val="25"/>
                <w:szCs w:val="25"/>
              </w:rPr>
              <w:br/>
              <w:t>V zmysle čl. I bod 9 návrhu sa vypúšťa ods. 2 z § 141 a § 146. Vzhľadom na to je potrebné odseky v uvedeným paragrafoch s označením 3, označovať ako odseky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Text upravený.</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 19a ods. 3</w:t>
            </w:r>
            <w:r>
              <w:rPr>
                <w:rFonts w:ascii="Times" w:hAnsi="Times" w:cs="Times"/>
                <w:sz w:val="25"/>
                <w:szCs w:val="25"/>
              </w:rPr>
              <w:br/>
              <w:t xml:space="preserve">V navrhovanom § 19a ods. 3 navrhujeme doplniť aj voľby prezidenta Slovenskej republiky. Odôvodnenie: Uvedené ustanovenie vymenúva voľby pri ktorých sa využíva overovanie údajov kandidátov z Registra. Voľba prezidenta SR by tam mala byť uvedená tiež, nakoľko v ods. 5 predmetného ustanovenia sa v </w:t>
            </w:r>
            <w:r>
              <w:rPr>
                <w:rFonts w:ascii="Times" w:hAnsi="Times" w:cs="Times"/>
                <w:sz w:val="25"/>
                <w:szCs w:val="25"/>
              </w:rPr>
              <w:lastRenderedPageBreak/>
              <w:t>písm. c) uvádza.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Kandidáta na prezidenta overuje a registruje predseda Národnej rady Slovenskej republiky.</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K bodu 6</w:t>
            </w:r>
            <w:r>
              <w:rPr>
                <w:rFonts w:ascii="Times" w:hAnsi="Times" w:cs="Times"/>
                <w:sz w:val="25"/>
                <w:szCs w:val="25"/>
              </w:rPr>
              <w:br/>
              <w:t>Výrazne až o polovicu, teda na 20 dní, bola pre obce skrátená lehota na prípravu, teda prerozdelenie hlasovacích lístkov pre voľby do EP pre jednotlivé okrsky. Príklad: ostatné voľby bolo 29 politických subjektov, v Trenčíne máme 47 tisíc voličov, teda spolu sme museli prerozdeliť viac ako milión tristo tisíc hlasovacích lístkov. Z 20 kalendárnych dní nám vypadnú minimálne 2 víkendy a máme na rozdelenie maximálne 16 pracovných dní, čo je veľmi málo. Súčasné znenie príslušného ustanovenia zákona: §85 ods. 6) Ministerstvo vnútra doručuje hlasovacie lístky prostredníctvom okresných úradov obciam najneskôr 40 dní predo dňom konania volieb. Starostovia obcí zabezpečia, aby boli hlasovacie lístky doručené najneskôr v deň konania volieb okrskovým volebným komisiám. Táto lehota, teda zo 40 na 20 dní bola od 1.3.2023 skrátená aj pre voľby do NRSR (§ 55 ods.6), ale lístky boli dodané skôr. Ak budú lístky dodané v zákonom stanovenej lehote, bol by problém s ich rozdelením včas.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 xml:space="preserve">Rozpor odstránený po vzájomnom vysvetlení. Ministerstvo vnútra ako garant bezporuchového priebehu volieb postupuje v úzkej súčinnosti s obcami a mestami s ohľadom na ich potreby tak, aby mali dostatočný časový priestor na prerozdelenie jednotlivých hlasovacích lístkov do volebných okrskov. Aplikačná prax už vo voľbách do NR SR preukázala, že táto doba je dostatočná. </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Zavádza sa register kandidátov a kandidátnych listín. - v ods.6 navrhujeme slovné spojenie „bezodkladne po doručení kandidátnej listiny“ nahradiť slovným spojením „najneskôr 3 dni po doručení kandidátnej listiny“ (6) Údaje podľa odseku 5 zapisuje do registra zapisovateľ volebnej komisie príslušnej na registráciu kandidátov alebo registráciu kandidátnych listín podľa osobitných častí zákona najneskôr 3 dni po doručení kandidátnej </w:t>
            </w:r>
            <w:r>
              <w:rPr>
                <w:rFonts w:ascii="Times" w:hAnsi="Times" w:cs="Times"/>
                <w:sz w:val="25"/>
                <w:szCs w:val="25"/>
              </w:rPr>
              <w:lastRenderedPageBreak/>
              <w:t>listiny. Vo voľbách prezidenta Slovenskej republiky zapisuje údaje do registra zapisovateľ štátnej komisie bezodkladne po doručení oznámenia podľa § 103 ods. 4. Odôvodnenie: Väčšina kandidátov doručuje kandidátne listiny v posledný deň lehoty. Je nereálne (najmä vo väčších mestách, kde je veľký počet kandidátov), aby zapisovateľ stihol aj preberať kandidátne listiny a zisťovať, či predložené listiny obsahujú náležitosti podľa zákona a aj bezodkladne údaje o kandidátoch z nich zapisovať do navrhovaného registra.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 xml:space="preserve">Rozpor odstránený po vzájomnom vysvetlení. Slovo bezodkladne znamená bez zbytočného odkladu s ohľadom na aktuálne možnosti a kapacity s prihliadnutím na pracovnú dobu zapisovateľa. </w:t>
            </w:r>
          </w:p>
        </w:tc>
      </w:tr>
      <w:tr w:rsidR="00F171CA">
        <w:trPr>
          <w:divId w:val="14429972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Požadujeme prepracovať ustanovenia v celom rozsahu s ohľadom na oblasť ochrany osobných údajov. Táto pripomienka je zásadná. Odôvodnenie: V ustanovení § 19a ods. 1 predkladateľ zákona uvádza Ministerstvo vnútra ako orgán oprávnený nakladať a spravovať daný informačný systém, pričom z navrhovaného znenia ako ani dôvodovej správy nie je zrejmá osoba prevádzkovateľa daného informačného systému v zmysle právnych predpisov v oblasti ochrany osobných údajov (čl. 4 bod 7 nariadenia 2016/679). Z uvedeného dôvodu preto požadujeme náležite vymedziť prevádzkovateľa informačného systému s ohľadom na posúdenie jeho oprávnenia určiť účel ako aj prostriedky daného spracúvania a v prípade, že sa jedná o niekoľko oprávnených subjektov, požadujeme vymedziť ich vzájomné zodpovednostné vzťahy v súlade s nariadením 2016/679 (spoloční prevádzkovatelia, sprostredkovatelia a pod.). Z uvedeného znenia nie je zároveň zrejmé, kto môže do predmetného registra vstupovať (verejná a neverejná časť) ako </w:t>
            </w:r>
            <w:r>
              <w:rPr>
                <w:rFonts w:ascii="Times" w:hAnsi="Times" w:cs="Times"/>
                <w:sz w:val="25"/>
                <w:szCs w:val="25"/>
              </w:rPr>
              <w:lastRenderedPageBreak/>
              <w:t xml:space="preserve">ani to, v akom rozsahu majú byť na dané účely údaje sprístupnené tretím stranám. Ďalej s ohľadom na čl. 6 ods. 3 nariadenia 2016/679 požadujeme aj jednoznačne určiť a uviesť účel spracúvania, ktorý by mal byť stanovený v tomto právnom základe, a to najmä s ohľadom na posúdenie nevyhnutnosti spracúvania údajov v kontexte stanoveného účelu, ktorá by mala byť náležite odôvodnená. Ustanovenia § 19a predkladaného znenia zároveň nereflektujú požiadavku zásady minimalizácie údajov v zmysle čl. 5 ods. 1 písm. c) nariadenia 2016/679, podľa ktorej by mal byť rozsah osobných údajov primeraný, relevantný, nevyhnutný a zároveň zákonom stanovený v taxatívnej podobe. Z predkladaného znenia nám tento rozsah nie je zrejmý, preto požadujeme doplniť rozsah spracúvaných údajov v predmetnom registri, v prípade, že rozsah spracúvaných údajov je už stanovený zákonom, uviesť odkaz na to-ktoré ustanovenie zákona. Zároveň ozrejmujeme, že z hľadiska posúdenia charakteru spracúvaných osobných údajov zrejme pôjde aj o spracúvanie osobitnej kategórie údajov, tzv. citlivých údajov, ktorých právna úprava je obsiahnutá v čl. 9 nariadenia 2016/679. S ohľadom na spracúvanie údajov prostredníctvom informačného systému je potrebné zohľadniť primerané technické a bezpečnostné opatrenia ako aj posúdenie vplyvu na práva dotknutých osôb. V súvislosti s § 19a ods. 7 predkladaného znenia je potrebné posúdiť aj oprávnenie informačného systému registra fyzických osôb poskytovať tieto údaje zapisovateľovi volebnej komisie za daným účelom v zmysle príslušného zákona, resp. posúdiť právny základ tejto spracovateľskej činnosti nie len v rovine overenia týchto údajov zapisovateľom volebnej komisie, ale rovnako tak v rovine </w:t>
            </w:r>
            <w:r>
              <w:rPr>
                <w:rFonts w:ascii="Times" w:hAnsi="Times" w:cs="Times"/>
                <w:sz w:val="25"/>
                <w:szCs w:val="25"/>
              </w:rPr>
              <w:lastRenderedPageBreak/>
              <w:t>oprávnenia informačného systému registra fyzických osôb tieto údaje poskytnúť na účely ich overenia. V prípade, že príslušný právny predpis toto oprávnenie neukladá, je potrebné ho novelizovať. V súvislosti s § 19a ods. 10 predkladaného znenia upriamujeme pozornosť na zásadu minimalizácie uchovávania údajov podľa čl. 5 písm. e) nariadenia 2016/679, pričom odôvodnenie nevyhnutnosti uchovávania osobných údajov po dobu 5 rokov nie je dostatočné, nakoľko práve doba uchovávania by mala reflektovať určený účel, ktorého dosiahnutím nie je nevyhnutné údaje ďalej spracúvať. Rovnako v prípade § 30 ods. 5; § 155 ods. 4; § 187 ods. 4 a § 188 ods. 5 predkladaného znenia nie je zrejmý rozsah spracúvaných údajov uvedených v zápisnici v zmysle čl. 5 ods. 1 písm. c) nariadenia 2016/679. Uvedené požadujeme doplniť vrátane účelu zverejňovania zápisníc ako aj stanovenia doby ich zverejňovania.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71CA" w:rsidRDefault="00F171CA">
            <w:pPr>
              <w:rPr>
                <w:rFonts w:ascii="Times" w:hAnsi="Times" w:cs="Times"/>
                <w:sz w:val="25"/>
                <w:szCs w:val="25"/>
              </w:rPr>
            </w:pPr>
            <w:r>
              <w:rPr>
                <w:rFonts w:ascii="Times" w:hAnsi="Times" w:cs="Times"/>
                <w:sz w:val="25"/>
                <w:szCs w:val="25"/>
              </w:rPr>
              <w:t xml:space="preserve">Text primerane upravený doplnením prevádzkovateľa informačného systému (§ 19a ods. 1) a doplnením účelu, na ktorý slúžia údaje z registra (§ 19a ods. 9 písm. d)). Na ostatných pripomienkach po vzájomnom vysvetlení a ozrejmení problematiky predkladateľ netrvá a rozpory sú odstránené. </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66" w:rsidRDefault="00A44D66" w:rsidP="000A67D5">
      <w:pPr>
        <w:spacing w:after="0" w:line="240" w:lineRule="auto"/>
      </w:pPr>
      <w:r>
        <w:separator/>
      </w:r>
    </w:p>
  </w:endnote>
  <w:endnote w:type="continuationSeparator" w:id="0">
    <w:p w:rsidR="00A44D66" w:rsidRDefault="00A44D6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169076"/>
      <w:docPartObj>
        <w:docPartGallery w:val="Page Numbers (Bottom of Page)"/>
        <w:docPartUnique/>
      </w:docPartObj>
    </w:sdtPr>
    <w:sdtContent>
      <w:p w:rsidR="00283B12" w:rsidRDefault="00283B12">
        <w:pPr>
          <w:pStyle w:val="Pta"/>
          <w:jc w:val="right"/>
        </w:pPr>
        <w:r>
          <w:fldChar w:fldCharType="begin"/>
        </w:r>
        <w:r>
          <w:instrText>PAGE   \* MERGEFORMAT</w:instrText>
        </w:r>
        <w:r>
          <w:fldChar w:fldCharType="separate"/>
        </w:r>
        <w:r>
          <w:rPr>
            <w:noProof/>
          </w:rPr>
          <w:t>1</w:t>
        </w:r>
        <w:r>
          <w:fldChar w:fldCharType="end"/>
        </w:r>
      </w:p>
    </w:sdtContent>
  </w:sdt>
  <w:p w:rsidR="00283B12" w:rsidRDefault="00283B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66" w:rsidRDefault="00A44D66" w:rsidP="000A67D5">
      <w:pPr>
        <w:spacing w:after="0" w:line="240" w:lineRule="auto"/>
      </w:pPr>
      <w:r>
        <w:separator/>
      </w:r>
    </w:p>
  </w:footnote>
  <w:footnote w:type="continuationSeparator" w:id="0">
    <w:p w:rsidR="00A44D66" w:rsidRDefault="00A44D6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83B12"/>
    <w:rsid w:val="002A5577"/>
    <w:rsid w:val="002D7471"/>
    <w:rsid w:val="00310A55"/>
    <w:rsid w:val="00322014"/>
    <w:rsid w:val="0039526D"/>
    <w:rsid w:val="003B435B"/>
    <w:rsid w:val="003D101C"/>
    <w:rsid w:val="003D5E45"/>
    <w:rsid w:val="003E4226"/>
    <w:rsid w:val="00405010"/>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57F26"/>
    <w:rsid w:val="0099665B"/>
    <w:rsid w:val="009C6C5C"/>
    <w:rsid w:val="009F7218"/>
    <w:rsid w:val="00A251BF"/>
    <w:rsid w:val="00A44D66"/>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171CA"/>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9530">
      <w:bodyDiv w:val="1"/>
      <w:marLeft w:val="0"/>
      <w:marRight w:val="0"/>
      <w:marTop w:val="0"/>
      <w:marBottom w:val="0"/>
      <w:divBdr>
        <w:top w:val="none" w:sz="0" w:space="0" w:color="auto"/>
        <w:left w:val="none" w:sz="0" w:space="0" w:color="auto"/>
        <w:bottom w:val="none" w:sz="0" w:space="0" w:color="auto"/>
        <w:right w:val="none" w:sz="0" w:space="0" w:color="auto"/>
      </w:divBdr>
    </w:div>
    <w:div w:id="877156688">
      <w:bodyDiv w:val="1"/>
      <w:marLeft w:val="0"/>
      <w:marRight w:val="0"/>
      <w:marTop w:val="0"/>
      <w:marBottom w:val="0"/>
      <w:divBdr>
        <w:top w:val="none" w:sz="0" w:space="0" w:color="auto"/>
        <w:left w:val="none" w:sz="0" w:space="0" w:color="auto"/>
        <w:bottom w:val="none" w:sz="0" w:space="0" w:color="auto"/>
        <w:right w:val="none" w:sz="0" w:space="0" w:color="auto"/>
      </w:divBdr>
    </w:div>
    <w:div w:id="1006637851">
      <w:bodyDiv w:val="1"/>
      <w:marLeft w:val="0"/>
      <w:marRight w:val="0"/>
      <w:marTop w:val="0"/>
      <w:marBottom w:val="0"/>
      <w:divBdr>
        <w:top w:val="none" w:sz="0" w:space="0" w:color="auto"/>
        <w:left w:val="none" w:sz="0" w:space="0" w:color="auto"/>
        <w:bottom w:val="none" w:sz="0" w:space="0" w:color="auto"/>
        <w:right w:val="none" w:sz="0" w:space="0" w:color="auto"/>
      </w:divBdr>
    </w:div>
    <w:div w:id="1442997267">
      <w:bodyDiv w:val="1"/>
      <w:marLeft w:val="0"/>
      <w:marRight w:val="0"/>
      <w:marTop w:val="0"/>
      <w:marBottom w:val="0"/>
      <w:divBdr>
        <w:top w:val="none" w:sz="0" w:space="0" w:color="auto"/>
        <w:left w:val="none" w:sz="0" w:space="0" w:color="auto"/>
        <w:bottom w:val="none" w:sz="0" w:space="0" w:color="auto"/>
        <w:right w:val="none" w:sz="0" w:space="0" w:color="auto"/>
      </w:divBdr>
    </w:div>
    <w:div w:id="1600869496">
      <w:bodyDiv w:val="1"/>
      <w:marLeft w:val="0"/>
      <w:marRight w:val="0"/>
      <w:marTop w:val="0"/>
      <w:marBottom w:val="0"/>
      <w:divBdr>
        <w:top w:val="none" w:sz="0" w:space="0" w:color="auto"/>
        <w:left w:val="none" w:sz="0" w:space="0" w:color="auto"/>
        <w:bottom w:val="none" w:sz="0" w:space="0" w:color="auto"/>
        <w:right w:val="none" w:sz="0" w:space="0" w:color="auto"/>
      </w:divBdr>
    </w:div>
    <w:div w:id="1714696408">
      <w:bodyDiv w:val="1"/>
      <w:marLeft w:val="0"/>
      <w:marRight w:val="0"/>
      <w:marTop w:val="0"/>
      <w:marBottom w:val="0"/>
      <w:divBdr>
        <w:top w:val="none" w:sz="0" w:space="0" w:color="auto"/>
        <w:left w:val="none" w:sz="0" w:space="0" w:color="auto"/>
        <w:bottom w:val="none" w:sz="0" w:space="0" w:color="auto"/>
        <w:right w:val="none" w:sz="0" w:space="0" w:color="auto"/>
      </w:divBdr>
    </w:div>
    <w:div w:id="1813516707">
      <w:bodyDiv w:val="1"/>
      <w:marLeft w:val="0"/>
      <w:marRight w:val="0"/>
      <w:marTop w:val="0"/>
      <w:marBottom w:val="0"/>
      <w:divBdr>
        <w:top w:val="none" w:sz="0" w:space="0" w:color="auto"/>
        <w:left w:val="none" w:sz="0" w:space="0" w:color="auto"/>
        <w:bottom w:val="none" w:sz="0" w:space="0" w:color="auto"/>
        <w:right w:val="none" w:sz="0" w:space="0" w:color="auto"/>
      </w:divBdr>
    </w:div>
    <w:div w:id="20073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12.2023 12:53:16"/>
    <f:field ref="objchangedby" par="" text="Administrator, System"/>
    <f:field ref="objmodifiedat" par="" text="14.12.2023 12:53: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2434</Words>
  <Characters>13878</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2023-12-18T08:50:00Z</dcterms:created>
  <dcterms:modified xsi:type="dcterms:W3CDTF">2023-12-18T08:50:00Z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a&amp;nbsp;dopĺňa zákon č. 180/2014 Z. z. o&amp;nbsp;podmienkach výkonu volebného práva a&amp;nbsp;o&amp;nbsp;zmene a&amp;nbsp;doplnení niektorých zákonov v&amp;nbsp;znení neskorších predpiso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Matúš Šutaj Eštok</vt:lpwstr>
  </property>
  <property fmtid="{D5CDD505-2E9C-101B-9397-08002B2CF9AE}" pid="12" name="FSC#SKEDITIONSLOVLEX@103.510:dalsipredkladatel">
    <vt:lpwstr/>
  </property>
  <property fmtid="{D5CDD505-2E9C-101B-9397-08002B2CF9AE}" pid="13" name="FSC#SKEDITIONSLOVLEX@103.510:nazovpredpis">
    <vt:lpwstr>, ktorým sa mení a dopĺňa zákon č. 180/2014 Z. z. o podmienkach výkonu volebného práva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180/2014 Z. z. o podmienkach výkonu volebného práva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SL-OLVS-2023/006116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LP/2023/671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Matúš Šutaj Eštok_x000d_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vnútra Slovenskej republiky predkladá opätovne do medzirezortného pripomienkového konania návrh zákona, ktorým sa mení a dopĺňa zákon č. 180/2014 Z. z. o podmienkach výkonu volebného práva a o zmene a doplnení </vt:lpwstr>
  </property>
  <property fmtid="{D5CDD505-2E9C-101B-9397-08002B2CF9AE}" pid="149" name="FSC#COOSYSTEM@1.1:Container">
    <vt:lpwstr>COO.2145.1000.3.5966556</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14. 12. 2023</vt:lpwstr>
  </property>
</Properties>
</file>