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F9328" w14:textId="77777777" w:rsidR="001A45EA" w:rsidRPr="00D56C94" w:rsidRDefault="001A45EA" w:rsidP="001A45EA">
      <w:pPr>
        <w:spacing w:after="0" w:line="240" w:lineRule="auto"/>
        <w:jc w:val="center"/>
        <w:rPr>
          <w:rFonts w:ascii="Times New Roman" w:eastAsia="Times New Roman" w:hAnsi="Times New Roman" w:cs="Times New Roman"/>
          <w:b/>
          <w:bCs/>
          <w:color w:val="000000"/>
          <w:sz w:val="24"/>
          <w:szCs w:val="24"/>
          <w:lang w:eastAsia="sk-SK"/>
        </w:rPr>
      </w:pPr>
      <w:r w:rsidRPr="00D56C94">
        <w:rPr>
          <w:rFonts w:ascii="Times New Roman" w:eastAsia="Times New Roman" w:hAnsi="Times New Roman" w:cs="Times New Roman"/>
          <w:b/>
          <w:bCs/>
          <w:color w:val="000000"/>
          <w:sz w:val="24"/>
          <w:szCs w:val="24"/>
          <w:lang w:eastAsia="sk-SK"/>
        </w:rPr>
        <w:t>DOLOŽKA ZLUČITEĽNOSTI</w:t>
      </w:r>
    </w:p>
    <w:p w14:paraId="3179EE15" w14:textId="77777777" w:rsidR="003A68BE" w:rsidRPr="00D56C94" w:rsidRDefault="001A45EA" w:rsidP="001A45EA">
      <w:pPr>
        <w:spacing w:after="0" w:line="240" w:lineRule="auto"/>
        <w:jc w:val="center"/>
        <w:rPr>
          <w:rFonts w:ascii="Times New Roman" w:eastAsia="Times New Roman" w:hAnsi="Times New Roman" w:cs="Times New Roman"/>
          <w:b/>
          <w:bCs/>
          <w:color w:val="000000"/>
          <w:sz w:val="24"/>
          <w:szCs w:val="24"/>
          <w:lang w:eastAsia="sk-SK"/>
        </w:rPr>
      </w:pPr>
      <w:r w:rsidRPr="00D56C94">
        <w:rPr>
          <w:rFonts w:ascii="Times New Roman" w:eastAsia="Times New Roman" w:hAnsi="Times New Roman" w:cs="Times New Roman"/>
          <w:b/>
          <w:bCs/>
          <w:color w:val="000000"/>
          <w:sz w:val="24"/>
          <w:szCs w:val="24"/>
          <w:lang w:eastAsia="sk-SK"/>
        </w:rPr>
        <w:t>návrhu zákona</w:t>
      </w:r>
      <w:r w:rsidR="00021528" w:rsidRPr="00D56C94">
        <w:rPr>
          <w:rFonts w:ascii="Times New Roman" w:eastAsia="Times New Roman" w:hAnsi="Times New Roman" w:cs="Times New Roman"/>
          <w:b/>
          <w:bCs/>
          <w:color w:val="000000"/>
          <w:sz w:val="24"/>
          <w:szCs w:val="24"/>
          <w:lang w:eastAsia="sk-SK"/>
        </w:rPr>
        <w:t xml:space="preserve"> </w:t>
      </w:r>
    </w:p>
    <w:p w14:paraId="2DAF5ED8" w14:textId="77777777" w:rsidR="001A45EA" w:rsidRPr="00D56C94" w:rsidRDefault="001A45EA" w:rsidP="001A45EA">
      <w:pPr>
        <w:pBdr>
          <w:bottom w:val="single" w:sz="12" w:space="1" w:color="auto"/>
        </w:pBdr>
        <w:spacing w:after="0" w:line="240" w:lineRule="auto"/>
        <w:jc w:val="center"/>
        <w:rPr>
          <w:rFonts w:ascii="Times New Roman" w:eastAsia="Times New Roman" w:hAnsi="Times New Roman" w:cs="Times New Roman"/>
          <w:b/>
          <w:bCs/>
          <w:color w:val="000000"/>
          <w:sz w:val="24"/>
          <w:szCs w:val="24"/>
          <w:lang w:eastAsia="sk-SK"/>
        </w:rPr>
      </w:pPr>
      <w:r w:rsidRPr="00D56C94">
        <w:rPr>
          <w:rFonts w:ascii="Times New Roman" w:eastAsia="Times New Roman" w:hAnsi="Times New Roman" w:cs="Times New Roman"/>
          <w:b/>
          <w:bCs/>
          <w:color w:val="000000"/>
          <w:sz w:val="24"/>
          <w:szCs w:val="24"/>
          <w:lang w:eastAsia="sk-SK"/>
        </w:rPr>
        <w:t>s právom Európskej únie</w:t>
      </w:r>
    </w:p>
    <w:p w14:paraId="3BD64C53" w14:textId="77777777" w:rsidR="001A45EA" w:rsidRPr="00D56C94" w:rsidRDefault="001A45EA" w:rsidP="001A45EA">
      <w:pPr>
        <w:spacing w:after="0" w:line="240" w:lineRule="auto"/>
        <w:rPr>
          <w:rFonts w:ascii="Times New Roman" w:eastAsia="Times New Roman" w:hAnsi="Times New Roman" w:cs="Times New Roman"/>
          <w:color w:val="000000"/>
          <w:sz w:val="24"/>
          <w:szCs w:val="24"/>
          <w:lang w:eastAsia="sk-SK"/>
        </w:rPr>
      </w:pPr>
    </w:p>
    <w:p w14:paraId="273AED69" w14:textId="77777777" w:rsidR="00703A5A" w:rsidRPr="00D56C94" w:rsidRDefault="00703A5A" w:rsidP="001A45EA">
      <w:pPr>
        <w:spacing w:after="0" w:line="240" w:lineRule="auto"/>
        <w:rPr>
          <w:rFonts w:ascii="Times New Roman" w:eastAsia="Times New Roman" w:hAnsi="Times New Roman" w:cs="Times New Roman"/>
          <w:color w:val="000000"/>
          <w:sz w:val="24"/>
          <w:szCs w:val="24"/>
          <w:lang w:eastAsia="sk-SK"/>
        </w:rPr>
      </w:pPr>
    </w:p>
    <w:p w14:paraId="1AB2A625" w14:textId="77777777" w:rsidR="001A45EA" w:rsidRPr="00D56C94" w:rsidRDefault="001A45EA" w:rsidP="001A45EA">
      <w:pPr>
        <w:pStyle w:val="Odsekzoznamu"/>
        <w:numPr>
          <w:ilvl w:val="0"/>
          <w:numId w:val="1"/>
        </w:numPr>
        <w:spacing w:after="0" w:line="240" w:lineRule="auto"/>
        <w:ind w:left="426" w:hanging="426"/>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b/>
          <w:bCs/>
          <w:color w:val="000000"/>
          <w:sz w:val="24"/>
          <w:szCs w:val="24"/>
          <w:lang w:eastAsia="sk-SK"/>
        </w:rPr>
        <w:t>Navrhovateľ zákona:</w:t>
      </w:r>
    </w:p>
    <w:p w14:paraId="529C9A7A" w14:textId="77777777" w:rsidR="001A45EA" w:rsidRPr="00D56C94" w:rsidRDefault="00B77702" w:rsidP="001A45EA">
      <w:pPr>
        <w:spacing w:after="0" w:line="240" w:lineRule="auto"/>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color w:val="000000"/>
          <w:sz w:val="24"/>
          <w:szCs w:val="24"/>
          <w:lang w:eastAsia="sk-SK"/>
        </w:rPr>
        <w:t>Vláda</w:t>
      </w:r>
      <w:r w:rsidR="001A45EA" w:rsidRPr="00D56C94">
        <w:rPr>
          <w:rFonts w:ascii="Times New Roman" w:eastAsia="Times New Roman" w:hAnsi="Times New Roman" w:cs="Times New Roman"/>
          <w:color w:val="000000"/>
          <w:sz w:val="24"/>
          <w:szCs w:val="24"/>
          <w:lang w:eastAsia="sk-SK"/>
        </w:rPr>
        <w:t xml:space="preserve"> Slovenskej republiky</w:t>
      </w:r>
      <w:r w:rsidRPr="00D56C94">
        <w:rPr>
          <w:rFonts w:ascii="Times New Roman" w:eastAsia="Times New Roman" w:hAnsi="Times New Roman" w:cs="Times New Roman"/>
          <w:color w:val="000000"/>
          <w:sz w:val="24"/>
          <w:szCs w:val="24"/>
          <w:lang w:eastAsia="sk-SK"/>
        </w:rPr>
        <w:t>.</w:t>
      </w:r>
    </w:p>
    <w:p w14:paraId="5CDF2DA2" w14:textId="77777777" w:rsidR="00703A5A" w:rsidRPr="00D56C94" w:rsidRDefault="00703A5A" w:rsidP="001A45EA">
      <w:pPr>
        <w:spacing w:after="0" w:line="240" w:lineRule="auto"/>
        <w:rPr>
          <w:rFonts w:ascii="Times New Roman" w:eastAsia="Times New Roman" w:hAnsi="Times New Roman" w:cs="Times New Roman"/>
          <w:color w:val="000000"/>
          <w:sz w:val="24"/>
          <w:szCs w:val="24"/>
          <w:lang w:eastAsia="sk-SK"/>
        </w:rPr>
      </w:pPr>
    </w:p>
    <w:p w14:paraId="78E68E98" w14:textId="77777777" w:rsidR="001A45EA" w:rsidRPr="00D56C94" w:rsidRDefault="001A45EA" w:rsidP="001A45EA">
      <w:pPr>
        <w:pStyle w:val="Odsekzoznamu"/>
        <w:numPr>
          <w:ilvl w:val="0"/>
          <w:numId w:val="1"/>
        </w:numPr>
        <w:spacing w:after="0" w:line="240" w:lineRule="auto"/>
        <w:ind w:left="426" w:hanging="426"/>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b/>
          <w:bCs/>
          <w:color w:val="000000"/>
          <w:sz w:val="24"/>
          <w:szCs w:val="24"/>
          <w:lang w:eastAsia="sk-SK"/>
        </w:rPr>
        <w:t>Názov návrhu zákona:</w:t>
      </w:r>
    </w:p>
    <w:p w14:paraId="3FF948E4" w14:textId="0D3A0DCB" w:rsidR="00703A5A" w:rsidRPr="00D56C94" w:rsidRDefault="005B2E83" w:rsidP="00B9033B">
      <w:pPr>
        <w:spacing w:after="0" w:line="240" w:lineRule="auto"/>
        <w:jc w:val="both"/>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color w:val="000000"/>
          <w:sz w:val="24"/>
          <w:szCs w:val="24"/>
          <w:lang w:eastAsia="sk-SK"/>
        </w:rPr>
        <w:t xml:space="preserve">Návrh zákona, ktorým sa mení a dopĺňa zákon č. 566/2001 Z. z. o cenných papieroch a investičných službách a o zmene a doplnení niektorých zákonov (zákon o cenných papieroch) </w:t>
      </w:r>
      <w:r w:rsidR="00615A58" w:rsidRPr="00D56C94">
        <w:rPr>
          <w:rFonts w:ascii="Times New Roman" w:eastAsia="Times New Roman" w:hAnsi="Times New Roman" w:cs="Times New Roman"/>
          <w:color w:val="000000"/>
          <w:sz w:val="24"/>
          <w:szCs w:val="24"/>
          <w:lang w:eastAsia="sk-SK"/>
        </w:rPr>
        <w:t xml:space="preserve">v znení neskorších predpisov </w:t>
      </w:r>
      <w:r w:rsidRPr="00D56C94">
        <w:rPr>
          <w:rFonts w:ascii="Times New Roman" w:eastAsia="Times New Roman" w:hAnsi="Times New Roman" w:cs="Times New Roman"/>
          <w:color w:val="000000"/>
          <w:sz w:val="24"/>
          <w:szCs w:val="24"/>
          <w:lang w:eastAsia="sk-SK"/>
        </w:rPr>
        <w:t xml:space="preserve">a </w:t>
      </w:r>
      <w:r w:rsidR="004B10D9" w:rsidRPr="00D56C94">
        <w:rPr>
          <w:rFonts w:ascii="Times New Roman" w:eastAsia="Times New Roman" w:hAnsi="Times New Roman" w:cs="Times New Roman"/>
          <w:color w:val="000000"/>
          <w:sz w:val="24"/>
          <w:szCs w:val="24"/>
          <w:lang w:eastAsia="sk-SK"/>
        </w:rPr>
        <w:t xml:space="preserve">ktorým sa </w:t>
      </w:r>
      <w:r w:rsidR="00147CCB" w:rsidRPr="00D56C94">
        <w:rPr>
          <w:rFonts w:ascii="Times New Roman" w:eastAsia="Times New Roman" w:hAnsi="Times New Roman" w:cs="Times New Roman"/>
          <w:color w:val="000000"/>
          <w:sz w:val="24"/>
          <w:szCs w:val="24"/>
          <w:lang w:eastAsia="sk-SK"/>
        </w:rPr>
        <w:t>menia a dopĺňajú niektoré zákony</w:t>
      </w:r>
      <w:r w:rsidRPr="00D56C94">
        <w:rPr>
          <w:rFonts w:ascii="Times New Roman" w:eastAsia="Times New Roman" w:hAnsi="Times New Roman" w:cs="Times New Roman"/>
          <w:color w:val="000000"/>
          <w:sz w:val="24"/>
          <w:szCs w:val="24"/>
          <w:lang w:eastAsia="sk-SK"/>
        </w:rPr>
        <w:t>.</w:t>
      </w:r>
    </w:p>
    <w:p w14:paraId="596E2D6A" w14:textId="77777777" w:rsidR="00B9033B" w:rsidRPr="00D56C94" w:rsidRDefault="00B9033B" w:rsidP="00B9033B">
      <w:pPr>
        <w:spacing w:after="0" w:line="240" w:lineRule="auto"/>
        <w:jc w:val="both"/>
        <w:rPr>
          <w:rFonts w:ascii="Times New Roman" w:eastAsia="Times New Roman" w:hAnsi="Times New Roman" w:cs="Times New Roman"/>
          <w:color w:val="000000"/>
          <w:sz w:val="24"/>
          <w:szCs w:val="24"/>
          <w:lang w:eastAsia="sk-SK"/>
        </w:rPr>
      </w:pPr>
    </w:p>
    <w:p w14:paraId="72D12C7F" w14:textId="77777777" w:rsidR="001A45EA" w:rsidRPr="00D56C94" w:rsidRDefault="001A45EA" w:rsidP="001A45EA">
      <w:pPr>
        <w:pStyle w:val="Odsekzoznamu"/>
        <w:numPr>
          <w:ilvl w:val="0"/>
          <w:numId w:val="1"/>
        </w:numPr>
        <w:spacing w:after="0" w:line="240" w:lineRule="auto"/>
        <w:ind w:left="426" w:hanging="426"/>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b/>
          <w:bCs/>
          <w:color w:val="000000"/>
          <w:sz w:val="24"/>
          <w:szCs w:val="24"/>
          <w:lang w:eastAsia="sk-SK"/>
        </w:rPr>
        <w:t>Predmet návrhu zákona je upravený v práve Európskej únie:</w:t>
      </w:r>
    </w:p>
    <w:p w14:paraId="5DA5010A" w14:textId="77777777" w:rsidR="001A45EA" w:rsidRPr="00D56C94" w:rsidRDefault="001A45EA" w:rsidP="001A45EA">
      <w:pPr>
        <w:pStyle w:val="Odsekzoznamu"/>
        <w:numPr>
          <w:ilvl w:val="0"/>
          <w:numId w:val="2"/>
        </w:numPr>
        <w:spacing w:after="0" w:line="240" w:lineRule="auto"/>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color w:val="000000"/>
          <w:sz w:val="24"/>
          <w:szCs w:val="24"/>
          <w:lang w:eastAsia="sk-SK"/>
        </w:rPr>
        <w:t>v primárnom práve</w:t>
      </w:r>
    </w:p>
    <w:p w14:paraId="1E25D50C" w14:textId="2DC16FBB" w:rsidR="001A45EA" w:rsidRPr="00D56C94" w:rsidRDefault="001A45EA" w:rsidP="008545C6">
      <w:pPr>
        <w:pStyle w:val="Odsekzoznamu"/>
        <w:numPr>
          <w:ilvl w:val="0"/>
          <w:numId w:val="3"/>
        </w:numPr>
        <w:spacing w:after="0" w:line="240" w:lineRule="auto"/>
        <w:jc w:val="both"/>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color w:val="000000"/>
          <w:sz w:val="24"/>
          <w:szCs w:val="24"/>
          <w:lang w:eastAsia="sk-SK"/>
        </w:rPr>
        <w:t xml:space="preserve">čl. </w:t>
      </w:r>
      <w:r w:rsidR="009D6F4B" w:rsidRPr="00D56C94">
        <w:rPr>
          <w:rFonts w:ascii="Times New Roman" w:eastAsia="Times New Roman" w:hAnsi="Times New Roman" w:cs="Times New Roman"/>
          <w:color w:val="000000"/>
          <w:sz w:val="24"/>
          <w:szCs w:val="24"/>
          <w:lang w:eastAsia="sk-SK"/>
        </w:rPr>
        <w:t xml:space="preserve">3 ods. 1 písm. b), čl. 4, čl. 26 ods. 2, čl. </w:t>
      </w:r>
      <w:r w:rsidR="00725E46" w:rsidRPr="00D56C94">
        <w:rPr>
          <w:rFonts w:ascii="Times New Roman" w:eastAsia="Times New Roman" w:hAnsi="Times New Roman" w:cs="Times New Roman"/>
          <w:color w:val="000000"/>
          <w:sz w:val="24"/>
          <w:szCs w:val="24"/>
          <w:lang w:eastAsia="sk-SK"/>
        </w:rPr>
        <w:t>54</w:t>
      </w:r>
      <w:r w:rsidR="009D6F4B" w:rsidRPr="00D56C94">
        <w:rPr>
          <w:rFonts w:ascii="Times New Roman" w:eastAsia="Times New Roman" w:hAnsi="Times New Roman" w:cs="Times New Roman"/>
          <w:color w:val="000000"/>
          <w:sz w:val="24"/>
          <w:szCs w:val="24"/>
          <w:lang w:eastAsia="sk-SK"/>
        </w:rPr>
        <w:t xml:space="preserve"> </w:t>
      </w:r>
      <w:r w:rsidRPr="00D56C94">
        <w:rPr>
          <w:rFonts w:ascii="Times New Roman" w:eastAsia="Times New Roman" w:hAnsi="Times New Roman" w:cs="Times New Roman"/>
          <w:color w:val="000000"/>
          <w:sz w:val="24"/>
          <w:szCs w:val="24"/>
          <w:lang w:eastAsia="sk-SK"/>
        </w:rPr>
        <w:t>až 66 Zmluvy o fungovaní Európskej únie</w:t>
      </w:r>
      <w:r w:rsidR="00D31A90" w:rsidRPr="00D56C94">
        <w:rPr>
          <w:rFonts w:ascii="Times New Roman" w:hAnsi="Times New Roman" w:cs="Times New Roman"/>
          <w:sz w:val="24"/>
          <w:szCs w:val="24"/>
        </w:rPr>
        <w:t xml:space="preserve"> (Ú. v. EÚ C </w:t>
      </w:r>
      <w:r w:rsidR="005B2E83" w:rsidRPr="00D56C94">
        <w:rPr>
          <w:rFonts w:ascii="Times New Roman" w:hAnsi="Times New Roman" w:cs="Times New Roman"/>
          <w:sz w:val="24"/>
          <w:szCs w:val="24"/>
        </w:rPr>
        <w:t>202, 7.6. 2016) v platnom znení.</w:t>
      </w:r>
    </w:p>
    <w:p w14:paraId="1AA7EA45" w14:textId="77777777" w:rsidR="008545C6" w:rsidRPr="00D56C94" w:rsidRDefault="008545C6" w:rsidP="001A45EA">
      <w:pPr>
        <w:spacing w:after="0" w:line="240" w:lineRule="auto"/>
        <w:rPr>
          <w:rFonts w:ascii="Times New Roman" w:eastAsia="Times New Roman" w:hAnsi="Times New Roman" w:cs="Times New Roman"/>
          <w:b/>
          <w:bCs/>
          <w:i/>
          <w:iCs/>
          <w:color w:val="000000"/>
          <w:sz w:val="24"/>
          <w:szCs w:val="24"/>
          <w:lang w:eastAsia="sk-SK"/>
        </w:rPr>
      </w:pPr>
    </w:p>
    <w:p w14:paraId="36D326B1" w14:textId="77777777" w:rsidR="008545C6" w:rsidRPr="00D56C94" w:rsidRDefault="008545C6" w:rsidP="008545C6">
      <w:pPr>
        <w:pStyle w:val="Odsekzoznamu"/>
        <w:numPr>
          <w:ilvl w:val="0"/>
          <w:numId w:val="2"/>
        </w:numPr>
        <w:spacing w:after="0" w:line="240" w:lineRule="auto"/>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color w:val="000000"/>
          <w:sz w:val="24"/>
          <w:szCs w:val="24"/>
          <w:lang w:eastAsia="sk-SK"/>
        </w:rPr>
        <w:t>v sekundárnom práve</w:t>
      </w:r>
    </w:p>
    <w:p w14:paraId="18897B8D" w14:textId="3DF75F86" w:rsidR="00DC383C" w:rsidRPr="00D56C94" w:rsidRDefault="004B10D9" w:rsidP="005B2E83">
      <w:pPr>
        <w:pStyle w:val="Odsekzoznamu"/>
        <w:numPr>
          <w:ilvl w:val="0"/>
          <w:numId w:val="3"/>
        </w:numPr>
        <w:spacing w:after="0" w:line="240" w:lineRule="auto"/>
        <w:jc w:val="both"/>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color w:val="000000"/>
          <w:sz w:val="24"/>
          <w:szCs w:val="24"/>
          <w:lang w:eastAsia="sk-SK"/>
        </w:rPr>
        <w:t>n</w:t>
      </w:r>
      <w:r w:rsidR="005B2E83" w:rsidRPr="00D56C94">
        <w:rPr>
          <w:rFonts w:ascii="Times New Roman" w:eastAsia="Times New Roman" w:hAnsi="Times New Roman" w:cs="Times New Roman"/>
          <w:color w:val="000000"/>
          <w:sz w:val="24"/>
          <w:szCs w:val="24"/>
          <w:lang w:eastAsia="sk-SK"/>
        </w:rPr>
        <w:t>ariadenie Európskeho parlamentu a Rady (EÚ) 2022/858 z 30. mája 2022 o pilotnom režime pre trhové infraštruktúry založené na technológii distribuovanej databázy transakcií a o zmene nariadení (EÚ) č. 600/2014 a (EÚ) č. 909/2014 a smernice 2014/65/EÚ (Ú. v. EÚ L 151, 2.6.2022)</w:t>
      </w:r>
      <w:r w:rsidR="00DC383C" w:rsidRPr="00D56C94">
        <w:rPr>
          <w:rFonts w:ascii="Times New Roman" w:eastAsia="Times New Roman" w:hAnsi="Times New Roman" w:cs="Times New Roman"/>
          <w:color w:val="000000"/>
          <w:sz w:val="24"/>
          <w:szCs w:val="24"/>
          <w:lang w:eastAsia="sk-SK"/>
        </w:rPr>
        <w:t>,</w:t>
      </w:r>
      <w:r w:rsidR="005B2E83" w:rsidRPr="00D56C94">
        <w:rPr>
          <w:rFonts w:ascii="Times New Roman" w:eastAsia="Times New Roman" w:hAnsi="Times New Roman" w:cs="Times New Roman"/>
          <w:color w:val="000000"/>
          <w:sz w:val="24"/>
          <w:szCs w:val="24"/>
          <w:lang w:eastAsia="sk-SK"/>
        </w:rPr>
        <w:t xml:space="preserve"> gestor: </w:t>
      </w:r>
      <w:r w:rsidR="00176A09" w:rsidRPr="00D56C94">
        <w:rPr>
          <w:rFonts w:ascii="Times New Roman" w:eastAsia="Times New Roman" w:hAnsi="Times New Roman" w:cs="Times New Roman"/>
          <w:color w:val="000000"/>
          <w:sz w:val="24"/>
          <w:szCs w:val="24"/>
          <w:lang w:eastAsia="sk-SK"/>
        </w:rPr>
        <w:t xml:space="preserve">MF SR, </w:t>
      </w:r>
      <w:proofErr w:type="spellStart"/>
      <w:r w:rsidR="00176A09" w:rsidRPr="00D56C94">
        <w:rPr>
          <w:rFonts w:ascii="Times New Roman" w:eastAsia="Times New Roman" w:hAnsi="Times New Roman" w:cs="Times New Roman"/>
          <w:color w:val="000000"/>
          <w:sz w:val="24"/>
          <w:szCs w:val="24"/>
          <w:lang w:eastAsia="sk-SK"/>
        </w:rPr>
        <w:t>spolugestor</w:t>
      </w:r>
      <w:proofErr w:type="spellEnd"/>
      <w:r w:rsidR="00176A09" w:rsidRPr="00D56C94">
        <w:rPr>
          <w:rFonts w:ascii="Times New Roman" w:eastAsia="Times New Roman" w:hAnsi="Times New Roman" w:cs="Times New Roman"/>
          <w:color w:val="000000"/>
          <w:sz w:val="24"/>
          <w:szCs w:val="24"/>
          <w:lang w:eastAsia="sk-SK"/>
        </w:rPr>
        <w:t>: NBS</w:t>
      </w:r>
      <w:r w:rsidR="005B2E83" w:rsidRPr="00D56C94">
        <w:rPr>
          <w:rFonts w:ascii="Times New Roman" w:eastAsia="Times New Roman" w:hAnsi="Times New Roman" w:cs="Times New Roman"/>
          <w:color w:val="000000"/>
          <w:sz w:val="24"/>
          <w:szCs w:val="24"/>
          <w:lang w:eastAsia="sk-SK"/>
        </w:rPr>
        <w:t>,</w:t>
      </w:r>
    </w:p>
    <w:p w14:paraId="047577AD" w14:textId="259E132A" w:rsidR="005B2E83" w:rsidRPr="00D56C94" w:rsidRDefault="005B2E83" w:rsidP="005B2E83">
      <w:pPr>
        <w:pStyle w:val="Odsekzoznamu"/>
        <w:numPr>
          <w:ilvl w:val="0"/>
          <w:numId w:val="3"/>
        </w:numPr>
        <w:jc w:val="both"/>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color w:val="000000"/>
          <w:sz w:val="24"/>
          <w:szCs w:val="24"/>
          <w:lang w:eastAsia="sk-SK"/>
        </w:rPr>
        <w:t xml:space="preserve">smernica Európskeho parlamentu a Rady 2014/65/EÚ z 15. mája 2014 o trhoch s finančnými nástrojmi, ktorou sa mení smernica 2002/92/ES a smernica 2011/61/EÚ </w:t>
      </w:r>
      <w:r w:rsidR="001806A5" w:rsidRPr="00D56C94">
        <w:rPr>
          <w:rFonts w:ascii="Times New Roman" w:eastAsia="Times New Roman" w:hAnsi="Times New Roman" w:cs="Times New Roman"/>
          <w:color w:val="000000"/>
          <w:sz w:val="24"/>
          <w:szCs w:val="24"/>
          <w:lang w:eastAsia="sk-SK"/>
        </w:rPr>
        <w:t xml:space="preserve">(prepracované znenie) </w:t>
      </w:r>
      <w:r w:rsidRPr="00D56C94">
        <w:rPr>
          <w:rFonts w:ascii="Times New Roman" w:eastAsia="Times New Roman" w:hAnsi="Times New Roman" w:cs="Times New Roman"/>
          <w:color w:val="000000"/>
          <w:sz w:val="24"/>
          <w:szCs w:val="24"/>
          <w:lang w:eastAsia="sk-SK"/>
        </w:rPr>
        <w:t xml:space="preserve">(Ú. v. EÚ L 173, 12.6.2014) v platnom znení, </w:t>
      </w:r>
      <w:r w:rsidR="00147CCB" w:rsidRPr="00D56C94">
        <w:rPr>
          <w:rFonts w:ascii="Times New Roman" w:eastAsia="Times New Roman" w:hAnsi="Times New Roman" w:cs="Times New Roman"/>
          <w:color w:val="000000"/>
          <w:sz w:val="24"/>
          <w:szCs w:val="24"/>
          <w:lang w:eastAsia="sk-SK"/>
        </w:rPr>
        <w:t xml:space="preserve">gestor: MF SR, </w:t>
      </w:r>
      <w:proofErr w:type="spellStart"/>
      <w:r w:rsidR="00147CCB" w:rsidRPr="00D56C94">
        <w:rPr>
          <w:rFonts w:ascii="Times New Roman" w:eastAsia="Times New Roman" w:hAnsi="Times New Roman" w:cs="Times New Roman"/>
          <w:color w:val="000000"/>
          <w:sz w:val="24"/>
          <w:szCs w:val="24"/>
          <w:lang w:eastAsia="sk-SK"/>
        </w:rPr>
        <w:t>spolugestor</w:t>
      </w:r>
      <w:proofErr w:type="spellEnd"/>
      <w:r w:rsidR="00147CCB" w:rsidRPr="00D56C94">
        <w:rPr>
          <w:rFonts w:ascii="Times New Roman" w:eastAsia="Times New Roman" w:hAnsi="Times New Roman" w:cs="Times New Roman"/>
          <w:color w:val="000000"/>
          <w:sz w:val="24"/>
          <w:szCs w:val="24"/>
          <w:lang w:eastAsia="sk-SK"/>
        </w:rPr>
        <w:t>: NBS,</w:t>
      </w:r>
    </w:p>
    <w:p w14:paraId="3C51EE0D" w14:textId="1D28DEE5" w:rsidR="00F350A5" w:rsidRPr="00D56C94" w:rsidRDefault="00F350A5" w:rsidP="00F350A5">
      <w:pPr>
        <w:pStyle w:val="Odsekzoznamu"/>
        <w:numPr>
          <w:ilvl w:val="0"/>
          <w:numId w:val="3"/>
        </w:numPr>
        <w:jc w:val="both"/>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color w:val="000000"/>
          <w:sz w:val="24"/>
          <w:szCs w:val="24"/>
          <w:lang w:eastAsia="sk-SK"/>
        </w:rPr>
        <w:t xml:space="preserve">smernica Európskeho parlamentu a Rady (EÚ) 2021/338 zo 16. februára 2021, ktorou sa mení smernica 2014/65/EÚ, pokiaľ ide o požiadavky na informácie, správu produktov a obmedzenia pozícií, a smernice 2013/36/EÚ a (EÚ) 2019/878, pokiaľ ide o ich uplatňovanie na investičné spoločnosti, v záujme pomoci pri obnove po kríze spôsobenej ochorením COVID-19 (Ú. v. EÚ L 68, 26.2.2021), gestor: MF SR, </w:t>
      </w:r>
      <w:proofErr w:type="spellStart"/>
      <w:r w:rsidRPr="00D56C94">
        <w:rPr>
          <w:rFonts w:ascii="Times New Roman" w:eastAsia="Times New Roman" w:hAnsi="Times New Roman" w:cs="Times New Roman"/>
          <w:color w:val="000000"/>
          <w:sz w:val="24"/>
          <w:szCs w:val="24"/>
          <w:lang w:eastAsia="sk-SK"/>
        </w:rPr>
        <w:t>spolugestor</w:t>
      </w:r>
      <w:proofErr w:type="spellEnd"/>
      <w:r w:rsidRPr="00D56C94">
        <w:rPr>
          <w:rFonts w:ascii="Times New Roman" w:eastAsia="Times New Roman" w:hAnsi="Times New Roman" w:cs="Times New Roman"/>
          <w:color w:val="000000"/>
          <w:sz w:val="24"/>
          <w:szCs w:val="24"/>
          <w:lang w:eastAsia="sk-SK"/>
        </w:rPr>
        <w:t>: NBS,</w:t>
      </w:r>
    </w:p>
    <w:p w14:paraId="43FBC0B2" w14:textId="56185FAF" w:rsidR="00176A09" w:rsidRPr="00D56C94" w:rsidRDefault="00176A09" w:rsidP="00176A09">
      <w:pPr>
        <w:pStyle w:val="Odsekzoznamu"/>
        <w:numPr>
          <w:ilvl w:val="0"/>
          <w:numId w:val="3"/>
        </w:numPr>
        <w:jc w:val="both"/>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color w:val="000000"/>
          <w:sz w:val="24"/>
          <w:szCs w:val="24"/>
          <w:lang w:eastAsia="sk-SK"/>
        </w:rPr>
        <w:t xml:space="preserve">smernica Európskeho parlamentu a Rady (EÚ) 2019/1160 z 20. júna 2019, ktorou sa mení smernica 2009/65/ES a smernica 2011/61/EÚ, pokiaľ ide o cezhraničnú distribúciu podnikov kolektívneho investovania (Ú. v. EÚ L 188, 12.7.2019), gestor: MF SR, </w:t>
      </w:r>
      <w:proofErr w:type="spellStart"/>
      <w:r w:rsidRPr="00D56C94">
        <w:rPr>
          <w:rFonts w:ascii="Times New Roman" w:eastAsia="Times New Roman" w:hAnsi="Times New Roman" w:cs="Times New Roman"/>
          <w:color w:val="000000"/>
          <w:sz w:val="24"/>
          <w:szCs w:val="24"/>
          <w:lang w:eastAsia="sk-SK"/>
        </w:rPr>
        <w:t>spolugestor</w:t>
      </w:r>
      <w:proofErr w:type="spellEnd"/>
      <w:r w:rsidRPr="00D56C94">
        <w:rPr>
          <w:rFonts w:ascii="Times New Roman" w:eastAsia="Times New Roman" w:hAnsi="Times New Roman" w:cs="Times New Roman"/>
          <w:color w:val="000000"/>
          <w:sz w:val="24"/>
          <w:szCs w:val="24"/>
          <w:lang w:eastAsia="sk-SK"/>
        </w:rPr>
        <w:t>: NBS,</w:t>
      </w:r>
    </w:p>
    <w:p w14:paraId="7A957EDF" w14:textId="18950E2D" w:rsidR="00F350A5" w:rsidRPr="00D56C94" w:rsidRDefault="006518C5" w:rsidP="00F350A5">
      <w:pPr>
        <w:pStyle w:val="Odsekzoznamu"/>
        <w:numPr>
          <w:ilvl w:val="0"/>
          <w:numId w:val="3"/>
        </w:numPr>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w:t>
      </w:r>
      <w:r w:rsidR="00F350A5" w:rsidRPr="00D56C94">
        <w:rPr>
          <w:rFonts w:ascii="Times New Roman" w:eastAsia="Times New Roman" w:hAnsi="Times New Roman" w:cs="Times New Roman"/>
          <w:color w:val="000000"/>
          <w:sz w:val="24"/>
          <w:szCs w:val="24"/>
          <w:lang w:eastAsia="sk-SK"/>
        </w:rPr>
        <w:t xml:space="preserve">elegované nariadenie Komisie (EÚ) 2017/584 zo 14. júla 2016, ktorým sa dopĺňa smernica Európskeho parlamentu a Rady 2014/65/EÚ, pokiaľ ide o regulačné technické predpisy bližšie určujúce organizačné požiadavky na obchodné miesta (Ú. v. EÚ L 87, 31.3.2017), gestor: MF SR, </w:t>
      </w:r>
      <w:proofErr w:type="spellStart"/>
      <w:r w:rsidR="00F350A5" w:rsidRPr="00D56C94">
        <w:rPr>
          <w:rFonts w:ascii="Times New Roman" w:eastAsia="Times New Roman" w:hAnsi="Times New Roman" w:cs="Times New Roman"/>
          <w:color w:val="000000"/>
          <w:sz w:val="24"/>
          <w:szCs w:val="24"/>
          <w:lang w:eastAsia="sk-SK"/>
        </w:rPr>
        <w:t>spolugestor</w:t>
      </w:r>
      <w:proofErr w:type="spellEnd"/>
      <w:r w:rsidR="00F350A5" w:rsidRPr="00D56C94">
        <w:rPr>
          <w:rFonts w:ascii="Times New Roman" w:eastAsia="Times New Roman" w:hAnsi="Times New Roman" w:cs="Times New Roman"/>
          <w:color w:val="000000"/>
          <w:sz w:val="24"/>
          <w:szCs w:val="24"/>
          <w:lang w:eastAsia="sk-SK"/>
        </w:rPr>
        <w:t xml:space="preserve">: NBS, </w:t>
      </w:r>
    </w:p>
    <w:p w14:paraId="05DDA017" w14:textId="1E749A6C" w:rsidR="00147CCB" w:rsidRPr="00D56C94" w:rsidRDefault="006518C5" w:rsidP="00147CCB">
      <w:pPr>
        <w:pStyle w:val="Odsekzoznamu"/>
        <w:numPr>
          <w:ilvl w:val="0"/>
          <w:numId w:val="3"/>
        </w:numPr>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w:t>
      </w:r>
      <w:r w:rsidR="00147CCB" w:rsidRPr="00D56C94">
        <w:rPr>
          <w:rFonts w:ascii="Times New Roman" w:eastAsia="Times New Roman" w:hAnsi="Times New Roman" w:cs="Times New Roman"/>
          <w:color w:val="000000"/>
          <w:sz w:val="24"/>
          <w:szCs w:val="24"/>
          <w:lang w:eastAsia="sk-SK"/>
        </w:rPr>
        <w:t xml:space="preserve">elegovaná smernica Komisie (EÚ) 2017/593 zo 7. apríla 2016, ktorou sa dopĺňa smernica Európskeho parlamentu a Rady 2014/65/EÚ, pokiaľ ide o ochranu finančných nástrojov a finančných prostriedkov patriacich klientom, povinnosti v oblasti riadenia produktov a pravidlá uplatniteľné na poskytovanie alebo prijímanie </w:t>
      </w:r>
      <w:r w:rsidR="00147CCB" w:rsidRPr="00D56C94">
        <w:rPr>
          <w:rFonts w:ascii="Times New Roman" w:eastAsia="Times New Roman" w:hAnsi="Times New Roman" w:cs="Times New Roman"/>
          <w:color w:val="000000"/>
          <w:sz w:val="24"/>
          <w:szCs w:val="24"/>
          <w:lang w:eastAsia="sk-SK"/>
        </w:rPr>
        <w:lastRenderedPageBreak/>
        <w:t>poplatkov, provízií alebo akýchkoľvek peňažných alebo nepeňažných benefitov (Ú. v. EÚ L 87, 31.3.2017)</w:t>
      </w:r>
      <w:r w:rsidR="001735D1" w:rsidRPr="00D56C94">
        <w:rPr>
          <w:rFonts w:ascii="Times New Roman" w:eastAsia="Times New Roman" w:hAnsi="Times New Roman" w:cs="Times New Roman"/>
          <w:color w:val="000000"/>
          <w:sz w:val="24"/>
          <w:szCs w:val="24"/>
          <w:lang w:eastAsia="sk-SK"/>
        </w:rPr>
        <w:t xml:space="preserve"> v platnom znení</w:t>
      </w:r>
      <w:r w:rsidR="00147CCB" w:rsidRPr="00D56C94">
        <w:rPr>
          <w:rFonts w:ascii="Times New Roman" w:eastAsia="Times New Roman" w:hAnsi="Times New Roman" w:cs="Times New Roman"/>
          <w:color w:val="000000"/>
          <w:sz w:val="24"/>
          <w:szCs w:val="24"/>
          <w:lang w:eastAsia="sk-SK"/>
        </w:rPr>
        <w:t xml:space="preserve">, </w:t>
      </w:r>
      <w:r w:rsidR="001735D1" w:rsidRPr="00D56C94">
        <w:rPr>
          <w:rFonts w:ascii="Times New Roman" w:eastAsia="Times New Roman" w:hAnsi="Times New Roman" w:cs="Times New Roman"/>
          <w:color w:val="000000"/>
          <w:sz w:val="24"/>
          <w:szCs w:val="24"/>
          <w:lang w:eastAsia="sk-SK"/>
        </w:rPr>
        <w:t xml:space="preserve">gestor: MF SR, </w:t>
      </w:r>
      <w:proofErr w:type="spellStart"/>
      <w:r w:rsidR="001735D1" w:rsidRPr="00D56C94">
        <w:rPr>
          <w:rFonts w:ascii="Times New Roman" w:eastAsia="Times New Roman" w:hAnsi="Times New Roman" w:cs="Times New Roman"/>
          <w:color w:val="000000"/>
          <w:sz w:val="24"/>
          <w:szCs w:val="24"/>
          <w:lang w:eastAsia="sk-SK"/>
        </w:rPr>
        <w:t>spolugestor</w:t>
      </w:r>
      <w:proofErr w:type="spellEnd"/>
      <w:r w:rsidR="001735D1" w:rsidRPr="00D56C94">
        <w:rPr>
          <w:rFonts w:ascii="Times New Roman" w:eastAsia="Times New Roman" w:hAnsi="Times New Roman" w:cs="Times New Roman"/>
          <w:color w:val="000000"/>
          <w:sz w:val="24"/>
          <w:szCs w:val="24"/>
          <w:lang w:eastAsia="sk-SK"/>
        </w:rPr>
        <w:t xml:space="preserve">: NBS, </w:t>
      </w:r>
    </w:p>
    <w:p w14:paraId="5934C6AA" w14:textId="5F67927E" w:rsidR="001735D1" w:rsidRPr="00A01ED4" w:rsidRDefault="001735D1" w:rsidP="001735D1">
      <w:pPr>
        <w:pStyle w:val="Odsekzoznamu"/>
        <w:numPr>
          <w:ilvl w:val="0"/>
          <w:numId w:val="3"/>
        </w:numPr>
        <w:jc w:val="both"/>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color w:val="000000"/>
          <w:sz w:val="24"/>
          <w:szCs w:val="24"/>
          <w:lang w:eastAsia="sk-SK"/>
        </w:rPr>
        <w:t xml:space="preserve">smernica Európskeho parlamentu a Rady 2011/61/EÚ z  8. júna 2011 o správcoch alternatívnych investičných fondov a o zmene a doplnení smerníc 2003/41/ES a </w:t>
      </w:r>
      <w:r w:rsidRPr="00A01ED4">
        <w:rPr>
          <w:rFonts w:ascii="Times New Roman" w:eastAsia="Times New Roman" w:hAnsi="Times New Roman" w:cs="Times New Roman"/>
          <w:color w:val="000000"/>
          <w:sz w:val="24"/>
          <w:szCs w:val="24"/>
          <w:lang w:eastAsia="sk-SK"/>
        </w:rPr>
        <w:t xml:space="preserve">2009/65/ES a nariadení (ES) č. 1060/2009 a (EÚ) č. 1095/2010 (Ú. v. EÚ L 174, 1.7.2011), v platnom znení, gestor: MF SR, </w:t>
      </w:r>
      <w:proofErr w:type="spellStart"/>
      <w:r w:rsidRPr="00A01ED4">
        <w:rPr>
          <w:rFonts w:ascii="Times New Roman" w:eastAsia="Times New Roman" w:hAnsi="Times New Roman" w:cs="Times New Roman"/>
          <w:color w:val="000000"/>
          <w:sz w:val="24"/>
          <w:szCs w:val="24"/>
          <w:lang w:eastAsia="sk-SK"/>
        </w:rPr>
        <w:t>spolugestor</w:t>
      </w:r>
      <w:proofErr w:type="spellEnd"/>
      <w:r w:rsidRPr="00A01ED4">
        <w:rPr>
          <w:rFonts w:ascii="Times New Roman" w:eastAsia="Times New Roman" w:hAnsi="Times New Roman" w:cs="Times New Roman"/>
          <w:color w:val="000000"/>
          <w:sz w:val="24"/>
          <w:szCs w:val="24"/>
          <w:lang w:eastAsia="sk-SK"/>
        </w:rPr>
        <w:t>: NBS, MPSVR SR</w:t>
      </w:r>
      <w:r w:rsidR="00373D0A" w:rsidRPr="00A01ED4">
        <w:rPr>
          <w:rFonts w:ascii="Times New Roman" w:eastAsia="Times New Roman" w:hAnsi="Times New Roman" w:cs="Times New Roman"/>
          <w:color w:val="000000"/>
          <w:sz w:val="24"/>
          <w:szCs w:val="24"/>
          <w:lang w:eastAsia="sk-SK"/>
        </w:rPr>
        <w:t>,</w:t>
      </w:r>
    </w:p>
    <w:p w14:paraId="5E38124A" w14:textId="34B723A6" w:rsidR="001735D1" w:rsidRDefault="00373D0A" w:rsidP="00373D0A">
      <w:pPr>
        <w:pStyle w:val="Odsekzoznamu"/>
        <w:numPr>
          <w:ilvl w:val="0"/>
          <w:numId w:val="3"/>
        </w:numPr>
        <w:jc w:val="both"/>
        <w:rPr>
          <w:rFonts w:ascii="Times New Roman" w:eastAsia="Times New Roman" w:hAnsi="Times New Roman" w:cs="Times New Roman"/>
          <w:color w:val="000000"/>
          <w:sz w:val="24"/>
          <w:szCs w:val="24"/>
          <w:lang w:eastAsia="sk-SK"/>
        </w:rPr>
      </w:pPr>
      <w:r w:rsidRPr="00A01ED4">
        <w:rPr>
          <w:rFonts w:ascii="Times New Roman" w:eastAsia="Times New Roman" w:hAnsi="Times New Roman" w:cs="Times New Roman"/>
          <w:color w:val="000000"/>
          <w:sz w:val="24"/>
          <w:szCs w:val="24"/>
          <w:lang w:eastAsia="sk-SK"/>
        </w:rPr>
        <w:t>delegované nariadenie Komisie (EÚ) č. 231/2013 z 19. decembra 2012, ktorým sa dopĺňa smernica Európskeho parlamentu a Rady 2011/61/EÚ, pokiaľ ide o výnimky, všeobecné podmienky výkonu činnosti, depozitárov, pákový efekt, transparentnosť a dohľad (Ú. v. EÚ L 83, 22. 3. 2013)</w:t>
      </w:r>
      <w:r w:rsidR="006518C5">
        <w:rPr>
          <w:rFonts w:ascii="Times New Roman" w:eastAsia="Times New Roman" w:hAnsi="Times New Roman" w:cs="Times New Roman"/>
          <w:color w:val="000000"/>
          <w:sz w:val="24"/>
          <w:szCs w:val="24"/>
          <w:lang w:eastAsia="sk-SK"/>
        </w:rPr>
        <w:t xml:space="preserve"> v platnom znení</w:t>
      </w:r>
      <w:r w:rsidRPr="00A01ED4">
        <w:rPr>
          <w:rFonts w:ascii="Times New Roman" w:eastAsia="Times New Roman" w:hAnsi="Times New Roman" w:cs="Times New Roman"/>
          <w:color w:val="000000"/>
          <w:sz w:val="24"/>
          <w:szCs w:val="24"/>
          <w:lang w:eastAsia="sk-SK"/>
        </w:rPr>
        <w:t xml:space="preserve">, </w:t>
      </w:r>
      <w:r w:rsidR="00FD6FF9">
        <w:rPr>
          <w:rFonts w:ascii="Times New Roman" w:eastAsia="Times New Roman" w:hAnsi="Times New Roman" w:cs="Times New Roman"/>
          <w:color w:val="000000"/>
          <w:sz w:val="24"/>
          <w:szCs w:val="24"/>
          <w:lang w:eastAsia="sk-SK"/>
        </w:rPr>
        <w:t xml:space="preserve">gestor: MF SR, </w:t>
      </w:r>
      <w:proofErr w:type="spellStart"/>
      <w:r w:rsidR="00FD6FF9">
        <w:rPr>
          <w:rFonts w:ascii="Times New Roman" w:eastAsia="Times New Roman" w:hAnsi="Times New Roman" w:cs="Times New Roman"/>
          <w:color w:val="000000"/>
          <w:sz w:val="24"/>
          <w:szCs w:val="24"/>
          <w:lang w:eastAsia="sk-SK"/>
        </w:rPr>
        <w:t>spolugestor</w:t>
      </w:r>
      <w:proofErr w:type="spellEnd"/>
      <w:r w:rsidR="00FD6FF9">
        <w:rPr>
          <w:rFonts w:ascii="Times New Roman" w:eastAsia="Times New Roman" w:hAnsi="Times New Roman" w:cs="Times New Roman"/>
          <w:color w:val="000000"/>
          <w:sz w:val="24"/>
          <w:szCs w:val="24"/>
          <w:lang w:eastAsia="sk-SK"/>
        </w:rPr>
        <w:t>: NBS,</w:t>
      </w:r>
      <w:r w:rsidR="006518C5">
        <w:rPr>
          <w:rFonts w:ascii="Times New Roman" w:eastAsia="Times New Roman" w:hAnsi="Times New Roman" w:cs="Times New Roman"/>
          <w:color w:val="000000"/>
          <w:sz w:val="24"/>
          <w:szCs w:val="24"/>
          <w:lang w:eastAsia="sk-SK"/>
        </w:rPr>
        <w:t xml:space="preserve"> MPSVR SR,</w:t>
      </w:r>
    </w:p>
    <w:p w14:paraId="297F08AD" w14:textId="3154A3E7" w:rsidR="00FE465C" w:rsidRDefault="006518C5" w:rsidP="00FE465C">
      <w:pPr>
        <w:pStyle w:val="Odsekzoznamu"/>
        <w:numPr>
          <w:ilvl w:val="0"/>
          <w:numId w:val="3"/>
        </w:numPr>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w:t>
      </w:r>
      <w:r w:rsidR="00FE465C" w:rsidRPr="00FE465C">
        <w:rPr>
          <w:rFonts w:ascii="Times New Roman" w:eastAsia="Times New Roman" w:hAnsi="Times New Roman" w:cs="Times New Roman"/>
          <w:color w:val="000000"/>
          <w:sz w:val="24"/>
          <w:szCs w:val="24"/>
          <w:lang w:eastAsia="sk-SK"/>
        </w:rPr>
        <w:t>elegované nariadenie Komisie (EÚ) 2022/1302 z 20. apríla 2022, ktorým sa dopĺňa smernica Európskeho parlamentu a Rady 2014/65/EÚ, pokiaľ ide o regulačné technické predpisy na uplatňovanie obmedzení pozícií komoditných derivátov a postupy uplatňovania výnimky z obmedzení pozícií</w:t>
      </w:r>
      <w:r w:rsidR="00FE465C">
        <w:rPr>
          <w:rFonts w:ascii="Times New Roman" w:eastAsia="Times New Roman" w:hAnsi="Times New Roman" w:cs="Times New Roman"/>
          <w:color w:val="000000"/>
          <w:sz w:val="24"/>
          <w:szCs w:val="24"/>
          <w:lang w:eastAsia="sk-SK"/>
        </w:rPr>
        <w:t xml:space="preserve"> (</w:t>
      </w:r>
      <w:r w:rsidR="00FE465C" w:rsidRPr="00FE465C">
        <w:rPr>
          <w:rFonts w:ascii="Times New Roman" w:eastAsia="Times New Roman" w:hAnsi="Times New Roman" w:cs="Times New Roman"/>
          <w:color w:val="000000"/>
          <w:sz w:val="24"/>
          <w:szCs w:val="24"/>
          <w:lang w:eastAsia="sk-SK"/>
        </w:rPr>
        <w:t>Ú. v. EÚ L 197, 26.7.2022</w:t>
      </w:r>
      <w:r w:rsidR="00FE465C">
        <w:rPr>
          <w:rFonts w:ascii="Times New Roman" w:eastAsia="Times New Roman" w:hAnsi="Times New Roman" w:cs="Times New Roman"/>
          <w:color w:val="000000"/>
          <w:sz w:val="24"/>
          <w:szCs w:val="24"/>
          <w:lang w:eastAsia="sk-SK"/>
        </w:rPr>
        <w:t xml:space="preserve">), gestor: MF SR, </w:t>
      </w:r>
      <w:proofErr w:type="spellStart"/>
      <w:r w:rsidR="00FE465C">
        <w:rPr>
          <w:rFonts w:ascii="Times New Roman" w:eastAsia="Times New Roman" w:hAnsi="Times New Roman" w:cs="Times New Roman"/>
          <w:color w:val="000000"/>
          <w:sz w:val="24"/>
          <w:szCs w:val="24"/>
          <w:lang w:eastAsia="sk-SK"/>
        </w:rPr>
        <w:t>spolugestor</w:t>
      </w:r>
      <w:proofErr w:type="spellEnd"/>
      <w:r w:rsidR="00FE465C">
        <w:rPr>
          <w:rFonts w:ascii="Times New Roman" w:eastAsia="Times New Roman" w:hAnsi="Times New Roman" w:cs="Times New Roman"/>
          <w:color w:val="000000"/>
          <w:sz w:val="24"/>
          <w:szCs w:val="24"/>
          <w:lang w:eastAsia="sk-SK"/>
        </w:rPr>
        <w:t>: NBS,</w:t>
      </w:r>
    </w:p>
    <w:p w14:paraId="332A77A4" w14:textId="5ED2DEBF" w:rsidR="00FD6FF9" w:rsidRDefault="00FD6FF9" w:rsidP="00FD6FF9">
      <w:pPr>
        <w:pStyle w:val="Odsekzoznamu"/>
        <w:numPr>
          <w:ilvl w:val="0"/>
          <w:numId w:val="3"/>
        </w:numPr>
        <w:jc w:val="both"/>
        <w:rPr>
          <w:rFonts w:ascii="Times New Roman" w:eastAsia="Times New Roman" w:hAnsi="Times New Roman" w:cs="Times New Roman"/>
          <w:color w:val="000000"/>
          <w:sz w:val="24"/>
          <w:szCs w:val="24"/>
          <w:lang w:eastAsia="sk-SK"/>
        </w:rPr>
      </w:pPr>
      <w:r w:rsidRPr="00FD6FF9">
        <w:rPr>
          <w:rFonts w:ascii="Times New Roman" w:eastAsia="Times New Roman" w:hAnsi="Times New Roman" w:cs="Times New Roman"/>
          <w:color w:val="000000"/>
          <w:sz w:val="24"/>
          <w:szCs w:val="24"/>
          <w:lang w:eastAsia="sk-SK"/>
        </w:rPr>
        <w:t>smernica Európskeho parlamentu a Rady 2004/25/ES z 21. apríla 2004 o ponukách na prevzatie (</w:t>
      </w:r>
      <w:r w:rsidR="00265478" w:rsidRPr="00FD6FF9">
        <w:rPr>
          <w:rFonts w:ascii="Times New Roman" w:eastAsia="Times New Roman" w:hAnsi="Times New Roman" w:cs="Times New Roman"/>
          <w:color w:val="000000"/>
          <w:sz w:val="24"/>
          <w:szCs w:val="24"/>
          <w:lang w:eastAsia="sk-SK"/>
        </w:rPr>
        <w:t>Ú. v. EÚ L 142, 30.4.2004</w:t>
      </w:r>
      <w:r w:rsidR="00265478">
        <w:rPr>
          <w:rFonts w:ascii="Times New Roman" w:eastAsia="Times New Roman" w:hAnsi="Times New Roman" w:cs="Times New Roman"/>
          <w:color w:val="000000"/>
          <w:sz w:val="24"/>
          <w:szCs w:val="24"/>
          <w:lang w:eastAsia="sk-SK"/>
        </w:rPr>
        <w:t xml:space="preserve">; </w:t>
      </w:r>
      <w:r w:rsidRPr="00FD6FF9">
        <w:rPr>
          <w:rFonts w:ascii="Times New Roman" w:eastAsia="Times New Roman" w:hAnsi="Times New Roman" w:cs="Times New Roman"/>
          <w:color w:val="000000"/>
          <w:sz w:val="24"/>
          <w:szCs w:val="24"/>
          <w:lang w:eastAsia="sk-SK"/>
        </w:rPr>
        <w:t>Mimoriadne vydanie Ú. v. EÚ, kap.17/zv. 2,) v platnom znení, ge</w:t>
      </w:r>
      <w:r>
        <w:rPr>
          <w:rFonts w:ascii="Times New Roman" w:eastAsia="Times New Roman" w:hAnsi="Times New Roman" w:cs="Times New Roman"/>
          <w:color w:val="000000"/>
          <w:sz w:val="24"/>
          <w:szCs w:val="24"/>
          <w:lang w:eastAsia="sk-SK"/>
        </w:rPr>
        <w:t xml:space="preserve">stor: MF SR, </w:t>
      </w:r>
      <w:proofErr w:type="spellStart"/>
      <w:r w:rsidR="001A1F6F">
        <w:rPr>
          <w:rFonts w:ascii="Times New Roman" w:eastAsia="Times New Roman" w:hAnsi="Times New Roman" w:cs="Times New Roman"/>
          <w:color w:val="000000"/>
          <w:sz w:val="24"/>
          <w:szCs w:val="24"/>
          <w:lang w:eastAsia="sk-SK"/>
        </w:rPr>
        <w:t>spolugestor</w:t>
      </w:r>
      <w:proofErr w:type="spellEnd"/>
      <w:r w:rsidR="001A1F6F">
        <w:rPr>
          <w:rFonts w:ascii="Times New Roman" w:eastAsia="Times New Roman" w:hAnsi="Times New Roman" w:cs="Times New Roman"/>
          <w:color w:val="000000"/>
          <w:sz w:val="24"/>
          <w:szCs w:val="24"/>
          <w:lang w:eastAsia="sk-SK"/>
        </w:rPr>
        <w:t>: MS SR,</w:t>
      </w:r>
    </w:p>
    <w:p w14:paraId="5AB83A20" w14:textId="46B10DDD" w:rsidR="001A1F6F" w:rsidRPr="00FD6FF9" w:rsidRDefault="001A1F6F" w:rsidP="001A1F6F">
      <w:pPr>
        <w:pStyle w:val="Odsekzoznamu"/>
        <w:numPr>
          <w:ilvl w:val="0"/>
          <w:numId w:val="3"/>
        </w:numPr>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w:t>
      </w:r>
      <w:r w:rsidRPr="001A1F6F">
        <w:rPr>
          <w:rFonts w:ascii="Times New Roman" w:eastAsia="Times New Roman" w:hAnsi="Times New Roman" w:cs="Times New Roman"/>
          <w:color w:val="000000"/>
          <w:sz w:val="24"/>
          <w:szCs w:val="24"/>
          <w:lang w:eastAsia="sk-SK"/>
        </w:rPr>
        <w:t>mernica Európskeho parlamentu a Rady 97/9/ES z 3. marca 1997 o systémoch náhrad pre investorov</w:t>
      </w:r>
      <w:r>
        <w:rPr>
          <w:rFonts w:ascii="Times New Roman" w:eastAsia="Times New Roman" w:hAnsi="Times New Roman" w:cs="Times New Roman"/>
          <w:color w:val="000000"/>
          <w:sz w:val="24"/>
          <w:szCs w:val="24"/>
          <w:lang w:eastAsia="sk-SK"/>
        </w:rPr>
        <w:t xml:space="preserve"> (</w:t>
      </w:r>
      <w:r w:rsidRPr="001A1F6F">
        <w:rPr>
          <w:rFonts w:ascii="Times New Roman" w:eastAsia="Times New Roman" w:hAnsi="Times New Roman" w:cs="Times New Roman"/>
          <w:color w:val="000000"/>
          <w:sz w:val="24"/>
          <w:szCs w:val="24"/>
          <w:lang w:eastAsia="sk-SK"/>
        </w:rPr>
        <w:t>Ú. v. ES L 84, 26.3.1997</w:t>
      </w:r>
      <w:r>
        <w:rPr>
          <w:rFonts w:ascii="Times New Roman" w:eastAsia="Times New Roman" w:hAnsi="Times New Roman" w:cs="Times New Roman"/>
          <w:color w:val="000000"/>
          <w:sz w:val="24"/>
          <w:szCs w:val="24"/>
          <w:lang w:eastAsia="sk-SK"/>
        </w:rPr>
        <w:t xml:space="preserve">; </w:t>
      </w:r>
      <w:r w:rsidR="006518C5">
        <w:rPr>
          <w:rFonts w:ascii="Times New Roman" w:eastAsia="Times New Roman" w:hAnsi="Times New Roman" w:cs="Times New Roman"/>
          <w:color w:val="000000"/>
          <w:sz w:val="24"/>
          <w:szCs w:val="24"/>
          <w:lang w:eastAsia="sk-SK"/>
        </w:rPr>
        <w:t>M</w:t>
      </w:r>
      <w:r w:rsidRPr="001A1F6F">
        <w:rPr>
          <w:rFonts w:ascii="Times New Roman" w:eastAsia="Times New Roman" w:hAnsi="Times New Roman" w:cs="Times New Roman"/>
          <w:color w:val="000000"/>
          <w:sz w:val="24"/>
          <w:szCs w:val="24"/>
          <w:lang w:eastAsia="sk-SK"/>
        </w:rPr>
        <w:t xml:space="preserve">imoriadne vydanie </w:t>
      </w:r>
      <w:r>
        <w:rPr>
          <w:rFonts w:ascii="Times New Roman" w:eastAsia="Times New Roman" w:hAnsi="Times New Roman" w:cs="Times New Roman"/>
          <w:color w:val="000000"/>
          <w:sz w:val="24"/>
          <w:szCs w:val="24"/>
          <w:lang w:eastAsia="sk-SK"/>
        </w:rPr>
        <w:t>Ú. v. EÚ, k</w:t>
      </w:r>
      <w:r w:rsidRPr="001A1F6F">
        <w:rPr>
          <w:rFonts w:ascii="Times New Roman" w:eastAsia="Times New Roman" w:hAnsi="Times New Roman" w:cs="Times New Roman"/>
          <w:color w:val="000000"/>
          <w:sz w:val="24"/>
          <w:szCs w:val="24"/>
          <w:lang w:eastAsia="sk-SK"/>
        </w:rPr>
        <w:t>ap</w:t>
      </w:r>
      <w:r>
        <w:rPr>
          <w:rFonts w:ascii="Times New Roman" w:eastAsia="Times New Roman" w:hAnsi="Times New Roman" w:cs="Times New Roman"/>
          <w:color w:val="000000"/>
          <w:sz w:val="24"/>
          <w:szCs w:val="24"/>
          <w:lang w:eastAsia="sk-SK"/>
        </w:rPr>
        <w:t>.</w:t>
      </w:r>
      <w:r w:rsidRPr="001A1F6F">
        <w:rPr>
          <w:rFonts w:ascii="Times New Roman" w:eastAsia="Times New Roman" w:hAnsi="Times New Roman" w:cs="Times New Roman"/>
          <w:color w:val="000000"/>
          <w:sz w:val="24"/>
          <w:szCs w:val="24"/>
          <w:lang w:eastAsia="sk-SK"/>
        </w:rPr>
        <w:t xml:space="preserve"> 6</w:t>
      </w:r>
      <w:r>
        <w:rPr>
          <w:rFonts w:ascii="Times New Roman" w:eastAsia="Times New Roman" w:hAnsi="Times New Roman" w:cs="Times New Roman"/>
          <w:color w:val="000000"/>
          <w:sz w:val="24"/>
          <w:szCs w:val="24"/>
          <w:lang w:eastAsia="sk-SK"/>
        </w:rPr>
        <w:t xml:space="preserve">/zv. </w:t>
      </w:r>
      <w:r w:rsidRPr="001A1F6F">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gestor: MF SR.</w:t>
      </w:r>
    </w:p>
    <w:p w14:paraId="73B9089A" w14:textId="77777777" w:rsidR="00FD6FF9" w:rsidRPr="00A01ED4" w:rsidRDefault="00FD6FF9" w:rsidP="00FD6FF9">
      <w:pPr>
        <w:pStyle w:val="Odsekzoznamu"/>
        <w:ind w:left="1068"/>
        <w:jc w:val="both"/>
        <w:rPr>
          <w:rFonts w:ascii="Times New Roman" w:eastAsia="Times New Roman" w:hAnsi="Times New Roman" w:cs="Times New Roman"/>
          <w:color w:val="000000"/>
          <w:sz w:val="24"/>
          <w:szCs w:val="24"/>
          <w:lang w:eastAsia="sk-SK"/>
        </w:rPr>
      </w:pPr>
    </w:p>
    <w:p w14:paraId="1DDC99AD" w14:textId="77777777" w:rsidR="009C04AA" w:rsidRPr="00D56C94" w:rsidRDefault="009C04AA" w:rsidP="001A45EA">
      <w:pPr>
        <w:spacing w:after="0" w:line="240" w:lineRule="auto"/>
        <w:rPr>
          <w:rFonts w:ascii="Times New Roman" w:eastAsia="Times New Roman" w:hAnsi="Times New Roman" w:cs="Times New Roman"/>
          <w:color w:val="000000"/>
          <w:sz w:val="24"/>
          <w:szCs w:val="24"/>
          <w:lang w:eastAsia="sk-SK"/>
        </w:rPr>
      </w:pPr>
    </w:p>
    <w:p w14:paraId="3300504C" w14:textId="2913284B" w:rsidR="008545C6" w:rsidRPr="00D56C94" w:rsidRDefault="008545C6" w:rsidP="008545C6">
      <w:pPr>
        <w:pStyle w:val="Odsekzoznamu"/>
        <w:numPr>
          <w:ilvl w:val="0"/>
          <w:numId w:val="2"/>
        </w:numPr>
        <w:spacing w:after="0" w:line="240" w:lineRule="auto"/>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color w:val="000000"/>
          <w:sz w:val="24"/>
          <w:szCs w:val="24"/>
          <w:lang w:eastAsia="sk-SK"/>
        </w:rPr>
        <w:t>v judikatúre Súdneho dvora Európskej únie</w:t>
      </w:r>
      <w:r w:rsidR="00A70665" w:rsidRPr="00D56C94">
        <w:rPr>
          <w:rFonts w:ascii="Times New Roman" w:eastAsia="Times New Roman" w:hAnsi="Times New Roman" w:cs="Times New Roman"/>
          <w:color w:val="000000"/>
          <w:sz w:val="24"/>
          <w:szCs w:val="24"/>
          <w:lang w:eastAsia="sk-SK"/>
        </w:rPr>
        <w:t>:</w:t>
      </w:r>
    </w:p>
    <w:p w14:paraId="5EFD87C8" w14:textId="77777777" w:rsidR="004E473F" w:rsidRPr="00D56C94" w:rsidRDefault="004E473F" w:rsidP="004E473F">
      <w:pPr>
        <w:pStyle w:val="Odsekzoznamu"/>
        <w:spacing w:after="0" w:line="240" w:lineRule="auto"/>
        <w:rPr>
          <w:rFonts w:ascii="Times New Roman" w:eastAsia="Times New Roman" w:hAnsi="Times New Roman" w:cs="Times New Roman"/>
          <w:color w:val="000000"/>
          <w:sz w:val="24"/>
          <w:szCs w:val="24"/>
          <w:lang w:eastAsia="sk-SK"/>
        </w:rPr>
      </w:pPr>
    </w:p>
    <w:p w14:paraId="65885DD1" w14:textId="33E26817" w:rsidR="000260D0" w:rsidRPr="00D56C94" w:rsidRDefault="000260D0" w:rsidP="000260D0">
      <w:pPr>
        <w:pStyle w:val="c02alineaalta"/>
        <w:spacing w:before="0" w:beforeAutospacing="0" w:after="240" w:afterAutospacing="0"/>
        <w:ind w:left="567"/>
        <w:jc w:val="both"/>
        <w:rPr>
          <w:color w:val="000000"/>
        </w:rPr>
      </w:pPr>
      <w:r w:rsidRPr="00D56C94">
        <w:t>- rozsudok</w:t>
      </w:r>
      <w:r w:rsidRPr="00D56C94">
        <w:rPr>
          <w:spacing w:val="15"/>
        </w:rPr>
        <w:t xml:space="preserve"> </w:t>
      </w:r>
      <w:r w:rsidRPr="00D56C94">
        <w:t>Súdneho</w:t>
      </w:r>
      <w:r w:rsidRPr="00D56C94">
        <w:rPr>
          <w:spacing w:val="15"/>
        </w:rPr>
        <w:t xml:space="preserve"> </w:t>
      </w:r>
      <w:r w:rsidRPr="00D56C94">
        <w:t>dvora</w:t>
      </w:r>
      <w:r w:rsidRPr="00D56C94">
        <w:rPr>
          <w:spacing w:val="15"/>
        </w:rPr>
        <w:t xml:space="preserve"> </w:t>
      </w:r>
      <w:r w:rsidRPr="00D56C94">
        <w:t>vo</w:t>
      </w:r>
      <w:r w:rsidRPr="00D56C94">
        <w:rPr>
          <w:spacing w:val="15"/>
        </w:rPr>
        <w:t xml:space="preserve"> </w:t>
      </w:r>
      <w:r w:rsidRPr="00D56C94">
        <w:t xml:space="preserve">veci </w:t>
      </w:r>
      <w:r w:rsidRPr="00D56C94">
        <w:rPr>
          <w:color w:val="000000"/>
        </w:rPr>
        <w:t>C</w:t>
      </w:r>
      <w:r w:rsidRPr="00D56C94">
        <w:rPr>
          <w:color w:val="000000"/>
        </w:rPr>
        <w:noBreakHyphen/>
        <w:t>95/20</w:t>
      </w:r>
      <w:r w:rsidRPr="00D56C94">
        <w:t xml:space="preserve">, </w:t>
      </w:r>
      <w:r w:rsidRPr="00D56C94">
        <w:rPr>
          <w:bCs/>
          <w:color w:val="000000"/>
        </w:rPr>
        <w:t>„</w:t>
      </w:r>
      <w:proofErr w:type="spellStart"/>
      <w:r w:rsidRPr="00D56C94">
        <w:rPr>
          <w:bCs/>
          <w:color w:val="000000"/>
        </w:rPr>
        <w:t>Varčev</w:t>
      </w:r>
      <w:proofErr w:type="spellEnd"/>
      <w:r w:rsidRPr="00D56C94">
        <w:rPr>
          <w:bCs/>
          <w:color w:val="000000"/>
        </w:rPr>
        <w:t xml:space="preserve"> </w:t>
      </w:r>
      <w:proofErr w:type="spellStart"/>
      <w:r w:rsidRPr="00D56C94">
        <w:rPr>
          <w:bCs/>
          <w:color w:val="000000"/>
        </w:rPr>
        <w:t>Finans</w:t>
      </w:r>
      <w:proofErr w:type="spellEnd"/>
      <w:r w:rsidRPr="00D56C94">
        <w:rPr>
          <w:bCs/>
          <w:color w:val="000000"/>
        </w:rPr>
        <w:t xml:space="preserve">“ EOOD proti </w:t>
      </w:r>
      <w:proofErr w:type="spellStart"/>
      <w:r w:rsidRPr="00D56C94">
        <w:rPr>
          <w:bCs/>
          <w:color w:val="000000"/>
        </w:rPr>
        <w:t>Komisija</w:t>
      </w:r>
      <w:proofErr w:type="spellEnd"/>
      <w:r w:rsidRPr="00D56C94">
        <w:rPr>
          <w:bCs/>
          <w:color w:val="000000"/>
        </w:rPr>
        <w:t xml:space="preserve"> za </w:t>
      </w:r>
      <w:proofErr w:type="spellStart"/>
      <w:r w:rsidRPr="00D56C94">
        <w:rPr>
          <w:bCs/>
          <w:color w:val="000000"/>
        </w:rPr>
        <w:t>finansov</w:t>
      </w:r>
      <w:proofErr w:type="spellEnd"/>
      <w:r w:rsidRPr="00D56C94">
        <w:rPr>
          <w:bCs/>
          <w:color w:val="000000"/>
        </w:rPr>
        <w:t xml:space="preserve"> </w:t>
      </w:r>
      <w:proofErr w:type="spellStart"/>
      <w:r w:rsidRPr="00D56C94">
        <w:rPr>
          <w:bCs/>
          <w:color w:val="000000"/>
        </w:rPr>
        <w:t>nadzor</w:t>
      </w:r>
      <w:proofErr w:type="spellEnd"/>
      <w:r w:rsidRPr="00D56C94">
        <w:rPr>
          <w:bCs/>
          <w:color w:val="000000"/>
        </w:rPr>
        <w:t xml:space="preserve">, za účasti </w:t>
      </w:r>
      <w:proofErr w:type="spellStart"/>
      <w:r w:rsidRPr="00D56C94">
        <w:rPr>
          <w:bCs/>
          <w:color w:val="000000"/>
        </w:rPr>
        <w:t>Okrăžna</w:t>
      </w:r>
      <w:proofErr w:type="spellEnd"/>
      <w:r w:rsidRPr="00D56C94">
        <w:rPr>
          <w:bCs/>
          <w:color w:val="000000"/>
        </w:rPr>
        <w:t xml:space="preserve"> </w:t>
      </w:r>
      <w:proofErr w:type="spellStart"/>
      <w:r w:rsidRPr="00D56C94">
        <w:rPr>
          <w:bCs/>
          <w:color w:val="000000"/>
        </w:rPr>
        <w:t>prokuratura</w:t>
      </w:r>
      <w:proofErr w:type="spellEnd"/>
      <w:r w:rsidRPr="00D56C94">
        <w:rPr>
          <w:bCs/>
          <w:color w:val="000000"/>
        </w:rPr>
        <w:t xml:space="preserve"> – </w:t>
      </w:r>
      <w:proofErr w:type="spellStart"/>
      <w:r w:rsidRPr="00D56C94">
        <w:rPr>
          <w:bCs/>
          <w:color w:val="000000"/>
        </w:rPr>
        <w:t>Varna</w:t>
      </w:r>
      <w:proofErr w:type="spellEnd"/>
      <w:r w:rsidRPr="00D56C94">
        <w:t xml:space="preserve"> [2022].</w:t>
      </w:r>
    </w:p>
    <w:p w14:paraId="3B841655" w14:textId="77777777" w:rsidR="000260D0" w:rsidRPr="00D56C94" w:rsidRDefault="000260D0" w:rsidP="000260D0">
      <w:pPr>
        <w:spacing w:after="0" w:line="240" w:lineRule="auto"/>
        <w:ind w:firstLine="567"/>
        <w:jc w:val="both"/>
        <w:rPr>
          <w:rFonts w:ascii="Times New Roman" w:eastAsia="Times New Roman" w:hAnsi="Times New Roman" w:cs="Times New Roman"/>
          <w:b/>
          <w:sz w:val="24"/>
          <w:szCs w:val="24"/>
          <w:lang w:eastAsia="sk-SK"/>
        </w:rPr>
      </w:pPr>
      <w:r w:rsidRPr="00D56C94">
        <w:rPr>
          <w:rFonts w:ascii="Times New Roman" w:eastAsia="Times New Roman" w:hAnsi="Times New Roman" w:cs="Times New Roman"/>
          <w:b/>
          <w:sz w:val="24"/>
          <w:szCs w:val="24"/>
          <w:lang w:eastAsia="sk-SK"/>
        </w:rPr>
        <w:t>Výrok rozhodnutia:</w:t>
      </w:r>
    </w:p>
    <w:p w14:paraId="55599AF0" w14:textId="77777777" w:rsidR="000260D0" w:rsidRPr="00D56C94" w:rsidRDefault="000260D0" w:rsidP="000260D0">
      <w:pPr>
        <w:pStyle w:val="Odsekzoznamu"/>
        <w:spacing w:after="0" w:line="240" w:lineRule="auto"/>
        <w:rPr>
          <w:rFonts w:ascii="Times New Roman" w:eastAsia="Times New Roman" w:hAnsi="Times New Roman" w:cs="Times New Roman"/>
          <w:color w:val="000000"/>
          <w:sz w:val="24"/>
          <w:szCs w:val="24"/>
          <w:lang w:eastAsia="sk-SK"/>
        </w:rPr>
      </w:pPr>
    </w:p>
    <w:p w14:paraId="781F5838" w14:textId="129A2D46" w:rsidR="000260D0" w:rsidRPr="00D56C94" w:rsidRDefault="000260D0" w:rsidP="000260D0">
      <w:pPr>
        <w:pStyle w:val="Odsekzoznamu"/>
        <w:spacing w:after="0" w:line="240" w:lineRule="auto"/>
        <w:ind w:left="170"/>
        <w:jc w:val="both"/>
        <w:rPr>
          <w:rFonts w:ascii="Times New Roman" w:hAnsi="Times New Roman" w:cs="Times New Roman"/>
          <w:bCs/>
          <w:sz w:val="24"/>
          <w:szCs w:val="24"/>
        </w:rPr>
      </w:pPr>
      <w:r w:rsidRPr="00D56C94">
        <w:rPr>
          <w:rFonts w:ascii="Times New Roman" w:hAnsi="Times New Roman" w:cs="Times New Roman"/>
          <w:bCs/>
          <w:sz w:val="24"/>
          <w:szCs w:val="24"/>
        </w:rPr>
        <w:t>Článok 56 ods. 2 a článok 72 ods. 2 delegovaného nariadenia Komisie (EÚ) 2017/565 z 25. apríla 2016, ktorým sa dopĺňa smernica Európskeho parlamentu a Rady </w:t>
      </w:r>
      <w:bookmarkStart w:id="0" w:name="ctx15"/>
      <w:r w:rsidRPr="00D56C94">
        <w:rPr>
          <w:rFonts w:ascii="Times New Roman" w:hAnsi="Times New Roman" w:cs="Times New Roman"/>
          <w:bCs/>
          <w:sz w:val="24"/>
          <w:szCs w:val="24"/>
        </w:rPr>
        <w:t>2014/65</w:t>
      </w:r>
      <w:bookmarkEnd w:id="0"/>
      <w:r w:rsidRPr="00D56C94">
        <w:rPr>
          <w:rFonts w:ascii="Times New Roman" w:hAnsi="Times New Roman" w:cs="Times New Roman"/>
          <w:bCs/>
          <w:sz w:val="24"/>
          <w:szCs w:val="24"/>
        </w:rPr>
        <w:t>/EÚ, pokiaľ ide o organizačné požiadavky a podmienky výkonu činnosti investičných spoločností, ako aj o vymedzené pojmy na účely uvedenej smernice v spojení s prílohou I k tomuto delegovanému nariadeniu sa majú vykladať v tom zmysle, že investičné spoločnosti nie sú povinné uchovávať záznamy týkajúce sa posúdenia vhodnosti a primeranosti investičných produktov alebo služieb pre každého klienta a informácie poskytované každému klientovi o nákladoch a poplatkoch spojených s investičnými službami v samostatných nezávislých registroch, najmä v podobe počítačovej databázy, pričom spôsob uchovávania takýchto záznamov si môžu zvoliť ľubovoľne za predpokladu, že spĺňa všetky požiadavky stanovené v článku 72 ods. 1 uvedeného delegovaného nariadenia.</w:t>
      </w:r>
    </w:p>
    <w:p w14:paraId="3FC7997E" w14:textId="67E49C52" w:rsidR="000260D0" w:rsidRPr="00D56C94" w:rsidRDefault="000260D0" w:rsidP="004E473F">
      <w:pPr>
        <w:pStyle w:val="Odsekzoznamu"/>
        <w:spacing w:after="0" w:line="240" w:lineRule="auto"/>
        <w:jc w:val="both"/>
        <w:rPr>
          <w:rFonts w:ascii="Times New Roman" w:eastAsia="Times New Roman" w:hAnsi="Times New Roman" w:cs="Times New Roman"/>
          <w:sz w:val="24"/>
          <w:szCs w:val="24"/>
          <w:lang w:eastAsia="sk-SK"/>
        </w:rPr>
      </w:pPr>
    </w:p>
    <w:p w14:paraId="484DF624" w14:textId="77777777" w:rsidR="00902F8D" w:rsidRPr="00D56C94" w:rsidRDefault="00902F8D" w:rsidP="004E473F">
      <w:pPr>
        <w:pStyle w:val="Odsekzoznamu"/>
        <w:spacing w:after="0" w:line="240" w:lineRule="auto"/>
        <w:jc w:val="both"/>
        <w:rPr>
          <w:rFonts w:ascii="Times New Roman" w:eastAsia="Times New Roman" w:hAnsi="Times New Roman" w:cs="Times New Roman"/>
          <w:sz w:val="24"/>
          <w:szCs w:val="24"/>
          <w:lang w:eastAsia="sk-SK"/>
        </w:rPr>
      </w:pPr>
    </w:p>
    <w:p w14:paraId="6E204CBB" w14:textId="3294236A" w:rsidR="004E473F" w:rsidRPr="00D56C94" w:rsidRDefault="004E473F" w:rsidP="000260D0">
      <w:pPr>
        <w:pStyle w:val="Odsekzoznamu"/>
        <w:spacing w:after="0" w:line="240" w:lineRule="auto"/>
        <w:ind w:left="567"/>
        <w:jc w:val="both"/>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sz w:val="24"/>
          <w:szCs w:val="24"/>
          <w:lang w:eastAsia="sk-SK"/>
        </w:rPr>
        <w:t>- rozsudok</w:t>
      </w:r>
      <w:r w:rsidRPr="00D56C94">
        <w:rPr>
          <w:rFonts w:ascii="Times New Roman" w:eastAsia="Times New Roman" w:hAnsi="Times New Roman" w:cs="Times New Roman"/>
          <w:spacing w:val="15"/>
          <w:sz w:val="24"/>
          <w:szCs w:val="24"/>
          <w:lang w:eastAsia="sk-SK"/>
        </w:rPr>
        <w:t xml:space="preserve"> </w:t>
      </w:r>
      <w:r w:rsidRPr="00D56C94">
        <w:rPr>
          <w:rFonts w:ascii="Times New Roman" w:eastAsia="Times New Roman" w:hAnsi="Times New Roman" w:cs="Times New Roman"/>
          <w:sz w:val="24"/>
          <w:szCs w:val="24"/>
          <w:lang w:eastAsia="sk-SK"/>
        </w:rPr>
        <w:t>Súdneho</w:t>
      </w:r>
      <w:r w:rsidRPr="00D56C94">
        <w:rPr>
          <w:rFonts w:ascii="Times New Roman" w:eastAsia="Times New Roman" w:hAnsi="Times New Roman" w:cs="Times New Roman"/>
          <w:spacing w:val="15"/>
          <w:sz w:val="24"/>
          <w:szCs w:val="24"/>
          <w:lang w:eastAsia="sk-SK"/>
        </w:rPr>
        <w:t xml:space="preserve"> </w:t>
      </w:r>
      <w:r w:rsidRPr="00D56C94">
        <w:rPr>
          <w:rFonts w:ascii="Times New Roman" w:eastAsia="Times New Roman" w:hAnsi="Times New Roman" w:cs="Times New Roman"/>
          <w:sz w:val="24"/>
          <w:szCs w:val="24"/>
          <w:lang w:eastAsia="sk-SK"/>
        </w:rPr>
        <w:t>dvora</w:t>
      </w:r>
      <w:r w:rsidRPr="00D56C94">
        <w:rPr>
          <w:rFonts w:ascii="Times New Roman" w:eastAsia="Times New Roman" w:hAnsi="Times New Roman" w:cs="Times New Roman"/>
          <w:spacing w:val="15"/>
          <w:sz w:val="24"/>
          <w:szCs w:val="24"/>
          <w:lang w:eastAsia="sk-SK"/>
        </w:rPr>
        <w:t xml:space="preserve"> </w:t>
      </w:r>
      <w:r w:rsidRPr="00D56C94">
        <w:rPr>
          <w:rFonts w:ascii="Times New Roman" w:eastAsia="Times New Roman" w:hAnsi="Times New Roman" w:cs="Times New Roman"/>
          <w:sz w:val="24"/>
          <w:szCs w:val="24"/>
          <w:lang w:eastAsia="sk-SK"/>
        </w:rPr>
        <w:t>vo</w:t>
      </w:r>
      <w:r w:rsidRPr="00D56C94">
        <w:rPr>
          <w:rFonts w:ascii="Times New Roman" w:eastAsia="Times New Roman" w:hAnsi="Times New Roman" w:cs="Times New Roman"/>
          <w:spacing w:val="15"/>
          <w:sz w:val="24"/>
          <w:szCs w:val="24"/>
          <w:lang w:eastAsia="sk-SK"/>
        </w:rPr>
        <w:t xml:space="preserve"> </w:t>
      </w:r>
      <w:r w:rsidRPr="00D56C94">
        <w:rPr>
          <w:rFonts w:ascii="Times New Roman" w:eastAsia="Times New Roman" w:hAnsi="Times New Roman" w:cs="Times New Roman"/>
          <w:sz w:val="24"/>
          <w:szCs w:val="24"/>
          <w:lang w:eastAsia="sk-SK"/>
        </w:rPr>
        <w:t xml:space="preserve">veci C – 15/16, </w:t>
      </w:r>
      <w:proofErr w:type="spellStart"/>
      <w:r w:rsidRPr="00D56C94">
        <w:rPr>
          <w:rFonts w:ascii="Times New Roman" w:hAnsi="Times New Roman" w:cs="Times New Roman"/>
          <w:bCs/>
          <w:color w:val="000000"/>
          <w:sz w:val="24"/>
          <w:szCs w:val="24"/>
        </w:rPr>
        <w:t>Bundesanstalt</w:t>
      </w:r>
      <w:proofErr w:type="spellEnd"/>
      <w:r w:rsidRPr="00D56C94">
        <w:rPr>
          <w:rFonts w:ascii="Times New Roman" w:hAnsi="Times New Roman" w:cs="Times New Roman"/>
          <w:bCs/>
          <w:color w:val="000000"/>
          <w:sz w:val="24"/>
          <w:szCs w:val="24"/>
        </w:rPr>
        <w:t xml:space="preserve"> </w:t>
      </w:r>
      <w:proofErr w:type="spellStart"/>
      <w:r w:rsidRPr="00D56C94">
        <w:rPr>
          <w:rFonts w:ascii="Times New Roman" w:hAnsi="Times New Roman" w:cs="Times New Roman"/>
          <w:bCs/>
          <w:color w:val="000000"/>
          <w:sz w:val="24"/>
          <w:szCs w:val="24"/>
        </w:rPr>
        <w:t>für</w:t>
      </w:r>
      <w:proofErr w:type="spellEnd"/>
      <w:r w:rsidRPr="00D56C94">
        <w:rPr>
          <w:rFonts w:ascii="Times New Roman" w:hAnsi="Times New Roman" w:cs="Times New Roman"/>
          <w:bCs/>
          <w:color w:val="000000"/>
          <w:sz w:val="24"/>
          <w:szCs w:val="24"/>
        </w:rPr>
        <w:t xml:space="preserve"> </w:t>
      </w:r>
      <w:proofErr w:type="spellStart"/>
      <w:r w:rsidRPr="00D56C94">
        <w:rPr>
          <w:rFonts w:ascii="Times New Roman" w:hAnsi="Times New Roman" w:cs="Times New Roman"/>
          <w:bCs/>
          <w:color w:val="000000"/>
          <w:sz w:val="24"/>
          <w:szCs w:val="24"/>
        </w:rPr>
        <w:t>Finanzdienstleistungsaufsicht</w:t>
      </w:r>
      <w:proofErr w:type="spellEnd"/>
      <w:r w:rsidRPr="00D56C94">
        <w:rPr>
          <w:rFonts w:ascii="Times New Roman" w:hAnsi="Times New Roman" w:cs="Times New Roman"/>
          <w:bCs/>
          <w:color w:val="000000"/>
          <w:sz w:val="24"/>
          <w:szCs w:val="24"/>
        </w:rPr>
        <w:t xml:space="preserve"> proti </w:t>
      </w:r>
      <w:proofErr w:type="spellStart"/>
      <w:r w:rsidRPr="00D56C94">
        <w:rPr>
          <w:rFonts w:ascii="Times New Roman" w:hAnsi="Times New Roman" w:cs="Times New Roman"/>
          <w:bCs/>
          <w:color w:val="000000"/>
          <w:sz w:val="24"/>
          <w:szCs w:val="24"/>
        </w:rPr>
        <w:t>Ewaldovi</w:t>
      </w:r>
      <w:proofErr w:type="spellEnd"/>
      <w:r w:rsidRPr="00D56C94">
        <w:rPr>
          <w:rFonts w:ascii="Times New Roman" w:hAnsi="Times New Roman" w:cs="Times New Roman"/>
          <w:bCs/>
          <w:color w:val="000000"/>
          <w:sz w:val="24"/>
          <w:szCs w:val="24"/>
        </w:rPr>
        <w:t xml:space="preserve"> </w:t>
      </w:r>
      <w:proofErr w:type="spellStart"/>
      <w:r w:rsidRPr="00D56C94">
        <w:rPr>
          <w:rFonts w:ascii="Times New Roman" w:hAnsi="Times New Roman" w:cs="Times New Roman"/>
          <w:bCs/>
          <w:color w:val="000000"/>
          <w:sz w:val="24"/>
          <w:szCs w:val="24"/>
        </w:rPr>
        <w:t>Baumeisterovi</w:t>
      </w:r>
      <w:proofErr w:type="spellEnd"/>
      <w:r w:rsidRPr="00D56C94">
        <w:rPr>
          <w:rFonts w:ascii="Times New Roman" w:hAnsi="Times New Roman" w:cs="Times New Roman"/>
          <w:bCs/>
          <w:color w:val="000000"/>
          <w:sz w:val="24"/>
          <w:szCs w:val="24"/>
        </w:rPr>
        <w:t>,</w:t>
      </w:r>
      <w:r w:rsidRPr="00D56C94">
        <w:rPr>
          <w:rFonts w:ascii="Times New Roman" w:hAnsi="Times New Roman" w:cs="Times New Roman"/>
          <w:sz w:val="24"/>
          <w:szCs w:val="24"/>
        </w:rPr>
        <w:t xml:space="preserve"> [2018].</w:t>
      </w:r>
    </w:p>
    <w:p w14:paraId="682C9C4A" w14:textId="77777777" w:rsidR="004E473F" w:rsidRPr="00D56C94" w:rsidRDefault="004E473F" w:rsidP="004E473F">
      <w:pPr>
        <w:pStyle w:val="Odsekzoznamu"/>
        <w:spacing w:after="0" w:line="240" w:lineRule="auto"/>
        <w:ind w:left="1068"/>
        <w:jc w:val="both"/>
        <w:rPr>
          <w:rFonts w:ascii="Times New Roman" w:eastAsia="Times New Roman" w:hAnsi="Times New Roman" w:cs="Times New Roman"/>
          <w:sz w:val="24"/>
          <w:szCs w:val="24"/>
          <w:lang w:eastAsia="sk-SK"/>
        </w:rPr>
      </w:pPr>
    </w:p>
    <w:p w14:paraId="1274B48D" w14:textId="60701C3D" w:rsidR="004E473F" w:rsidRPr="00D56C94" w:rsidRDefault="004E473F" w:rsidP="004E473F">
      <w:pPr>
        <w:spacing w:after="0" w:line="240" w:lineRule="auto"/>
        <w:ind w:firstLine="708"/>
        <w:jc w:val="both"/>
        <w:rPr>
          <w:rFonts w:ascii="Times New Roman" w:eastAsia="Times New Roman" w:hAnsi="Times New Roman" w:cs="Times New Roman"/>
          <w:b/>
          <w:sz w:val="24"/>
          <w:szCs w:val="24"/>
          <w:lang w:eastAsia="sk-SK"/>
        </w:rPr>
      </w:pPr>
      <w:r w:rsidRPr="00D56C94">
        <w:rPr>
          <w:rFonts w:ascii="Times New Roman" w:eastAsia="Times New Roman" w:hAnsi="Times New Roman" w:cs="Times New Roman"/>
          <w:b/>
          <w:sz w:val="24"/>
          <w:szCs w:val="24"/>
          <w:lang w:eastAsia="sk-SK"/>
        </w:rPr>
        <w:t>Výrok rozhodnutia:</w:t>
      </w:r>
    </w:p>
    <w:p w14:paraId="47F82BCC" w14:textId="77777777" w:rsidR="004E473F" w:rsidRPr="00D56C94" w:rsidRDefault="004E473F" w:rsidP="004E473F">
      <w:pPr>
        <w:spacing w:after="0" w:line="240" w:lineRule="auto"/>
        <w:ind w:firstLine="708"/>
        <w:jc w:val="both"/>
        <w:rPr>
          <w:rFonts w:ascii="Times New Roman" w:eastAsia="Times New Roman" w:hAnsi="Times New Roman" w:cs="Times New Roman"/>
          <w:b/>
          <w:sz w:val="24"/>
          <w:szCs w:val="24"/>
          <w:lang w:eastAsia="sk-SK"/>
        </w:rPr>
      </w:pPr>
    </w:p>
    <w:p w14:paraId="223F4DC1" w14:textId="55D60216" w:rsidR="004E473F" w:rsidRPr="00D56C94" w:rsidRDefault="004E473F" w:rsidP="004E473F">
      <w:pPr>
        <w:pStyle w:val="c08dispositif"/>
        <w:spacing w:before="0" w:beforeAutospacing="0" w:after="120" w:afterAutospacing="0"/>
        <w:ind w:left="170" w:right="-57"/>
        <w:jc w:val="both"/>
        <w:rPr>
          <w:bCs/>
        </w:rPr>
      </w:pPr>
      <w:r w:rsidRPr="00D56C94">
        <w:rPr>
          <w:bCs/>
          <w:color w:val="000000"/>
        </w:rPr>
        <w:t xml:space="preserve">1. </w:t>
      </w:r>
      <w:r w:rsidRPr="00D56C94">
        <w:rPr>
          <w:bCs/>
        </w:rPr>
        <w:t>Článok 54 ods. 1 smernice Európskeho parlamentu a Rady </w:t>
      </w:r>
      <w:bookmarkStart w:id="1" w:name="ctx38"/>
      <w:r w:rsidRPr="00D56C94">
        <w:rPr>
          <w:bCs/>
        </w:rPr>
        <w:t>2004/39</w:t>
      </w:r>
      <w:bookmarkEnd w:id="1"/>
      <w:r w:rsidRPr="00D56C94">
        <w:rPr>
          <w:bCs/>
        </w:rPr>
        <w:t>/ES z 21. apríla 2004 o trhoch s finančnými nástrojmi, o zmene a doplnení smerníc Rady 85/611/EHS a 93/6/EHS a smernice Európskeho parlamentu a Rady 2000/12/ES a o zrušení smernice Rady 93/22/EHS, sa má vykladať v tom zmysle, že všetky informácie týkajúce sa podniku, nad ktorým sa vykonáva dohľad, ktoré tento podnik poskytne príslušnému orgánu, ako aj všetky vyhlásenia toho orgánu uvedené v jeho dokumentácii o dohľade, vrátane jeho korešpondencie s inými orgánmi, nie sú bezpodmienečne dôvernými informáciami, na ktoré sa teda vzťahuje povinnosť zachovávať služobné tajomstvo, ktorá je stanovená v tomto ustanovení. Táto kvalifikácia sa vzťahuje na informácie, ktoré majú k dispozícii orgány určené členskými štátmi na to, aby plnili úlohy stanovené touto smernicou, a ktoré jednak nemajú verejnú povahu a jednak ich sprístupnenie by mohlo poškodiť záujmy fyzickej či právnickej osoby, ktorá ich poskytla, alebo tretej osoby, alebo aj riadne fungovanie systému monitorovania činností investičných podnikov, ktorý normotvorca Únie zaviedol prijatím smernice </w:t>
      </w:r>
      <w:bookmarkStart w:id="2" w:name="ctx39"/>
      <w:r w:rsidRPr="00D56C94">
        <w:rPr>
          <w:bCs/>
        </w:rPr>
        <w:t>2004/39</w:t>
      </w:r>
      <w:bookmarkEnd w:id="2"/>
      <w:r w:rsidRPr="00D56C94">
        <w:rPr>
          <w:bCs/>
        </w:rPr>
        <w:t>.</w:t>
      </w:r>
    </w:p>
    <w:p w14:paraId="7196B85B" w14:textId="4AEE3CB7" w:rsidR="004E473F" w:rsidRPr="00D56C94" w:rsidRDefault="004E473F" w:rsidP="004E473F">
      <w:pPr>
        <w:pStyle w:val="c08dispositif"/>
        <w:spacing w:before="0" w:beforeAutospacing="0" w:after="120" w:afterAutospacing="0"/>
        <w:ind w:left="170" w:right="-57"/>
        <w:jc w:val="both"/>
        <w:rPr>
          <w:bCs/>
        </w:rPr>
      </w:pPr>
      <w:r w:rsidRPr="00D56C94">
        <w:rPr>
          <w:bCs/>
        </w:rPr>
        <w:t>2. Preto treba na druhú otázku odpovedať tak, že článok 54 ods. 1 smernice </w:t>
      </w:r>
      <w:bookmarkStart w:id="3" w:name="ctx40"/>
      <w:r w:rsidRPr="00D56C94">
        <w:rPr>
          <w:bCs/>
        </w:rPr>
        <w:t>2004/39</w:t>
      </w:r>
      <w:bookmarkEnd w:id="3"/>
      <w:r w:rsidRPr="00D56C94">
        <w:rPr>
          <w:bCs/>
        </w:rPr>
        <w:t> sa má vykladať v tom zmysle, že dôverná povaha informácií týkajúcich sa podniku, nad ktorým sa vykonáva dohľad, ktoré boli poskytnuté orgánom určeným členskými štátmi na to, aby plnili úlohy stanovené touto smernicou, sa musí posúdiť ku dňu preskúmania, ktoré majú tieto orgány vykonať pri rozhodovaní o žiadosti o sprístupnenie uvedených informácií, bez ohľadu na to, ako boli kvalifikované v okamihu, keď boli uvedeným orgánom poskytnuté.</w:t>
      </w:r>
    </w:p>
    <w:p w14:paraId="3E2B73B2" w14:textId="37DDA3FD" w:rsidR="004E473F" w:rsidRPr="00D56C94" w:rsidRDefault="004E473F" w:rsidP="004E473F">
      <w:pPr>
        <w:pStyle w:val="c08dispositif"/>
        <w:spacing w:before="0" w:beforeAutospacing="0" w:after="120" w:afterAutospacing="0"/>
        <w:ind w:left="170" w:right="-57"/>
        <w:jc w:val="both"/>
        <w:rPr>
          <w:bCs/>
        </w:rPr>
      </w:pPr>
      <w:r w:rsidRPr="00D56C94">
        <w:rPr>
          <w:bCs/>
        </w:rPr>
        <w:t>3. V dôsledku toho treba na tretiu otázku odpovedať tak, že článok 54 ods. 1 smernice </w:t>
      </w:r>
      <w:bookmarkStart w:id="4" w:name="ctx41"/>
      <w:r w:rsidRPr="00D56C94">
        <w:rPr>
          <w:bCs/>
        </w:rPr>
        <w:t>2004/39</w:t>
      </w:r>
      <w:bookmarkEnd w:id="4"/>
      <w:r w:rsidRPr="00D56C94">
        <w:rPr>
          <w:bCs/>
        </w:rPr>
        <w:t> sa má vykladať v tom zmysle, že informácie, ktoré majú k dispozícii orgány určené členskými štátmi na to, aby plnili úlohy stanovené touto smernicou, a ktoré môžu predstavovať obchodné tajomstvo, no sú staré päť a viac rokov, sa v dôsledku uplynutia času v zásade považujú za zastarané, a z tohto dôvodu stratili svoj tajný charakter, ibaže by účastník konania, ktorý sa odvoláva na tento charakter, výnimočne preukázal, že tieto informácie napriek ich veku stále predstavujú podstatné prvky jeho obchodného postavenia alebo postavenia tretej osoby. Takéto úvahy neplatia v prípade informácií, ktoré majú k dispozícií tieto orgány a ktorých dôvernosť možno odôvodniť inými dôvodmi, než je ich význam pre obchodné postavenie dotknutých podnikov.</w:t>
      </w:r>
    </w:p>
    <w:p w14:paraId="1AA02422" w14:textId="118223ED" w:rsidR="00703A5A" w:rsidRDefault="00703A5A" w:rsidP="00703A5A">
      <w:pPr>
        <w:spacing w:after="0" w:line="240" w:lineRule="auto"/>
        <w:rPr>
          <w:rFonts w:ascii="Times New Roman" w:eastAsia="Times New Roman" w:hAnsi="Times New Roman" w:cs="Times New Roman"/>
          <w:b/>
          <w:bCs/>
          <w:color w:val="000000"/>
          <w:sz w:val="24"/>
          <w:szCs w:val="24"/>
          <w:lang w:eastAsia="sk-SK"/>
        </w:rPr>
      </w:pPr>
    </w:p>
    <w:p w14:paraId="16F81F2D" w14:textId="586D722E" w:rsidR="00FD6FF9" w:rsidRPr="003E20E6" w:rsidRDefault="00FD6FF9" w:rsidP="00FD6FF9">
      <w:pPr>
        <w:numPr>
          <w:ilvl w:val="0"/>
          <w:numId w:val="9"/>
        </w:numPr>
        <w:spacing w:before="150" w:after="240" w:line="240" w:lineRule="auto"/>
        <w:ind w:left="709" w:hanging="397"/>
        <w:jc w:val="both"/>
        <w:rPr>
          <w:rFonts w:ascii="Times New Roman" w:hAnsi="Times New Roman"/>
          <w:noProof/>
          <w:sz w:val="24"/>
          <w:szCs w:val="24"/>
          <w:lang w:eastAsia="sk-SK"/>
        </w:rPr>
      </w:pPr>
      <w:r w:rsidRPr="003E20E6">
        <w:rPr>
          <w:rFonts w:ascii="Times New Roman" w:hAnsi="Times New Roman"/>
          <w:sz w:val="24"/>
          <w:szCs w:val="24"/>
          <w:lang w:eastAsia="sk-SK"/>
        </w:rPr>
        <w:t xml:space="preserve">rozhodnutie Súdneho dvora vo veci </w:t>
      </w:r>
      <w:r w:rsidRPr="003E20E6">
        <w:rPr>
          <w:rFonts w:ascii="Times New Roman" w:hAnsi="Times New Roman"/>
          <w:sz w:val="24"/>
          <w:szCs w:val="24"/>
          <w:u w:val="single"/>
          <w:lang w:eastAsia="sk-SK"/>
        </w:rPr>
        <w:t>C - 206/16</w:t>
      </w:r>
      <w:r w:rsidRPr="003E20E6">
        <w:rPr>
          <w:rFonts w:ascii="Times New Roman" w:hAnsi="Times New Roman"/>
          <w:sz w:val="24"/>
          <w:szCs w:val="24"/>
          <w:lang w:eastAsia="sk-SK"/>
        </w:rPr>
        <w:t xml:space="preserve">, </w:t>
      </w:r>
      <w:r w:rsidRPr="003E20E6">
        <w:rPr>
          <w:rFonts w:ascii="Times New Roman" w:hAnsi="Times New Roman"/>
          <w:bCs/>
          <w:noProof/>
          <w:sz w:val="24"/>
          <w:szCs w:val="24"/>
          <w:lang w:eastAsia="sk-SK"/>
        </w:rPr>
        <w:t>Marco Tronchetti Provera SpA, a i. proti Commissione Nazionale per le Società e la Borsa (Consob), [2017].</w:t>
      </w:r>
    </w:p>
    <w:p w14:paraId="47D0BB1E" w14:textId="77777777" w:rsidR="00FD6FF9" w:rsidRPr="00FD6FF9" w:rsidRDefault="00FD6FF9" w:rsidP="00FD6FF9">
      <w:pPr>
        <w:spacing w:before="150" w:after="240" w:line="240" w:lineRule="auto"/>
        <w:ind w:right="28" w:firstLine="709"/>
        <w:jc w:val="both"/>
        <w:rPr>
          <w:rFonts w:ascii="Times New Roman" w:hAnsi="Times New Roman"/>
          <w:b/>
          <w:noProof/>
          <w:sz w:val="24"/>
          <w:szCs w:val="24"/>
          <w:lang w:eastAsia="sk-SK"/>
        </w:rPr>
      </w:pPr>
      <w:r w:rsidRPr="00FD6FF9">
        <w:rPr>
          <w:rFonts w:ascii="Times New Roman" w:hAnsi="Times New Roman"/>
          <w:b/>
          <w:noProof/>
          <w:sz w:val="24"/>
          <w:szCs w:val="24"/>
          <w:lang w:eastAsia="sk-SK"/>
        </w:rPr>
        <w:t xml:space="preserve">Výrok rozhodnutia:  </w:t>
      </w:r>
    </w:p>
    <w:p w14:paraId="2DA74976" w14:textId="77777777" w:rsidR="00FD6FF9" w:rsidRPr="003E20E6" w:rsidRDefault="00FD6FF9" w:rsidP="00FD6FF9">
      <w:pPr>
        <w:spacing w:before="150" w:after="240" w:line="240" w:lineRule="auto"/>
        <w:ind w:left="284"/>
        <w:jc w:val="both"/>
        <w:rPr>
          <w:rFonts w:ascii="Times New Roman" w:hAnsi="Times New Roman"/>
          <w:sz w:val="24"/>
          <w:szCs w:val="24"/>
          <w:lang w:eastAsia="sk-SK"/>
        </w:rPr>
      </w:pPr>
      <w:r w:rsidRPr="003E20E6">
        <w:rPr>
          <w:rFonts w:ascii="Times New Roman" w:hAnsi="Times New Roman"/>
          <w:bCs/>
          <w:noProof/>
          <w:sz w:val="24"/>
          <w:szCs w:val="24"/>
          <w:lang w:eastAsia="sk-SK"/>
        </w:rPr>
        <w:t xml:space="preserve">Článok 5 ods. 4 druhý pododsek smernice Európskeho parlamentu a Rady </w:t>
      </w:r>
      <w:bookmarkStart w:id="5" w:name="ctx20"/>
      <w:r w:rsidRPr="003E20E6">
        <w:rPr>
          <w:rFonts w:ascii="Times New Roman" w:hAnsi="Times New Roman"/>
          <w:bCs/>
          <w:noProof/>
          <w:sz w:val="24"/>
          <w:szCs w:val="24"/>
          <w:lang w:eastAsia="sk-SK"/>
        </w:rPr>
        <w:t>2004/25</w:t>
      </w:r>
      <w:bookmarkEnd w:id="5"/>
      <w:r w:rsidRPr="003E20E6">
        <w:rPr>
          <w:rFonts w:ascii="Times New Roman" w:hAnsi="Times New Roman"/>
          <w:bCs/>
          <w:noProof/>
          <w:sz w:val="24"/>
          <w:szCs w:val="24"/>
          <w:lang w:eastAsia="sk-SK"/>
        </w:rPr>
        <w:t>/ES z 21. apríla 2004 o ponukách na prevzatie sa má vykladať v tom zmysle, že nebráni vnútroštátnej právnej úprave, akou je tá v konaní vo veci samej, ktorá oprávňuje vnútroštátny orgán dohľadu zvýšiť cenu ponuky na prevzatie v prípade „kolúzie“, pričom nešpecifikuje konania, ktoré tento pojem charakterizujú, za predpokladu, že výklad uvedeného pojmu možno prostredníctvom výkladových</w:t>
      </w:r>
      <w:r w:rsidRPr="003E20E6">
        <w:rPr>
          <w:rFonts w:ascii="Times New Roman" w:hAnsi="Times New Roman"/>
          <w:bCs/>
          <w:sz w:val="24"/>
          <w:szCs w:val="24"/>
          <w:lang w:eastAsia="sk-SK"/>
        </w:rPr>
        <w:t xml:space="preserve"> metód uznaných vnútroštátnym právom vyvodiť dostatočne jasným, presným a predvídateľným spôsobom z tejto právnej úpravy.</w:t>
      </w:r>
    </w:p>
    <w:p w14:paraId="48A8F039" w14:textId="3FDC992E" w:rsidR="00FD6FF9" w:rsidRDefault="00FD6FF9" w:rsidP="00703A5A">
      <w:pPr>
        <w:spacing w:after="0" w:line="240" w:lineRule="auto"/>
        <w:rPr>
          <w:rFonts w:ascii="Times New Roman" w:eastAsia="Times New Roman" w:hAnsi="Times New Roman" w:cs="Times New Roman"/>
          <w:b/>
          <w:bCs/>
          <w:color w:val="000000"/>
          <w:sz w:val="24"/>
          <w:szCs w:val="24"/>
          <w:lang w:eastAsia="sk-SK"/>
        </w:rPr>
      </w:pPr>
    </w:p>
    <w:p w14:paraId="73547EE2" w14:textId="0B94A0F0" w:rsidR="00FD6FF9" w:rsidRPr="00D56C94" w:rsidRDefault="00FD6FF9" w:rsidP="00703A5A">
      <w:pPr>
        <w:spacing w:after="0" w:line="240" w:lineRule="auto"/>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ab/>
      </w:r>
    </w:p>
    <w:p w14:paraId="0C96FCAE" w14:textId="07A0791D" w:rsidR="008545C6" w:rsidRPr="00D56C94" w:rsidRDefault="008545C6" w:rsidP="008545C6">
      <w:pPr>
        <w:pStyle w:val="Odsekzoznamu"/>
        <w:numPr>
          <w:ilvl w:val="0"/>
          <w:numId w:val="1"/>
        </w:numPr>
        <w:spacing w:after="0" w:line="240" w:lineRule="auto"/>
        <w:ind w:left="426" w:hanging="426"/>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b/>
          <w:bCs/>
          <w:color w:val="000000"/>
          <w:sz w:val="24"/>
          <w:szCs w:val="24"/>
          <w:lang w:eastAsia="sk-SK"/>
        </w:rPr>
        <w:lastRenderedPageBreak/>
        <w:t>Záväzky Slovenskej republiky vo vzťahu k Európskej únii:</w:t>
      </w:r>
      <w:r w:rsidR="001E6174" w:rsidRPr="00D56C94">
        <w:rPr>
          <w:rFonts w:ascii="Times New Roman" w:eastAsia="Times New Roman" w:hAnsi="Times New Roman" w:cs="Times New Roman"/>
          <w:b/>
          <w:bCs/>
          <w:color w:val="000000"/>
          <w:sz w:val="24"/>
          <w:szCs w:val="24"/>
          <w:lang w:eastAsia="sk-SK"/>
        </w:rPr>
        <w:t xml:space="preserve"> </w:t>
      </w:r>
    </w:p>
    <w:p w14:paraId="3252F58C" w14:textId="77777777" w:rsidR="001E6174" w:rsidRPr="00D56C94" w:rsidRDefault="001E6174" w:rsidP="001E6174">
      <w:pPr>
        <w:pStyle w:val="Odsekzoznamu"/>
        <w:spacing w:after="0" w:line="240" w:lineRule="auto"/>
        <w:ind w:left="426"/>
        <w:rPr>
          <w:rFonts w:ascii="Times New Roman" w:eastAsia="Times New Roman" w:hAnsi="Times New Roman" w:cs="Times New Roman"/>
          <w:color w:val="000000"/>
          <w:sz w:val="24"/>
          <w:szCs w:val="24"/>
          <w:lang w:eastAsia="sk-SK"/>
        </w:rPr>
      </w:pPr>
    </w:p>
    <w:p w14:paraId="557DD8CE" w14:textId="4E16FB84" w:rsidR="008545C6" w:rsidRPr="00D56C94" w:rsidRDefault="005B2E83" w:rsidP="001735D1">
      <w:pPr>
        <w:pStyle w:val="Odsekzoznamu"/>
        <w:numPr>
          <w:ilvl w:val="0"/>
          <w:numId w:val="5"/>
        </w:numPr>
        <w:tabs>
          <w:tab w:val="left" w:pos="360"/>
          <w:tab w:val="left" w:pos="540"/>
        </w:tabs>
        <w:spacing w:after="0" w:line="240" w:lineRule="auto"/>
        <w:ind w:left="567" w:hanging="218"/>
        <w:jc w:val="both"/>
        <w:rPr>
          <w:rFonts w:ascii="Times New Roman" w:eastAsia="Times New Roman" w:hAnsi="Times New Roman" w:cs="Times New Roman"/>
          <w:color w:val="000000"/>
          <w:sz w:val="24"/>
          <w:szCs w:val="24"/>
          <w:lang w:eastAsia="sk-SK"/>
        </w:rPr>
      </w:pPr>
      <w:r w:rsidRPr="00D56C94">
        <w:rPr>
          <w:rFonts w:ascii="Times New Roman" w:hAnsi="Times New Roman" w:cs="Times New Roman"/>
          <w:sz w:val="24"/>
          <w:szCs w:val="24"/>
        </w:rPr>
        <w:t xml:space="preserve"> </w:t>
      </w:r>
      <w:r w:rsidR="004F3FEA" w:rsidRPr="00D56C94">
        <w:rPr>
          <w:rFonts w:ascii="Times New Roman" w:eastAsia="Times New Roman" w:hAnsi="Times New Roman" w:cs="Times New Roman"/>
          <w:color w:val="000000"/>
          <w:sz w:val="24"/>
          <w:szCs w:val="24"/>
          <w:lang w:eastAsia="sk-SK"/>
        </w:rPr>
        <w:t>Lehota</w:t>
      </w:r>
      <w:r w:rsidR="004F3FEA" w:rsidRPr="00D56C94">
        <w:rPr>
          <w:rFonts w:ascii="Times New Roman" w:eastAsia="Times New Roman" w:hAnsi="Times New Roman" w:cs="Times New Roman"/>
          <w:color w:val="000000"/>
          <w:spacing w:val="82"/>
          <w:sz w:val="24"/>
          <w:szCs w:val="24"/>
          <w:lang w:eastAsia="sk-SK"/>
        </w:rPr>
        <w:t xml:space="preserve"> </w:t>
      </w:r>
      <w:r w:rsidR="004F3FEA" w:rsidRPr="00D56C94">
        <w:rPr>
          <w:rFonts w:ascii="Times New Roman" w:eastAsia="Times New Roman" w:hAnsi="Times New Roman" w:cs="Times New Roman"/>
          <w:color w:val="000000"/>
          <w:sz w:val="24"/>
          <w:szCs w:val="24"/>
          <w:lang w:eastAsia="sk-SK"/>
        </w:rPr>
        <w:t>na</w:t>
      </w:r>
      <w:r w:rsidR="004F3FEA" w:rsidRPr="00D56C94">
        <w:rPr>
          <w:rFonts w:ascii="Times New Roman" w:eastAsia="Times New Roman" w:hAnsi="Times New Roman" w:cs="Times New Roman"/>
          <w:color w:val="000000"/>
          <w:spacing w:val="82"/>
          <w:sz w:val="24"/>
          <w:szCs w:val="24"/>
          <w:lang w:eastAsia="sk-SK"/>
        </w:rPr>
        <w:t xml:space="preserve"> </w:t>
      </w:r>
      <w:r w:rsidR="004F3FEA" w:rsidRPr="00D56C94">
        <w:rPr>
          <w:rFonts w:ascii="Times New Roman" w:eastAsia="Times New Roman" w:hAnsi="Times New Roman" w:cs="Times New Roman"/>
          <w:color w:val="000000"/>
          <w:sz w:val="24"/>
          <w:szCs w:val="24"/>
          <w:lang w:eastAsia="sk-SK"/>
        </w:rPr>
        <w:t>prebratie</w:t>
      </w:r>
      <w:r w:rsidR="004F3FEA" w:rsidRPr="00D56C94">
        <w:rPr>
          <w:rFonts w:ascii="Times New Roman" w:eastAsia="Times New Roman" w:hAnsi="Times New Roman" w:cs="Times New Roman"/>
          <w:color w:val="000000"/>
          <w:spacing w:val="82"/>
          <w:sz w:val="24"/>
          <w:szCs w:val="24"/>
          <w:lang w:eastAsia="sk-SK"/>
        </w:rPr>
        <w:t xml:space="preserve"> </w:t>
      </w:r>
      <w:r w:rsidR="004F3FEA" w:rsidRPr="00D56C94">
        <w:rPr>
          <w:rFonts w:ascii="Times New Roman" w:eastAsia="Times New Roman" w:hAnsi="Times New Roman" w:cs="Times New Roman"/>
          <w:color w:val="000000"/>
          <w:sz w:val="24"/>
          <w:szCs w:val="24"/>
          <w:lang w:eastAsia="sk-SK"/>
        </w:rPr>
        <w:t>smernice</w:t>
      </w:r>
      <w:r w:rsidR="004F3FEA" w:rsidRPr="00D56C94">
        <w:rPr>
          <w:rFonts w:ascii="Times New Roman" w:eastAsia="Times New Roman" w:hAnsi="Times New Roman" w:cs="Times New Roman"/>
          <w:color w:val="000000"/>
          <w:spacing w:val="82"/>
          <w:sz w:val="24"/>
          <w:szCs w:val="24"/>
          <w:lang w:eastAsia="sk-SK"/>
        </w:rPr>
        <w:t xml:space="preserve"> </w:t>
      </w:r>
      <w:r w:rsidR="004F3FEA" w:rsidRPr="00D56C94">
        <w:rPr>
          <w:rFonts w:ascii="Times New Roman" w:eastAsia="Times New Roman" w:hAnsi="Times New Roman" w:cs="Times New Roman"/>
          <w:color w:val="000000"/>
          <w:sz w:val="24"/>
          <w:szCs w:val="24"/>
          <w:lang w:eastAsia="sk-SK"/>
        </w:rPr>
        <w:t>2014/65</w:t>
      </w:r>
      <w:r w:rsidR="004F3FEA" w:rsidRPr="00D56C94">
        <w:rPr>
          <w:rFonts w:ascii="Times New Roman" w:eastAsia="Calibri" w:hAnsi="Times New Roman" w:cs="Times New Roman"/>
          <w:sz w:val="24"/>
          <w:szCs w:val="24"/>
        </w:rPr>
        <w:t>/EÚ</w:t>
      </w:r>
      <w:r w:rsidR="004F3FEA" w:rsidRPr="00D56C94">
        <w:rPr>
          <w:rFonts w:ascii="Times New Roman" w:eastAsia="Times New Roman" w:hAnsi="Times New Roman" w:cs="Times New Roman"/>
          <w:color w:val="000000"/>
          <w:sz w:val="24"/>
          <w:szCs w:val="24"/>
          <w:lang w:eastAsia="sk-SK"/>
        </w:rPr>
        <w:t xml:space="preserve"> </w:t>
      </w:r>
      <w:r w:rsidR="001735D1" w:rsidRPr="00D56C94">
        <w:rPr>
          <w:rFonts w:ascii="Times New Roman" w:eastAsia="Times New Roman" w:hAnsi="Times New Roman" w:cs="Times New Roman"/>
          <w:color w:val="000000"/>
          <w:sz w:val="24"/>
          <w:szCs w:val="24"/>
          <w:lang w:eastAsia="sk-SK"/>
        </w:rPr>
        <w:t xml:space="preserve">v platnom znení </w:t>
      </w:r>
      <w:r w:rsidR="004F3FEA" w:rsidRPr="00D56C94">
        <w:rPr>
          <w:rFonts w:ascii="Times New Roman" w:eastAsia="Times New Roman" w:hAnsi="Times New Roman" w:cs="Times New Roman"/>
          <w:color w:val="000000"/>
          <w:sz w:val="24"/>
          <w:szCs w:val="24"/>
          <w:lang w:eastAsia="sk-SK"/>
        </w:rPr>
        <w:t>bola stanovená</w:t>
      </w:r>
      <w:r w:rsidR="00252EAF" w:rsidRPr="00D56C94">
        <w:rPr>
          <w:rFonts w:ascii="Times New Roman" w:hAnsi="Times New Roman" w:cs="Times New Roman"/>
          <w:sz w:val="24"/>
          <w:szCs w:val="24"/>
        </w:rPr>
        <w:t xml:space="preserve"> do 3. júla</w:t>
      </w:r>
      <w:r w:rsidR="004F3FEA" w:rsidRPr="00D56C94">
        <w:rPr>
          <w:rFonts w:ascii="Times New Roman" w:hAnsi="Times New Roman" w:cs="Times New Roman"/>
          <w:sz w:val="24"/>
          <w:szCs w:val="24"/>
        </w:rPr>
        <w:t xml:space="preserve"> 2017.</w:t>
      </w:r>
      <w:r w:rsidR="00156703" w:rsidRPr="00156703">
        <w:rPr>
          <w:rFonts w:ascii="Times New Roman" w:hAnsi="Times New Roman" w:cs="Times New Roman"/>
          <w:sz w:val="24"/>
          <w:szCs w:val="24"/>
        </w:rPr>
        <w:t xml:space="preserve"> </w:t>
      </w:r>
      <w:r w:rsidR="00156703" w:rsidRPr="00D56C94">
        <w:rPr>
          <w:rFonts w:ascii="Times New Roman" w:hAnsi="Times New Roman" w:cs="Times New Roman"/>
          <w:sz w:val="24"/>
          <w:szCs w:val="24"/>
        </w:rPr>
        <w:t>Lehota na uplatňovanie smernice bola stanovená do 3. júla 2018, okrem článku 92, ktorý sa uplatňuje od 3. júla 2015.</w:t>
      </w:r>
    </w:p>
    <w:p w14:paraId="446316B2" w14:textId="190CC998" w:rsidR="00147CCB" w:rsidRPr="00D56C94" w:rsidRDefault="00147CCB" w:rsidP="00D56C94">
      <w:pPr>
        <w:pStyle w:val="Odsekzoznamu"/>
        <w:tabs>
          <w:tab w:val="left" w:pos="709"/>
        </w:tabs>
        <w:spacing w:after="0" w:line="240" w:lineRule="auto"/>
        <w:ind w:left="709"/>
        <w:jc w:val="both"/>
        <w:rPr>
          <w:rFonts w:ascii="Times New Roman" w:eastAsia="Times New Roman" w:hAnsi="Times New Roman" w:cs="Times New Roman"/>
          <w:color w:val="000000"/>
          <w:sz w:val="24"/>
          <w:szCs w:val="24"/>
          <w:lang w:eastAsia="sk-SK"/>
        </w:rPr>
      </w:pPr>
      <w:r w:rsidRPr="00D56C94">
        <w:rPr>
          <w:rFonts w:ascii="Times New Roman" w:hAnsi="Times New Roman" w:cs="Times New Roman"/>
          <w:sz w:val="24"/>
          <w:szCs w:val="24"/>
        </w:rPr>
        <w:t>Lehota na prebranie delegovanej smernice</w:t>
      </w:r>
      <w:r w:rsidR="001735D1" w:rsidRPr="00D56C94">
        <w:rPr>
          <w:rFonts w:ascii="Times New Roman" w:hAnsi="Times New Roman" w:cs="Times New Roman"/>
          <w:sz w:val="24"/>
          <w:szCs w:val="24"/>
        </w:rPr>
        <w:t xml:space="preserve"> (EÚ) </w:t>
      </w:r>
      <w:r w:rsidRPr="00D56C94">
        <w:rPr>
          <w:rFonts w:ascii="Times New Roman" w:hAnsi="Times New Roman" w:cs="Times New Roman"/>
          <w:sz w:val="24"/>
          <w:szCs w:val="24"/>
        </w:rPr>
        <w:t>2017/593 bola stanovená do 3. júla 2017.</w:t>
      </w:r>
      <w:r w:rsidR="001735D1" w:rsidRPr="00D56C94">
        <w:rPr>
          <w:rFonts w:ascii="Times New Roman" w:hAnsi="Times New Roman" w:cs="Times New Roman"/>
          <w:sz w:val="24"/>
          <w:szCs w:val="24"/>
        </w:rPr>
        <w:t xml:space="preserve"> </w:t>
      </w:r>
    </w:p>
    <w:p w14:paraId="1639FE15" w14:textId="5F2DE794" w:rsidR="008560BF" w:rsidRPr="00D56C94" w:rsidRDefault="00252EAF" w:rsidP="001735D1">
      <w:pPr>
        <w:pStyle w:val="Odsekzoznamu"/>
        <w:tabs>
          <w:tab w:val="left" w:pos="360"/>
          <w:tab w:val="left" w:pos="540"/>
        </w:tabs>
        <w:spacing w:after="0" w:line="240" w:lineRule="auto"/>
        <w:ind w:left="680"/>
        <w:jc w:val="both"/>
        <w:rPr>
          <w:rFonts w:ascii="Times New Roman" w:hAnsi="Times New Roman" w:cs="Times New Roman"/>
          <w:sz w:val="24"/>
          <w:szCs w:val="24"/>
        </w:rPr>
      </w:pPr>
      <w:r w:rsidRPr="00D56C94">
        <w:rPr>
          <w:rStyle w:val="Jemnzvraznenie"/>
          <w:rFonts w:ascii="Times New Roman" w:hAnsi="Times New Roman" w:cs="Times New Roman"/>
          <w:i w:val="0"/>
          <w:color w:val="auto"/>
          <w:sz w:val="24"/>
          <w:szCs w:val="24"/>
        </w:rPr>
        <w:t>Lehota na prebratie čl.</w:t>
      </w:r>
      <w:r w:rsidR="001E6174" w:rsidRPr="00D56C94">
        <w:rPr>
          <w:rStyle w:val="Jemnzvraznenie"/>
          <w:rFonts w:ascii="Times New Roman" w:hAnsi="Times New Roman" w:cs="Times New Roman"/>
          <w:i w:val="0"/>
          <w:color w:val="auto"/>
          <w:sz w:val="24"/>
          <w:szCs w:val="24"/>
        </w:rPr>
        <w:t>1</w:t>
      </w:r>
      <w:r w:rsidRPr="00D56C94">
        <w:rPr>
          <w:rStyle w:val="Jemnzvraznenie"/>
          <w:rFonts w:ascii="Times New Roman" w:hAnsi="Times New Roman" w:cs="Times New Roman"/>
          <w:i w:val="0"/>
          <w:color w:val="auto"/>
          <w:sz w:val="24"/>
          <w:szCs w:val="24"/>
        </w:rPr>
        <w:t>8</w:t>
      </w:r>
      <w:r w:rsidR="001E6174" w:rsidRPr="00D56C94">
        <w:rPr>
          <w:rStyle w:val="Jemnzvraznenie"/>
          <w:rFonts w:ascii="Times New Roman" w:hAnsi="Times New Roman" w:cs="Times New Roman"/>
          <w:i w:val="0"/>
          <w:color w:val="auto"/>
          <w:sz w:val="24"/>
          <w:szCs w:val="24"/>
        </w:rPr>
        <w:t xml:space="preserve"> </w:t>
      </w:r>
      <w:r w:rsidRPr="00D56C94">
        <w:rPr>
          <w:rStyle w:val="Jemnzvraznenie"/>
          <w:rFonts w:ascii="Times New Roman" w:hAnsi="Times New Roman" w:cs="Times New Roman"/>
          <w:i w:val="0"/>
          <w:color w:val="auto"/>
          <w:sz w:val="24"/>
          <w:szCs w:val="24"/>
        </w:rPr>
        <w:t xml:space="preserve">nariadenia </w:t>
      </w:r>
      <w:r w:rsidR="001E6174" w:rsidRPr="00D56C94">
        <w:rPr>
          <w:rStyle w:val="Jemnzvraznenie"/>
          <w:rFonts w:ascii="Times New Roman" w:hAnsi="Times New Roman" w:cs="Times New Roman"/>
          <w:i w:val="0"/>
          <w:color w:val="auto"/>
          <w:sz w:val="24"/>
          <w:szCs w:val="24"/>
        </w:rPr>
        <w:t xml:space="preserve">(EÚ) </w:t>
      </w:r>
      <w:r w:rsidRPr="00D56C94">
        <w:rPr>
          <w:rStyle w:val="Jemnzvraznenie"/>
          <w:rFonts w:ascii="Times New Roman" w:hAnsi="Times New Roman" w:cs="Times New Roman"/>
          <w:i w:val="0"/>
          <w:color w:val="auto"/>
          <w:sz w:val="24"/>
          <w:szCs w:val="24"/>
        </w:rPr>
        <w:t>2022/858</w:t>
      </w:r>
      <w:r w:rsidR="001E6174" w:rsidRPr="00D56C94">
        <w:rPr>
          <w:rStyle w:val="Jemnzvraznenie"/>
          <w:rFonts w:ascii="Times New Roman" w:hAnsi="Times New Roman" w:cs="Times New Roman"/>
          <w:i w:val="0"/>
          <w:color w:val="auto"/>
          <w:sz w:val="24"/>
          <w:szCs w:val="24"/>
        </w:rPr>
        <w:t xml:space="preserve"> (</w:t>
      </w:r>
      <w:r w:rsidR="005357CA" w:rsidRPr="00D56C94">
        <w:rPr>
          <w:rStyle w:val="Jemnzvraznenie"/>
          <w:rFonts w:ascii="Times New Roman" w:hAnsi="Times New Roman" w:cs="Times New Roman"/>
          <w:i w:val="0"/>
          <w:color w:val="auto"/>
          <w:sz w:val="24"/>
          <w:szCs w:val="24"/>
        </w:rPr>
        <w:t>čl. 18 novelizuje smernicu</w:t>
      </w:r>
      <w:r w:rsidR="001E6174" w:rsidRPr="00D56C94">
        <w:rPr>
          <w:rStyle w:val="Jemnzvraznenie"/>
          <w:rFonts w:ascii="Times New Roman" w:hAnsi="Times New Roman" w:cs="Times New Roman"/>
          <w:i w:val="0"/>
          <w:color w:val="auto"/>
          <w:sz w:val="24"/>
          <w:szCs w:val="24"/>
        </w:rPr>
        <w:t xml:space="preserve"> 2014/65/EÚ)</w:t>
      </w:r>
      <w:r w:rsidRPr="00D56C94">
        <w:rPr>
          <w:rStyle w:val="Jemnzvraznenie"/>
          <w:rFonts w:ascii="Times New Roman" w:hAnsi="Times New Roman" w:cs="Times New Roman"/>
          <w:i w:val="0"/>
          <w:color w:val="auto"/>
          <w:sz w:val="24"/>
          <w:szCs w:val="24"/>
        </w:rPr>
        <w:t xml:space="preserve"> bola stanovená do 23.</w:t>
      </w:r>
      <w:r w:rsidR="001E6174" w:rsidRPr="00D56C94">
        <w:rPr>
          <w:rStyle w:val="Jemnzvraznenie"/>
          <w:rFonts w:ascii="Times New Roman" w:hAnsi="Times New Roman" w:cs="Times New Roman"/>
          <w:i w:val="0"/>
          <w:color w:val="auto"/>
          <w:sz w:val="24"/>
          <w:szCs w:val="24"/>
        </w:rPr>
        <w:t xml:space="preserve"> </w:t>
      </w:r>
      <w:r w:rsidRPr="00D56C94">
        <w:rPr>
          <w:rStyle w:val="Jemnzvraznenie"/>
          <w:rFonts w:ascii="Times New Roman" w:hAnsi="Times New Roman" w:cs="Times New Roman"/>
          <w:i w:val="0"/>
          <w:color w:val="auto"/>
          <w:sz w:val="24"/>
          <w:szCs w:val="24"/>
        </w:rPr>
        <w:t>marca 2023 re</w:t>
      </w:r>
      <w:r w:rsidR="001E6174" w:rsidRPr="00D56C94">
        <w:rPr>
          <w:rStyle w:val="Jemnzvraznenie"/>
          <w:rFonts w:ascii="Times New Roman" w:hAnsi="Times New Roman" w:cs="Times New Roman"/>
          <w:i w:val="0"/>
          <w:color w:val="auto"/>
          <w:sz w:val="24"/>
          <w:szCs w:val="24"/>
        </w:rPr>
        <w:t>s</w:t>
      </w:r>
      <w:r w:rsidRPr="00D56C94">
        <w:rPr>
          <w:rStyle w:val="Jemnzvraznenie"/>
          <w:rFonts w:ascii="Times New Roman" w:hAnsi="Times New Roman" w:cs="Times New Roman"/>
          <w:i w:val="0"/>
          <w:color w:val="auto"/>
          <w:sz w:val="24"/>
          <w:szCs w:val="24"/>
        </w:rPr>
        <w:t>p</w:t>
      </w:r>
      <w:r w:rsidRPr="00D56C94">
        <w:rPr>
          <w:rFonts w:ascii="Times New Roman" w:hAnsi="Times New Roman" w:cs="Times New Roman"/>
          <w:i/>
          <w:sz w:val="24"/>
          <w:szCs w:val="24"/>
        </w:rPr>
        <w:t>.</w:t>
      </w:r>
      <w:r w:rsidR="001E6174" w:rsidRPr="00D56C94">
        <w:rPr>
          <w:rFonts w:ascii="Times New Roman" w:hAnsi="Times New Roman" w:cs="Times New Roman"/>
          <w:i/>
          <w:sz w:val="24"/>
          <w:szCs w:val="24"/>
        </w:rPr>
        <w:t xml:space="preserve"> </w:t>
      </w:r>
      <w:r w:rsidR="001E6174" w:rsidRPr="00D56C94">
        <w:rPr>
          <w:rFonts w:ascii="Times New Roman" w:hAnsi="Times New Roman" w:cs="Times New Roman"/>
          <w:sz w:val="24"/>
          <w:szCs w:val="24"/>
        </w:rPr>
        <w:t xml:space="preserve">23. septembra 2023. </w:t>
      </w:r>
    </w:p>
    <w:p w14:paraId="704F85D2" w14:textId="505FA490" w:rsidR="009E1343" w:rsidRPr="00D56C94" w:rsidRDefault="00731B09" w:rsidP="001735D1">
      <w:pPr>
        <w:pStyle w:val="Odsekzoznamu"/>
        <w:tabs>
          <w:tab w:val="left" w:pos="360"/>
          <w:tab w:val="left" w:pos="540"/>
        </w:tabs>
        <w:spacing w:after="0" w:line="240" w:lineRule="auto"/>
        <w:ind w:left="680"/>
        <w:jc w:val="both"/>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color w:val="000000"/>
          <w:sz w:val="24"/>
          <w:szCs w:val="24"/>
          <w:lang w:eastAsia="sk-SK"/>
        </w:rPr>
        <w:t xml:space="preserve">Lehota na prebratie smernice </w:t>
      </w:r>
      <w:r w:rsidR="0090113F" w:rsidRPr="00D56C94">
        <w:rPr>
          <w:rFonts w:ascii="Times New Roman" w:eastAsia="Times New Roman" w:hAnsi="Times New Roman" w:cs="Times New Roman"/>
          <w:color w:val="000000"/>
          <w:sz w:val="24"/>
          <w:szCs w:val="24"/>
          <w:lang w:eastAsia="sk-SK"/>
        </w:rPr>
        <w:t xml:space="preserve">(EÚ) </w:t>
      </w:r>
      <w:r w:rsidRPr="00D56C94">
        <w:rPr>
          <w:rFonts w:ascii="Times New Roman" w:eastAsia="Times New Roman" w:hAnsi="Times New Roman" w:cs="Times New Roman"/>
          <w:color w:val="000000"/>
          <w:sz w:val="24"/>
          <w:szCs w:val="24"/>
          <w:lang w:eastAsia="sk-SK"/>
        </w:rPr>
        <w:t>2021/338 bola stanovená do 28. novembra 2021.</w:t>
      </w:r>
    </w:p>
    <w:p w14:paraId="7710455F" w14:textId="79C22A58" w:rsidR="00731B09" w:rsidRDefault="00731B09" w:rsidP="001735D1">
      <w:pPr>
        <w:pStyle w:val="Odsekzoznamu"/>
        <w:tabs>
          <w:tab w:val="left" w:pos="360"/>
          <w:tab w:val="left" w:pos="540"/>
        </w:tabs>
        <w:spacing w:after="0" w:line="240" w:lineRule="auto"/>
        <w:ind w:left="680"/>
        <w:jc w:val="both"/>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color w:val="000000"/>
          <w:sz w:val="24"/>
          <w:szCs w:val="24"/>
          <w:lang w:eastAsia="sk-SK"/>
        </w:rPr>
        <w:t xml:space="preserve">Lehota na prebratie smernice </w:t>
      </w:r>
      <w:r w:rsidR="0090113F" w:rsidRPr="00D56C94">
        <w:rPr>
          <w:rFonts w:ascii="Times New Roman" w:eastAsia="Times New Roman" w:hAnsi="Times New Roman" w:cs="Times New Roman"/>
          <w:color w:val="000000"/>
          <w:sz w:val="24"/>
          <w:szCs w:val="24"/>
          <w:lang w:eastAsia="sk-SK"/>
        </w:rPr>
        <w:t xml:space="preserve">(EÚ) </w:t>
      </w:r>
      <w:r w:rsidRPr="00D56C94">
        <w:rPr>
          <w:rFonts w:ascii="Times New Roman" w:eastAsia="Times New Roman" w:hAnsi="Times New Roman" w:cs="Times New Roman"/>
          <w:color w:val="000000"/>
          <w:sz w:val="24"/>
          <w:szCs w:val="24"/>
          <w:lang w:eastAsia="sk-SK"/>
        </w:rPr>
        <w:t>2019/1160 bola stanovená do 2. augusta 2021.</w:t>
      </w:r>
    </w:p>
    <w:p w14:paraId="28DF77CB" w14:textId="574E8C94" w:rsidR="00FD6FF9" w:rsidRPr="00D56C94" w:rsidRDefault="00FD6FF9" w:rsidP="001735D1">
      <w:pPr>
        <w:pStyle w:val="Odsekzoznamu"/>
        <w:tabs>
          <w:tab w:val="left" w:pos="360"/>
          <w:tab w:val="left" w:pos="540"/>
        </w:tabs>
        <w:spacing w:after="0" w:line="240" w:lineRule="auto"/>
        <w:ind w:left="680"/>
        <w:jc w:val="both"/>
        <w:rPr>
          <w:rFonts w:ascii="Times New Roman" w:eastAsia="Times New Roman" w:hAnsi="Times New Roman" w:cs="Times New Roman"/>
          <w:color w:val="000000"/>
          <w:sz w:val="24"/>
          <w:szCs w:val="24"/>
          <w:lang w:eastAsia="sk-SK"/>
        </w:rPr>
      </w:pPr>
      <w:r w:rsidRPr="00FD6FF9">
        <w:rPr>
          <w:rFonts w:ascii="Times New Roman" w:eastAsia="Times New Roman" w:hAnsi="Times New Roman" w:cs="Times New Roman"/>
          <w:color w:val="000000"/>
          <w:sz w:val="24"/>
          <w:szCs w:val="24"/>
          <w:lang w:eastAsia="sk-SK"/>
        </w:rPr>
        <w:t>Lehota na prebra</w:t>
      </w:r>
      <w:r w:rsidR="001A1F6F">
        <w:rPr>
          <w:rFonts w:ascii="Times New Roman" w:eastAsia="Times New Roman" w:hAnsi="Times New Roman" w:cs="Times New Roman"/>
          <w:color w:val="000000"/>
          <w:sz w:val="24"/>
          <w:szCs w:val="24"/>
          <w:lang w:eastAsia="sk-SK"/>
        </w:rPr>
        <w:t>t</w:t>
      </w:r>
      <w:r w:rsidRPr="00FD6FF9">
        <w:rPr>
          <w:rFonts w:ascii="Times New Roman" w:eastAsia="Times New Roman" w:hAnsi="Times New Roman" w:cs="Times New Roman"/>
          <w:color w:val="000000"/>
          <w:sz w:val="24"/>
          <w:szCs w:val="24"/>
          <w:lang w:eastAsia="sk-SK"/>
        </w:rPr>
        <w:t xml:space="preserve">ie smernice 2004/25/ES bola </w:t>
      </w:r>
      <w:r w:rsidR="00216B45">
        <w:rPr>
          <w:rFonts w:ascii="Times New Roman" w:eastAsia="Times New Roman" w:hAnsi="Times New Roman" w:cs="Times New Roman"/>
          <w:color w:val="000000"/>
          <w:sz w:val="24"/>
          <w:szCs w:val="24"/>
          <w:lang w:eastAsia="sk-SK"/>
        </w:rPr>
        <w:t xml:space="preserve">stanovená </w:t>
      </w:r>
      <w:r w:rsidRPr="00FD6FF9">
        <w:rPr>
          <w:rFonts w:ascii="Times New Roman" w:eastAsia="Times New Roman" w:hAnsi="Times New Roman" w:cs="Times New Roman"/>
          <w:color w:val="000000"/>
          <w:sz w:val="24"/>
          <w:szCs w:val="24"/>
          <w:lang w:eastAsia="sk-SK"/>
        </w:rPr>
        <w:t>do 20.</w:t>
      </w:r>
      <w:r w:rsidR="006518C5">
        <w:rPr>
          <w:rFonts w:ascii="Times New Roman" w:eastAsia="Times New Roman" w:hAnsi="Times New Roman" w:cs="Times New Roman"/>
          <w:color w:val="000000"/>
          <w:sz w:val="24"/>
          <w:szCs w:val="24"/>
          <w:lang w:eastAsia="sk-SK"/>
        </w:rPr>
        <w:t xml:space="preserve"> mája</w:t>
      </w:r>
      <w:r w:rsidRPr="00FD6FF9">
        <w:rPr>
          <w:rFonts w:ascii="Times New Roman" w:eastAsia="Times New Roman" w:hAnsi="Times New Roman" w:cs="Times New Roman"/>
          <w:color w:val="000000"/>
          <w:sz w:val="24"/>
          <w:szCs w:val="24"/>
          <w:lang w:eastAsia="sk-SK"/>
        </w:rPr>
        <w:t>.2006.</w:t>
      </w:r>
    </w:p>
    <w:p w14:paraId="6D96637D" w14:textId="27BCE101" w:rsidR="00731B09" w:rsidRDefault="001A1F6F" w:rsidP="001E6174">
      <w:pPr>
        <w:pStyle w:val="Odsekzoznamu"/>
        <w:tabs>
          <w:tab w:val="left" w:pos="360"/>
          <w:tab w:val="left" w:pos="540"/>
        </w:tabs>
        <w:spacing w:after="0" w:line="240" w:lineRule="auto"/>
        <w:ind w:left="68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Lehota na prebratie smernica </w:t>
      </w:r>
      <w:r w:rsidRPr="001A1F6F">
        <w:rPr>
          <w:rFonts w:ascii="Times New Roman" w:eastAsia="Times New Roman" w:hAnsi="Times New Roman" w:cs="Times New Roman"/>
          <w:color w:val="000000"/>
          <w:sz w:val="24"/>
          <w:szCs w:val="24"/>
          <w:lang w:eastAsia="sk-SK"/>
        </w:rPr>
        <w:t>97/9/ES</w:t>
      </w:r>
      <w:r>
        <w:rPr>
          <w:rFonts w:ascii="Times New Roman" w:eastAsia="Times New Roman" w:hAnsi="Times New Roman" w:cs="Times New Roman"/>
          <w:color w:val="000000"/>
          <w:sz w:val="24"/>
          <w:szCs w:val="24"/>
          <w:lang w:eastAsia="sk-SK"/>
        </w:rPr>
        <w:t xml:space="preserve"> </w:t>
      </w:r>
      <w:r w:rsidR="006518C5" w:rsidRPr="006518C5">
        <w:rPr>
          <w:rFonts w:ascii="Times New Roman" w:eastAsia="Times New Roman" w:hAnsi="Times New Roman" w:cs="Times New Roman"/>
          <w:color w:val="000000"/>
          <w:sz w:val="24"/>
          <w:szCs w:val="24"/>
          <w:lang w:eastAsia="sk-SK"/>
        </w:rPr>
        <w:t xml:space="preserve">bola stanovená do dňa pristúpenia Slovenskej republiky k Európskej únii, </w:t>
      </w:r>
      <w:proofErr w:type="spellStart"/>
      <w:r w:rsidR="006518C5" w:rsidRPr="006518C5">
        <w:rPr>
          <w:rFonts w:ascii="Times New Roman" w:eastAsia="Times New Roman" w:hAnsi="Times New Roman" w:cs="Times New Roman"/>
          <w:color w:val="000000"/>
          <w:sz w:val="24"/>
          <w:szCs w:val="24"/>
          <w:lang w:eastAsia="sk-SK"/>
        </w:rPr>
        <w:t>t.j</w:t>
      </w:r>
      <w:proofErr w:type="spellEnd"/>
      <w:r w:rsidR="006518C5" w:rsidRPr="006518C5">
        <w:rPr>
          <w:rFonts w:ascii="Times New Roman" w:eastAsia="Times New Roman" w:hAnsi="Times New Roman" w:cs="Times New Roman"/>
          <w:color w:val="000000"/>
          <w:sz w:val="24"/>
          <w:szCs w:val="24"/>
          <w:lang w:eastAsia="sk-SK"/>
        </w:rPr>
        <w:t>. do 1. mája 2004.</w:t>
      </w:r>
    </w:p>
    <w:p w14:paraId="2DC742F2" w14:textId="775EE204" w:rsidR="001A1F6F" w:rsidRDefault="00216B45" w:rsidP="001E6174">
      <w:pPr>
        <w:pStyle w:val="Odsekzoznamu"/>
        <w:tabs>
          <w:tab w:val="left" w:pos="360"/>
          <w:tab w:val="left" w:pos="540"/>
        </w:tabs>
        <w:spacing w:after="0" w:line="240" w:lineRule="auto"/>
        <w:ind w:left="68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Lehota na prebratie smernice 2011/61/EÚ bola stanovená </w:t>
      </w:r>
      <w:r w:rsidRPr="00216B45">
        <w:rPr>
          <w:rFonts w:ascii="Times New Roman" w:eastAsia="Times New Roman" w:hAnsi="Times New Roman" w:cs="Times New Roman"/>
          <w:color w:val="000000"/>
          <w:sz w:val="24"/>
          <w:szCs w:val="24"/>
          <w:lang w:eastAsia="sk-SK"/>
        </w:rPr>
        <w:t xml:space="preserve">do 22. </w:t>
      </w:r>
      <w:r w:rsidR="006518C5">
        <w:rPr>
          <w:rFonts w:ascii="Times New Roman" w:eastAsia="Times New Roman" w:hAnsi="Times New Roman" w:cs="Times New Roman"/>
          <w:color w:val="000000"/>
          <w:sz w:val="24"/>
          <w:szCs w:val="24"/>
          <w:lang w:eastAsia="sk-SK"/>
        </w:rPr>
        <w:t>júla</w:t>
      </w:r>
      <w:r>
        <w:rPr>
          <w:rFonts w:ascii="Times New Roman" w:eastAsia="Times New Roman" w:hAnsi="Times New Roman" w:cs="Times New Roman"/>
          <w:color w:val="000000"/>
          <w:sz w:val="24"/>
          <w:szCs w:val="24"/>
          <w:lang w:eastAsia="sk-SK"/>
        </w:rPr>
        <w:t>.</w:t>
      </w:r>
      <w:r w:rsidRPr="00216B45">
        <w:rPr>
          <w:rFonts w:ascii="Times New Roman" w:eastAsia="Times New Roman" w:hAnsi="Times New Roman" w:cs="Times New Roman"/>
          <w:color w:val="000000"/>
          <w:sz w:val="24"/>
          <w:szCs w:val="24"/>
          <w:lang w:eastAsia="sk-SK"/>
        </w:rPr>
        <w:t xml:space="preserve"> 2013</w:t>
      </w:r>
      <w:r>
        <w:rPr>
          <w:rFonts w:ascii="Times New Roman" w:eastAsia="Times New Roman" w:hAnsi="Times New Roman" w:cs="Times New Roman"/>
          <w:color w:val="000000"/>
          <w:sz w:val="24"/>
          <w:szCs w:val="24"/>
          <w:lang w:eastAsia="sk-SK"/>
        </w:rPr>
        <w:t>.</w:t>
      </w:r>
    </w:p>
    <w:p w14:paraId="79BA328D" w14:textId="77777777" w:rsidR="00216B45" w:rsidRPr="00D56C94" w:rsidRDefault="00216B45" w:rsidP="001E6174">
      <w:pPr>
        <w:pStyle w:val="Odsekzoznamu"/>
        <w:tabs>
          <w:tab w:val="left" w:pos="360"/>
          <w:tab w:val="left" w:pos="540"/>
        </w:tabs>
        <w:spacing w:after="0" w:line="240" w:lineRule="auto"/>
        <w:ind w:left="680"/>
        <w:jc w:val="both"/>
        <w:rPr>
          <w:rFonts w:ascii="Times New Roman" w:eastAsia="Times New Roman" w:hAnsi="Times New Roman" w:cs="Times New Roman"/>
          <w:color w:val="000000"/>
          <w:sz w:val="24"/>
          <w:szCs w:val="24"/>
          <w:lang w:eastAsia="sk-SK"/>
        </w:rPr>
      </w:pPr>
    </w:p>
    <w:p w14:paraId="2B2B6F33" w14:textId="2F84A484" w:rsidR="00B201E1" w:rsidRPr="00D56C94" w:rsidRDefault="009E1343" w:rsidP="009E1343">
      <w:pPr>
        <w:pStyle w:val="Odsekzoznamu"/>
        <w:numPr>
          <w:ilvl w:val="0"/>
          <w:numId w:val="5"/>
        </w:numPr>
        <w:spacing w:after="0" w:line="240" w:lineRule="auto"/>
        <w:jc w:val="both"/>
        <w:rPr>
          <w:rFonts w:ascii="Times New Roman" w:hAnsi="Times New Roman" w:cs="Times New Roman"/>
          <w:color w:val="000000"/>
          <w:sz w:val="24"/>
          <w:szCs w:val="24"/>
          <w:lang w:eastAsia="sk-SK"/>
        </w:rPr>
      </w:pPr>
      <w:r w:rsidRPr="00D56C94">
        <w:rPr>
          <w:rFonts w:ascii="Times New Roman" w:hAnsi="Times New Roman" w:cs="Times New Roman"/>
          <w:sz w:val="24"/>
          <w:szCs w:val="24"/>
        </w:rPr>
        <w:t>Proti SR nebolo začaté konanie v rámci „EÚ Pilot“, ani nebol začatý postup Európskej komisie, alebo konanie Súdneho dvora Európskej únie proti Slovenskej republike podľa čl. 258 až 260 Zmluvy o fungovaní Európskej únie v platnom znení.</w:t>
      </w:r>
    </w:p>
    <w:p w14:paraId="3C55CB39" w14:textId="77777777" w:rsidR="00B201E1" w:rsidRPr="00D56C94" w:rsidRDefault="00B201E1" w:rsidP="00B201E1">
      <w:pPr>
        <w:pStyle w:val="Odsekzoznamu"/>
        <w:spacing w:after="0" w:line="240" w:lineRule="auto"/>
        <w:rPr>
          <w:rFonts w:ascii="Times New Roman" w:hAnsi="Times New Roman" w:cs="Times New Roman"/>
          <w:color w:val="000000"/>
          <w:sz w:val="24"/>
          <w:szCs w:val="24"/>
          <w:lang w:eastAsia="sk-SK"/>
        </w:rPr>
      </w:pPr>
    </w:p>
    <w:p w14:paraId="463200EB" w14:textId="65E3F7FD" w:rsidR="00703A5A" w:rsidRPr="00D56C94" w:rsidRDefault="00936D83" w:rsidP="00936D83">
      <w:pPr>
        <w:numPr>
          <w:ilvl w:val="0"/>
          <w:numId w:val="5"/>
        </w:numPr>
        <w:spacing w:after="160" w:line="259" w:lineRule="auto"/>
        <w:contextualSpacing/>
        <w:jc w:val="both"/>
        <w:rPr>
          <w:rFonts w:ascii="Times New Roman" w:eastAsia="Times New Roman" w:hAnsi="Times New Roman" w:cs="Times New Roman"/>
          <w:color w:val="000000"/>
          <w:sz w:val="24"/>
          <w:szCs w:val="24"/>
          <w:lang w:eastAsia="sk-SK"/>
        </w:rPr>
      </w:pPr>
      <w:r w:rsidRPr="00D56C94">
        <w:rPr>
          <w:rFonts w:ascii="Times New Roman" w:eastAsia="Calibri" w:hAnsi="Times New Roman" w:cs="Times New Roman"/>
          <w:sz w:val="24"/>
          <w:szCs w:val="24"/>
        </w:rPr>
        <w:t xml:space="preserve">Smernica 2014/65/EÚ bola prebratá do zákona č. 566/2001 </w:t>
      </w:r>
      <w:proofErr w:type="spellStart"/>
      <w:r w:rsidRPr="00D56C94">
        <w:rPr>
          <w:rFonts w:ascii="Times New Roman" w:eastAsia="Calibri" w:hAnsi="Times New Roman" w:cs="Times New Roman"/>
          <w:sz w:val="24"/>
          <w:szCs w:val="24"/>
        </w:rPr>
        <w:t>Z.z</w:t>
      </w:r>
      <w:proofErr w:type="spellEnd"/>
      <w:r w:rsidRPr="00D56C94">
        <w:rPr>
          <w:rFonts w:ascii="Times New Roman" w:eastAsia="Calibri" w:hAnsi="Times New Roman" w:cs="Times New Roman"/>
          <w:sz w:val="24"/>
          <w:szCs w:val="24"/>
        </w:rPr>
        <w:t xml:space="preserve">. o cenných papieroch a investičných službách a o zmene a doplnení niektorých zákonov (zákon o cenných papieroch) v znení neskorších predpisov, do zákona č. 429/2002 </w:t>
      </w:r>
      <w:proofErr w:type="spellStart"/>
      <w:r w:rsidRPr="00D56C94">
        <w:rPr>
          <w:rFonts w:ascii="Times New Roman" w:eastAsia="Calibri" w:hAnsi="Times New Roman" w:cs="Times New Roman"/>
          <w:sz w:val="24"/>
          <w:szCs w:val="24"/>
        </w:rPr>
        <w:t>Z.z</w:t>
      </w:r>
      <w:proofErr w:type="spellEnd"/>
      <w:r w:rsidRPr="00D56C94">
        <w:rPr>
          <w:rFonts w:ascii="Times New Roman" w:eastAsia="Calibri" w:hAnsi="Times New Roman" w:cs="Times New Roman"/>
          <w:sz w:val="24"/>
          <w:szCs w:val="24"/>
        </w:rPr>
        <w:t xml:space="preserve">. o burze cenných papierov v znení neskorších predpisov, do zákona č. 747/2004 </w:t>
      </w:r>
      <w:proofErr w:type="spellStart"/>
      <w:r w:rsidRPr="00D56C94">
        <w:rPr>
          <w:rFonts w:ascii="Times New Roman" w:eastAsia="Calibri" w:hAnsi="Times New Roman" w:cs="Times New Roman"/>
          <w:sz w:val="24"/>
          <w:szCs w:val="24"/>
        </w:rPr>
        <w:t>Z.z</w:t>
      </w:r>
      <w:proofErr w:type="spellEnd"/>
      <w:r w:rsidRPr="00D56C94">
        <w:rPr>
          <w:rFonts w:ascii="Times New Roman" w:eastAsia="Calibri" w:hAnsi="Times New Roman" w:cs="Times New Roman"/>
          <w:sz w:val="24"/>
          <w:szCs w:val="24"/>
        </w:rPr>
        <w:t xml:space="preserve">. o dohľade nad finančným trhom a o zmene </w:t>
      </w:r>
      <w:r w:rsidR="0090113F" w:rsidRPr="00D56C94">
        <w:rPr>
          <w:rFonts w:ascii="Times New Roman" w:eastAsia="Calibri" w:hAnsi="Times New Roman" w:cs="Times New Roman"/>
          <w:sz w:val="24"/>
          <w:szCs w:val="24"/>
        </w:rPr>
        <w:t xml:space="preserve">a doplnení </w:t>
      </w:r>
      <w:r w:rsidRPr="00D56C94">
        <w:rPr>
          <w:rFonts w:ascii="Times New Roman" w:eastAsia="Calibri" w:hAnsi="Times New Roman" w:cs="Times New Roman"/>
          <w:sz w:val="24"/>
          <w:szCs w:val="24"/>
        </w:rPr>
        <w:t xml:space="preserve">niektorých zákonov v znení neskorších predpisov, do zákona č. 186/2009 </w:t>
      </w:r>
      <w:proofErr w:type="spellStart"/>
      <w:r w:rsidRPr="00D56C94">
        <w:rPr>
          <w:rFonts w:ascii="Times New Roman" w:eastAsia="Calibri" w:hAnsi="Times New Roman" w:cs="Times New Roman"/>
          <w:sz w:val="24"/>
          <w:szCs w:val="24"/>
        </w:rPr>
        <w:t>Z.z</w:t>
      </w:r>
      <w:proofErr w:type="spellEnd"/>
      <w:r w:rsidRPr="00D56C94">
        <w:rPr>
          <w:rFonts w:ascii="Times New Roman" w:eastAsia="Calibri" w:hAnsi="Times New Roman" w:cs="Times New Roman"/>
          <w:sz w:val="24"/>
          <w:szCs w:val="24"/>
        </w:rPr>
        <w:t xml:space="preserve">. o finančnom sprostredkovaní a finančnom poradenstve a o zmene a doplnení niektorých zákonov v znení neskorších predpisov, do zákona č. 203/2011 </w:t>
      </w:r>
      <w:proofErr w:type="spellStart"/>
      <w:r w:rsidRPr="00D56C94">
        <w:rPr>
          <w:rFonts w:ascii="Times New Roman" w:eastAsia="Calibri" w:hAnsi="Times New Roman" w:cs="Times New Roman"/>
          <w:sz w:val="24"/>
          <w:szCs w:val="24"/>
        </w:rPr>
        <w:t>Z.z</w:t>
      </w:r>
      <w:proofErr w:type="spellEnd"/>
      <w:r w:rsidRPr="00D56C94">
        <w:rPr>
          <w:rFonts w:ascii="Times New Roman" w:eastAsia="Calibri" w:hAnsi="Times New Roman" w:cs="Times New Roman"/>
          <w:sz w:val="24"/>
          <w:szCs w:val="24"/>
        </w:rPr>
        <w:t xml:space="preserve">. o kolektívnom investovaní v znení neskorších predpisov, do zákona č. 483/2001 </w:t>
      </w:r>
      <w:proofErr w:type="spellStart"/>
      <w:r w:rsidRPr="00D56C94">
        <w:rPr>
          <w:rFonts w:ascii="Times New Roman" w:eastAsia="Calibri" w:hAnsi="Times New Roman" w:cs="Times New Roman"/>
          <w:sz w:val="24"/>
          <w:szCs w:val="24"/>
        </w:rPr>
        <w:t>Z.z</w:t>
      </w:r>
      <w:proofErr w:type="spellEnd"/>
      <w:r w:rsidRPr="00D56C94">
        <w:rPr>
          <w:rFonts w:ascii="Times New Roman" w:eastAsia="Calibri" w:hAnsi="Times New Roman" w:cs="Times New Roman"/>
          <w:sz w:val="24"/>
          <w:szCs w:val="24"/>
        </w:rPr>
        <w:t xml:space="preserve">. o bankách a o zmene a doplnení niektorých zákonov v znení neskorších predpisov, do zákona č. 250/2007 </w:t>
      </w:r>
      <w:proofErr w:type="spellStart"/>
      <w:r w:rsidRPr="00D56C94">
        <w:rPr>
          <w:rFonts w:ascii="Times New Roman" w:eastAsia="Calibri" w:hAnsi="Times New Roman" w:cs="Times New Roman"/>
          <w:sz w:val="24"/>
          <w:szCs w:val="24"/>
        </w:rPr>
        <w:t>Z.z</w:t>
      </w:r>
      <w:proofErr w:type="spellEnd"/>
      <w:r w:rsidRPr="00D56C94">
        <w:rPr>
          <w:rFonts w:ascii="Times New Roman" w:eastAsia="Calibri" w:hAnsi="Times New Roman" w:cs="Times New Roman"/>
          <w:sz w:val="24"/>
          <w:szCs w:val="24"/>
        </w:rPr>
        <w:t xml:space="preserve">. o ochrane spotrebiteľa a o zmene zákona Slovenskej národnej rady č. 372/1990 Zb. o priestupkoch v znení neskorších predpisov v znení neskorších predpisov a do zákona č. 423/2015 </w:t>
      </w:r>
      <w:proofErr w:type="spellStart"/>
      <w:r w:rsidRPr="00D56C94">
        <w:rPr>
          <w:rFonts w:ascii="Times New Roman" w:eastAsia="Calibri" w:hAnsi="Times New Roman" w:cs="Times New Roman"/>
          <w:sz w:val="24"/>
          <w:szCs w:val="24"/>
        </w:rPr>
        <w:t>Z.z</w:t>
      </w:r>
      <w:proofErr w:type="spellEnd"/>
      <w:r w:rsidRPr="00D56C94">
        <w:rPr>
          <w:rFonts w:ascii="Times New Roman" w:eastAsia="Calibri" w:hAnsi="Times New Roman" w:cs="Times New Roman"/>
          <w:sz w:val="24"/>
          <w:szCs w:val="24"/>
        </w:rPr>
        <w:t xml:space="preserve">. o štatutárnom audite a o zmene a doplnení zákona č. 431/2002 </w:t>
      </w:r>
      <w:proofErr w:type="spellStart"/>
      <w:r w:rsidRPr="00D56C94">
        <w:rPr>
          <w:rFonts w:ascii="Times New Roman" w:eastAsia="Calibri" w:hAnsi="Times New Roman" w:cs="Times New Roman"/>
          <w:sz w:val="24"/>
          <w:szCs w:val="24"/>
        </w:rPr>
        <w:t>Z.z</w:t>
      </w:r>
      <w:proofErr w:type="spellEnd"/>
      <w:r w:rsidRPr="00D56C94">
        <w:rPr>
          <w:rFonts w:ascii="Times New Roman" w:eastAsia="Calibri" w:hAnsi="Times New Roman" w:cs="Times New Roman"/>
          <w:sz w:val="24"/>
          <w:szCs w:val="24"/>
        </w:rPr>
        <w:t>. o účtovníctve v znení neskorších predpisov v znení neskorších predpisov.</w:t>
      </w:r>
    </w:p>
    <w:p w14:paraId="3F817F9C" w14:textId="58B9E6BC" w:rsidR="00147CCB" w:rsidRPr="00D56C94" w:rsidRDefault="00175FA1" w:rsidP="00175FA1">
      <w:pPr>
        <w:pStyle w:val="Odsekzoznamu"/>
        <w:jc w:val="both"/>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color w:val="000000"/>
          <w:sz w:val="24"/>
          <w:szCs w:val="24"/>
          <w:lang w:eastAsia="sk-SK"/>
        </w:rPr>
        <w:t xml:space="preserve">Delegovaná smernica </w:t>
      </w:r>
      <w:r w:rsidR="0090113F" w:rsidRPr="00D56C94">
        <w:rPr>
          <w:rFonts w:ascii="Times New Roman" w:eastAsia="Times New Roman" w:hAnsi="Times New Roman" w:cs="Times New Roman"/>
          <w:color w:val="000000"/>
          <w:sz w:val="24"/>
          <w:szCs w:val="24"/>
          <w:lang w:eastAsia="sk-SK"/>
        </w:rPr>
        <w:t>(EÚ)</w:t>
      </w:r>
      <w:r w:rsidRPr="00D56C94">
        <w:rPr>
          <w:rFonts w:ascii="Times New Roman" w:eastAsia="Times New Roman" w:hAnsi="Times New Roman" w:cs="Times New Roman"/>
          <w:color w:val="000000"/>
          <w:sz w:val="24"/>
          <w:szCs w:val="24"/>
          <w:lang w:eastAsia="sk-SK"/>
        </w:rPr>
        <w:t xml:space="preserve"> 2017/593 bola prebratá do zákona č. 566/2001 </w:t>
      </w:r>
      <w:proofErr w:type="spellStart"/>
      <w:r w:rsidRPr="00D56C94">
        <w:rPr>
          <w:rFonts w:ascii="Times New Roman" w:eastAsia="Times New Roman" w:hAnsi="Times New Roman" w:cs="Times New Roman"/>
          <w:color w:val="000000"/>
          <w:sz w:val="24"/>
          <w:szCs w:val="24"/>
          <w:lang w:eastAsia="sk-SK"/>
        </w:rPr>
        <w:t>Z.z</w:t>
      </w:r>
      <w:proofErr w:type="spellEnd"/>
      <w:r w:rsidRPr="00D56C94">
        <w:rPr>
          <w:rFonts w:ascii="Times New Roman" w:eastAsia="Times New Roman" w:hAnsi="Times New Roman" w:cs="Times New Roman"/>
          <w:color w:val="000000"/>
          <w:sz w:val="24"/>
          <w:szCs w:val="24"/>
          <w:lang w:eastAsia="sk-SK"/>
        </w:rPr>
        <w:t>. o cenných papieroch a investičných službách a o zmene a doplnení niektorých zákonov (zákon o cenných papieroch) v znení neskorších predpisov</w:t>
      </w:r>
      <w:r w:rsidR="009B3B13" w:rsidRPr="00D56C94">
        <w:rPr>
          <w:rFonts w:ascii="Times New Roman" w:eastAsia="Times New Roman" w:hAnsi="Times New Roman" w:cs="Times New Roman"/>
          <w:color w:val="000000"/>
          <w:sz w:val="24"/>
          <w:szCs w:val="24"/>
          <w:lang w:eastAsia="sk-SK"/>
        </w:rPr>
        <w:t>.</w:t>
      </w:r>
    </w:p>
    <w:p w14:paraId="0626219E" w14:textId="7FE45122" w:rsidR="00731B09" w:rsidRPr="00D56C94" w:rsidRDefault="00731B09" w:rsidP="00175FA1">
      <w:pPr>
        <w:pStyle w:val="Odsekzoznamu"/>
        <w:jc w:val="both"/>
        <w:rPr>
          <w:rFonts w:ascii="Times New Roman" w:eastAsia="Times New Roman" w:hAnsi="Times New Roman" w:cs="Times New Roman"/>
          <w:color w:val="000000"/>
          <w:sz w:val="24"/>
          <w:szCs w:val="24"/>
          <w:lang w:eastAsia="sk-SK"/>
        </w:rPr>
      </w:pPr>
    </w:p>
    <w:p w14:paraId="75098208" w14:textId="58B89F42" w:rsidR="00731B09" w:rsidRPr="00D56C94" w:rsidRDefault="00731B09" w:rsidP="00175FA1">
      <w:pPr>
        <w:pStyle w:val="Odsekzoznamu"/>
        <w:jc w:val="both"/>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color w:val="000000"/>
          <w:sz w:val="24"/>
          <w:szCs w:val="24"/>
          <w:lang w:eastAsia="sk-SK"/>
        </w:rPr>
        <w:t>Smernica</w:t>
      </w:r>
      <w:r w:rsidR="0090113F" w:rsidRPr="00D56C94">
        <w:rPr>
          <w:rFonts w:ascii="Times New Roman" w:eastAsia="Times New Roman" w:hAnsi="Times New Roman" w:cs="Times New Roman"/>
          <w:color w:val="000000"/>
          <w:sz w:val="24"/>
          <w:szCs w:val="24"/>
          <w:lang w:eastAsia="sk-SK"/>
        </w:rPr>
        <w:t xml:space="preserve"> (EÚ) </w:t>
      </w:r>
      <w:r w:rsidRPr="00D56C94">
        <w:rPr>
          <w:rFonts w:ascii="Times New Roman" w:eastAsia="Times New Roman" w:hAnsi="Times New Roman" w:cs="Times New Roman"/>
          <w:color w:val="000000"/>
          <w:sz w:val="24"/>
          <w:szCs w:val="24"/>
          <w:lang w:eastAsia="sk-SK"/>
        </w:rPr>
        <w:t xml:space="preserve">2021/338 bola prebratá do zákona č. </w:t>
      </w:r>
      <w:r w:rsidR="00EA11E7" w:rsidRPr="00D56C94">
        <w:rPr>
          <w:rFonts w:ascii="Times New Roman" w:eastAsia="Times New Roman" w:hAnsi="Times New Roman" w:cs="Times New Roman"/>
          <w:color w:val="000000"/>
          <w:sz w:val="24"/>
          <w:szCs w:val="24"/>
          <w:lang w:eastAsia="sk-SK"/>
        </w:rPr>
        <w:t>566/2001 Z. z. o cenných papieroch a investičných službách a o zmene a doplnení niektorých zákonov (zákon o cenných papieroch) v znení neskorších predpisov</w:t>
      </w:r>
      <w:r w:rsidR="0090113F" w:rsidRPr="00D56C94">
        <w:rPr>
          <w:rFonts w:ascii="Times New Roman" w:eastAsia="Times New Roman" w:hAnsi="Times New Roman" w:cs="Times New Roman"/>
          <w:color w:val="000000"/>
          <w:sz w:val="24"/>
          <w:szCs w:val="24"/>
          <w:lang w:eastAsia="sk-SK"/>
        </w:rPr>
        <w:t xml:space="preserve"> a do zákona č. 429/2002 Z. z. o burze cenných papierov v znení neskorších predpisov.</w:t>
      </w:r>
    </w:p>
    <w:p w14:paraId="0202C663" w14:textId="6919CC00" w:rsidR="00147CCB" w:rsidRPr="00D56C94" w:rsidRDefault="00EA11E7" w:rsidP="00147CCB">
      <w:pPr>
        <w:spacing w:after="160" w:line="259" w:lineRule="auto"/>
        <w:ind w:left="720"/>
        <w:contextualSpacing/>
        <w:jc w:val="both"/>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color w:val="000000"/>
          <w:sz w:val="24"/>
          <w:szCs w:val="24"/>
          <w:lang w:eastAsia="sk-SK"/>
        </w:rPr>
        <w:t xml:space="preserve">Smernica </w:t>
      </w:r>
      <w:r w:rsidR="0090113F" w:rsidRPr="00D56C94">
        <w:rPr>
          <w:rFonts w:ascii="Times New Roman" w:eastAsia="Times New Roman" w:hAnsi="Times New Roman" w:cs="Times New Roman"/>
          <w:color w:val="000000"/>
          <w:sz w:val="24"/>
          <w:szCs w:val="24"/>
          <w:lang w:eastAsia="sk-SK"/>
        </w:rPr>
        <w:t xml:space="preserve">(EÚ) </w:t>
      </w:r>
      <w:r w:rsidRPr="00D56C94">
        <w:rPr>
          <w:rFonts w:ascii="Times New Roman" w:eastAsia="Times New Roman" w:hAnsi="Times New Roman" w:cs="Times New Roman"/>
          <w:color w:val="000000"/>
          <w:sz w:val="24"/>
          <w:szCs w:val="24"/>
          <w:lang w:eastAsia="sk-SK"/>
        </w:rPr>
        <w:t xml:space="preserve">2019/1160 bola prebratá </w:t>
      </w:r>
      <w:r w:rsidR="005676B6" w:rsidRPr="00D56C94">
        <w:rPr>
          <w:rFonts w:ascii="Times New Roman" w:eastAsia="Times New Roman" w:hAnsi="Times New Roman" w:cs="Times New Roman"/>
          <w:color w:val="000000"/>
          <w:sz w:val="24"/>
          <w:szCs w:val="24"/>
          <w:lang w:eastAsia="sk-SK"/>
        </w:rPr>
        <w:t>do zákona č. 203/2011 Z.</w:t>
      </w:r>
      <w:r w:rsidR="00DA019F" w:rsidRPr="00D56C94">
        <w:rPr>
          <w:rFonts w:ascii="Times New Roman" w:eastAsia="Times New Roman" w:hAnsi="Times New Roman" w:cs="Times New Roman"/>
          <w:color w:val="000000"/>
          <w:sz w:val="24"/>
          <w:szCs w:val="24"/>
          <w:lang w:eastAsia="sk-SK"/>
        </w:rPr>
        <w:t xml:space="preserve"> </w:t>
      </w:r>
      <w:r w:rsidR="005676B6" w:rsidRPr="00D56C94">
        <w:rPr>
          <w:rFonts w:ascii="Times New Roman" w:eastAsia="Times New Roman" w:hAnsi="Times New Roman" w:cs="Times New Roman"/>
          <w:color w:val="000000"/>
          <w:sz w:val="24"/>
          <w:szCs w:val="24"/>
          <w:lang w:eastAsia="sk-SK"/>
        </w:rPr>
        <w:t>z. o kolektívnom investovaní v znení neskorších predpisov.</w:t>
      </w:r>
    </w:p>
    <w:p w14:paraId="13505656" w14:textId="2D85D272" w:rsidR="00EA11E7" w:rsidRDefault="00EA11E7" w:rsidP="00147CCB">
      <w:pPr>
        <w:spacing w:after="160" w:line="259" w:lineRule="auto"/>
        <w:ind w:left="720"/>
        <w:contextualSpacing/>
        <w:jc w:val="both"/>
        <w:rPr>
          <w:rFonts w:ascii="Times New Roman" w:eastAsia="Times New Roman" w:hAnsi="Times New Roman" w:cs="Times New Roman"/>
          <w:color w:val="000000"/>
          <w:sz w:val="24"/>
          <w:szCs w:val="24"/>
          <w:lang w:eastAsia="sk-SK"/>
        </w:rPr>
      </w:pPr>
    </w:p>
    <w:p w14:paraId="01E7331D" w14:textId="521BFECC" w:rsidR="00FD6FF9" w:rsidRDefault="00FD6FF9" w:rsidP="00147CCB">
      <w:pPr>
        <w:spacing w:after="160" w:line="259" w:lineRule="auto"/>
        <w:ind w:left="720"/>
        <w:contextualSpacing/>
        <w:jc w:val="both"/>
        <w:rPr>
          <w:rFonts w:ascii="Times New Roman" w:eastAsia="Times New Roman" w:hAnsi="Times New Roman" w:cs="Times New Roman"/>
          <w:color w:val="000000"/>
          <w:sz w:val="24"/>
          <w:szCs w:val="24"/>
          <w:lang w:eastAsia="sk-SK"/>
        </w:rPr>
      </w:pPr>
      <w:r w:rsidRPr="00FD6FF9">
        <w:rPr>
          <w:rFonts w:ascii="Times New Roman" w:eastAsia="Times New Roman" w:hAnsi="Times New Roman" w:cs="Times New Roman"/>
          <w:color w:val="000000"/>
          <w:sz w:val="24"/>
          <w:szCs w:val="24"/>
          <w:lang w:eastAsia="sk-SK"/>
        </w:rPr>
        <w:lastRenderedPageBreak/>
        <w:t xml:space="preserve">Smernica 2004/25/ES bola prebratá do zákona č. 566/2001 Z. z. o cenných papieroch a investičných službách a o zmene a doplnení niektorých zákonov (zákon o cenných papieroch) v znení neskorších predpisov, do zákona č. 483/2001 Z. z. o bankách a o zmene  a doplnení niektorých zákonov v znení neskorších predpisov, do zákona č. 747/2004 Z. z. o dohľade nad finančným trhom a o zmene </w:t>
      </w:r>
      <w:r w:rsidR="006518C5">
        <w:rPr>
          <w:rFonts w:ascii="Times New Roman" w:eastAsia="Times New Roman" w:hAnsi="Times New Roman" w:cs="Times New Roman"/>
          <w:color w:val="000000"/>
          <w:sz w:val="24"/>
          <w:szCs w:val="24"/>
          <w:lang w:eastAsia="sk-SK"/>
        </w:rPr>
        <w:t xml:space="preserve">a doplnení </w:t>
      </w:r>
      <w:r w:rsidRPr="00FD6FF9">
        <w:rPr>
          <w:rFonts w:ascii="Times New Roman" w:eastAsia="Times New Roman" w:hAnsi="Times New Roman" w:cs="Times New Roman"/>
          <w:color w:val="000000"/>
          <w:sz w:val="24"/>
          <w:szCs w:val="24"/>
          <w:lang w:eastAsia="sk-SK"/>
        </w:rPr>
        <w:t>niektorých zákonov v znení neskorších predpisov, do zákona</w:t>
      </w:r>
      <w:r w:rsidR="006518C5">
        <w:rPr>
          <w:rFonts w:ascii="Times New Roman" w:eastAsia="Times New Roman" w:hAnsi="Times New Roman" w:cs="Times New Roman"/>
          <w:color w:val="000000"/>
          <w:sz w:val="24"/>
          <w:szCs w:val="24"/>
          <w:lang w:eastAsia="sk-SK"/>
        </w:rPr>
        <w:t xml:space="preserve"> Národnej rady Slovenskej republiky</w:t>
      </w:r>
      <w:r w:rsidRPr="00FD6FF9">
        <w:rPr>
          <w:rFonts w:ascii="Times New Roman" w:eastAsia="Times New Roman" w:hAnsi="Times New Roman" w:cs="Times New Roman"/>
          <w:color w:val="000000"/>
          <w:sz w:val="24"/>
          <w:szCs w:val="24"/>
          <w:lang w:eastAsia="sk-SK"/>
        </w:rPr>
        <w:t xml:space="preserve"> č. 566/1992 Zb. o Národnej banke Slovenska v znení neskorších predpisov, do zákona č. 431/2002 Z. z. o účtovníctve v znení neskorších predpisov a do zákona č. 513/1991 Zb. Obchodný zákonník v znení neskorších predpisov.</w:t>
      </w:r>
    </w:p>
    <w:p w14:paraId="702E1019" w14:textId="322C8E03" w:rsidR="00EC08D6" w:rsidRDefault="00EC08D6" w:rsidP="00147CCB">
      <w:pPr>
        <w:spacing w:after="160" w:line="259" w:lineRule="auto"/>
        <w:ind w:left="720"/>
        <w:contextualSpacing/>
        <w:jc w:val="both"/>
        <w:rPr>
          <w:rFonts w:ascii="Times New Roman" w:eastAsia="Times New Roman" w:hAnsi="Times New Roman" w:cs="Times New Roman"/>
          <w:color w:val="000000"/>
          <w:sz w:val="24"/>
          <w:szCs w:val="24"/>
          <w:lang w:eastAsia="sk-SK"/>
        </w:rPr>
      </w:pPr>
    </w:p>
    <w:p w14:paraId="7250D789" w14:textId="30F45990" w:rsidR="00EC08D6" w:rsidRDefault="00EC08D6" w:rsidP="00147CCB">
      <w:pPr>
        <w:spacing w:after="160" w:line="259" w:lineRule="auto"/>
        <w:ind w:left="720"/>
        <w:contextualSpacing/>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Smernica </w:t>
      </w:r>
      <w:r w:rsidRPr="00EC08D6">
        <w:rPr>
          <w:rFonts w:ascii="Times New Roman" w:eastAsia="Times New Roman" w:hAnsi="Times New Roman" w:cs="Times New Roman"/>
          <w:color w:val="000000"/>
          <w:sz w:val="24"/>
          <w:szCs w:val="24"/>
          <w:lang w:eastAsia="sk-SK"/>
        </w:rPr>
        <w:t>97/9/ES</w:t>
      </w:r>
      <w:r>
        <w:rPr>
          <w:rFonts w:ascii="Times New Roman" w:eastAsia="Times New Roman" w:hAnsi="Times New Roman" w:cs="Times New Roman"/>
          <w:color w:val="000000"/>
          <w:sz w:val="24"/>
          <w:szCs w:val="24"/>
          <w:lang w:eastAsia="sk-SK"/>
        </w:rPr>
        <w:t xml:space="preserve"> bola prebratá do zákona </w:t>
      </w:r>
      <w:r w:rsidRPr="00EC08D6">
        <w:rPr>
          <w:rFonts w:ascii="Times New Roman" w:eastAsia="Times New Roman" w:hAnsi="Times New Roman" w:cs="Times New Roman"/>
          <w:color w:val="000000"/>
          <w:sz w:val="24"/>
          <w:szCs w:val="24"/>
          <w:lang w:eastAsia="sk-SK"/>
        </w:rPr>
        <w:t>č. 566/2001 Z. z. o cenných papieroch a investičných službách a o zmene a doplnení niektorých zákonov (zákon o cenných papieroch) v znení neskorších predpisov</w:t>
      </w:r>
      <w:r>
        <w:rPr>
          <w:rFonts w:ascii="Times New Roman" w:eastAsia="Times New Roman" w:hAnsi="Times New Roman" w:cs="Times New Roman"/>
          <w:color w:val="000000"/>
          <w:sz w:val="24"/>
          <w:szCs w:val="24"/>
          <w:lang w:eastAsia="sk-SK"/>
        </w:rPr>
        <w:t>.</w:t>
      </w:r>
    </w:p>
    <w:p w14:paraId="20388213" w14:textId="32E2C495" w:rsidR="00216B45" w:rsidRDefault="00216B45" w:rsidP="00147CCB">
      <w:pPr>
        <w:spacing w:after="160" w:line="259" w:lineRule="auto"/>
        <w:ind w:left="720"/>
        <w:contextualSpacing/>
        <w:jc w:val="both"/>
        <w:rPr>
          <w:rFonts w:ascii="Times New Roman" w:eastAsia="Times New Roman" w:hAnsi="Times New Roman" w:cs="Times New Roman"/>
          <w:color w:val="000000"/>
          <w:sz w:val="24"/>
          <w:szCs w:val="24"/>
          <w:lang w:eastAsia="sk-SK"/>
        </w:rPr>
      </w:pPr>
    </w:p>
    <w:p w14:paraId="409C4C04" w14:textId="0A499FDB" w:rsidR="00216B45" w:rsidRPr="00D56C94" w:rsidRDefault="00216B45" w:rsidP="00147CCB">
      <w:pPr>
        <w:spacing w:after="160" w:line="259" w:lineRule="auto"/>
        <w:ind w:left="720"/>
        <w:contextualSpacing/>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Smernica 2011/61/EÚ bola prebratá do zákona </w:t>
      </w:r>
      <w:r w:rsidR="00F17516">
        <w:rPr>
          <w:rFonts w:ascii="Times New Roman" w:eastAsia="Times New Roman" w:hAnsi="Times New Roman" w:cs="Times New Roman"/>
          <w:color w:val="000000"/>
          <w:sz w:val="24"/>
          <w:szCs w:val="24"/>
          <w:lang w:eastAsia="sk-SK"/>
        </w:rPr>
        <w:t xml:space="preserve">č. 203/2011 Z. z. o </w:t>
      </w:r>
      <w:r w:rsidR="00F17516" w:rsidRPr="00F17516">
        <w:rPr>
          <w:rFonts w:ascii="Times New Roman" w:eastAsia="Times New Roman" w:hAnsi="Times New Roman" w:cs="Times New Roman"/>
          <w:color w:val="000000"/>
          <w:sz w:val="24"/>
          <w:szCs w:val="24"/>
          <w:lang w:eastAsia="sk-SK"/>
        </w:rPr>
        <w:t>kolektívnom investovaní v znení neskorších predpisov</w:t>
      </w:r>
      <w:r w:rsidR="00F17516">
        <w:rPr>
          <w:rFonts w:ascii="Times New Roman" w:eastAsia="Times New Roman" w:hAnsi="Times New Roman" w:cs="Times New Roman"/>
          <w:color w:val="000000"/>
          <w:sz w:val="24"/>
          <w:szCs w:val="24"/>
          <w:lang w:eastAsia="sk-SK"/>
        </w:rPr>
        <w:t xml:space="preserve">, do zákona č. </w:t>
      </w:r>
      <w:r w:rsidR="00F17516" w:rsidRPr="00F17516">
        <w:rPr>
          <w:rFonts w:ascii="Times New Roman" w:eastAsia="Times New Roman" w:hAnsi="Times New Roman" w:cs="Times New Roman"/>
          <w:color w:val="000000"/>
          <w:sz w:val="24"/>
          <w:szCs w:val="24"/>
          <w:lang w:eastAsia="sk-SK"/>
        </w:rPr>
        <w:t>566/2001 Z.</w:t>
      </w:r>
      <w:r w:rsidR="00F17516">
        <w:rPr>
          <w:rFonts w:ascii="Times New Roman" w:eastAsia="Times New Roman" w:hAnsi="Times New Roman" w:cs="Times New Roman"/>
          <w:color w:val="000000"/>
          <w:sz w:val="24"/>
          <w:szCs w:val="24"/>
          <w:lang w:eastAsia="sk-SK"/>
        </w:rPr>
        <w:t xml:space="preserve"> </w:t>
      </w:r>
      <w:r w:rsidR="00F17516" w:rsidRPr="00F17516">
        <w:rPr>
          <w:rFonts w:ascii="Times New Roman" w:eastAsia="Times New Roman" w:hAnsi="Times New Roman" w:cs="Times New Roman"/>
          <w:color w:val="000000"/>
          <w:sz w:val="24"/>
          <w:szCs w:val="24"/>
          <w:lang w:eastAsia="sk-SK"/>
        </w:rPr>
        <w:t>z. o cenných papieroch a investičných službách a o zmene a doplnení niektorých zákonov</w:t>
      </w:r>
      <w:r w:rsidR="006518C5">
        <w:rPr>
          <w:rFonts w:ascii="Times New Roman" w:eastAsia="Times New Roman" w:hAnsi="Times New Roman" w:cs="Times New Roman"/>
          <w:color w:val="000000"/>
          <w:sz w:val="24"/>
          <w:szCs w:val="24"/>
          <w:lang w:eastAsia="sk-SK"/>
        </w:rPr>
        <w:t xml:space="preserve"> </w:t>
      </w:r>
      <w:r w:rsidR="006518C5" w:rsidRPr="006518C5">
        <w:rPr>
          <w:rFonts w:ascii="Times New Roman" w:eastAsia="Times New Roman" w:hAnsi="Times New Roman" w:cs="Times New Roman"/>
          <w:color w:val="000000"/>
          <w:sz w:val="24"/>
          <w:szCs w:val="24"/>
          <w:lang w:eastAsia="sk-SK"/>
        </w:rPr>
        <w:t>(zákon o cenných papieroch) v znení neskorších predpisov</w:t>
      </w:r>
      <w:r w:rsidR="006518C5">
        <w:rPr>
          <w:rFonts w:ascii="Times New Roman" w:eastAsia="Times New Roman" w:hAnsi="Times New Roman" w:cs="Times New Roman"/>
          <w:color w:val="000000"/>
          <w:sz w:val="24"/>
          <w:szCs w:val="24"/>
          <w:lang w:eastAsia="sk-SK"/>
        </w:rPr>
        <w:t xml:space="preserve"> </w:t>
      </w:r>
      <w:r w:rsidR="00EC726D">
        <w:rPr>
          <w:rFonts w:ascii="Times New Roman" w:eastAsia="Times New Roman" w:hAnsi="Times New Roman" w:cs="Times New Roman"/>
          <w:color w:val="000000"/>
          <w:sz w:val="24"/>
          <w:szCs w:val="24"/>
          <w:lang w:eastAsia="sk-SK"/>
        </w:rPr>
        <w:t xml:space="preserve">, do zákona </w:t>
      </w:r>
      <w:r w:rsidR="00EC726D" w:rsidRPr="00EC726D">
        <w:rPr>
          <w:rFonts w:ascii="Times New Roman" w:eastAsia="Times New Roman" w:hAnsi="Times New Roman" w:cs="Times New Roman"/>
          <w:color w:val="000000"/>
          <w:sz w:val="24"/>
          <w:szCs w:val="24"/>
          <w:lang w:eastAsia="sk-SK"/>
        </w:rPr>
        <w:t>č. 429/2002 Z.</w:t>
      </w:r>
      <w:r w:rsidR="00291FE2">
        <w:rPr>
          <w:rFonts w:ascii="Times New Roman" w:eastAsia="Times New Roman" w:hAnsi="Times New Roman" w:cs="Times New Roman"/>
          <w:color w:val="000000"/>
          <w:sz w:val="24"/>
          <w:szCs w:val="24"/>
          <w:lang w:eastAsia="sk-SK"/>
        </w:rPr>
        <w:t xml:space="preserve"> </w:t>
      </w:r>
      <w:r w:rsidR="00EC726D" w:rsidRPr="00EC726D">
        <w:rPr>
          <w:rFonts w:ascii="Times New Roman" w:eastAsia="Times New Roman" w:hAnsi="Times New Roman" w:cs="Times New Roman"/>
          <w:color w:val="000000"/>
          <w:sz w:val="24"/>
          <w:szCs w:val="24"/>
          <w:lang w:eastAsia="sk-SK"/>
        </w:rPr>
        <w:t>z. o burze cenných papierov v znení neskorších predpisov</w:t>
      </w:r>
      <w:r w:rsidR="00EC726D">
        <w:rPr>
          <w:rFonts w:ascii="Times New Roman" w:eastAsia="Times New Roman" w:hAnsi="Times New Roman" w:cs="Times New Roman"/>
          <w:color w:val="000000"/>
          <w:sz w:val="24"/>
          <w:szCs w:val="24"/>
          <w:lang w:eastAsia="sk-SK"/>
        </w:rPr>
        <w:t>,</w:t>
      </w:r>
      <w:r w:rsidR="006518C5">
        <w:rPr>
          <w:rFonts w:ascii="Times New Roman" w:eastAsia="Times New Roman" w:hAnsi="Times New Roman" w:cs="Times New Roman"/>
          <w:color w:val="000000"/>
          <w:sz w:val="24"/>
          <w:szCs w:val="24"/>
          <w:lang w:eastAsia="sk-SK"/>
        </w:rPr>
        <w:t xml:space="preserve"> </w:t>
      </w:r>
      <w:r w:rsidR="00291FE2">
        <w:rPr>
          <w:rFonts w:ascii="Times New Roman" w:eastAsia="Times New Roman" w:hAnsi="Times New Roman" w:cs="Times New Roman"/>
          <w:color w:val="000000"/>
          <w:sz w:val="24"/>
          <w:szCs w:val="24"/>
          <w:lang w:eastAsia="sk-SK"/>
        </w:rPr>
        <w:t xml:space="preserve">do zákona č. </w:t>
      </w:r>
      <w:r w:rsidR="00291FE2" w:rsidRPr="00291FE2">
        <w:rPr>
          <w:rFonts w:ascii="Times New Roman" w:eastAsia="Times New Roman" w:hAnsi="Times New Roman" w:cs="Times New Roman"/>
          <w:color w:val="000000"/>
          <w:sz w:val="24"/>
          <w:szCs w:val="24"/>
          <w:lang w:eastAsia="sk-SK"/>
        </w:rPr>
        <w:t>747/2004 Z.</w:t>
      </w:r>
      <w:r w:rsidR="00291FE2">
        <w:rPr>
          <w:rFonts w:ascii="Times New Roman" w:eastAsia="Times New Roman" w:hAnsi="Times New Roman" w:cs="Times New Roman"/>
          <w:color w:val="000000"/>
          <w:sz w:val="24"/>
          <w:szCs w:val="24"/>
          <w:lang w:eastAsia="sk-SK"/>
        </w:rPr>
        <w:t xml:space="preserve"> </w:t>
      </w:r>
      <w:r w:rsidR="00291FE2" w:rsidRPr="00291FE2">
        <w:rPr>
          <w:rFonts w:ascii="Times New Roman" w:eastAsia="Times New Roman" w:hAnsi="Times New Roman" w:cs="Times New Roman"/>
          <w:color w:val="000000"/>
          <w:sz w:val="24"/>
          <w:szCs w:val="24"/>
          <w:lang w:eastAsia="sk-SK"/>
        </w:rPr>
        <w:t>z. o dohľade nad finančným trhom a o zmene a doplnení niektorých zákonov</w:t>
      </w:r>
      <w:r w:rsidR="006518C5">
        <w:rPr>
          <w:rFonts w:ascii="Times New Roman" w:eastAsia="Times New Roman" w:hAnsi="Times New Roman" w:cs="Times New Roman"/>
          <w:color w:val="000000"/>
          <w:sz w:val="24"/>
          <w:szCs w:val="24"/>
          <w:lang w:eastAsia="sk-SK"/>
        </w:rPr>
        <w:t xml:space="preserve"> v znení neskorších predpisov, </w:t>
      </w:r>
      <w:r w:rsidR="00980A3B" w:rsidRPr="00980A3B">
        <w:rPr>
          <w:rFonts w:ascii="Times New Roman" w:eastAsia="Times New Roman" w:hAnsi="Times New Roman" w:cs="Times New Roman"/>
          <w:color w:val="000000"/>
          <w:sz w:val="24"/>
          <w:szCs w:val="24"/>
          <w:lang w:eastAsia="sk-SK"/>
        </w:rPr>
        <w:t>do zákona č. 311/2001 Z. z. Zákonník práce v znení neskorších predpisov, do zákona č. 650/2004 Z. z. o doplnkovom dôchodkovom sporení a o zmene a doplnení niektorých zákonov v znení neskorších predpisov, do zákona č. 206/2013 Z. z, ktorým sa mení a dopĺňa zákon č. 203/2011 Z. z. o kolektívnom investovaní v znení zákona č. 547/2011 Z. z. a ktorým sa menia a dopĺňajú niektoré zákony a do zákona č. 318/2013 Z.</w:t>
      </w:r>
      <w:r w:rsidR="00377FFE">
        <w:rPr>
          <w:rFonts w:ascii="Times New Roman" w:eastAsia="Times New Roman" w:hAnsi="Times New Roman" w:cs="Times New Roman"/>
          <w:color w:val="000000"/>
          <w:sz w:val="24"/>
          <w:szCs w:val="24"/>
          <w:lang w:eastAsia="sk-SK"/>
        </w:rPr>
        <w:t xml:space="preserve"> </w:t>
      </w:r>
      <w:bookmarkStart w:id="6" w:name="_GoBack"/>
      <w:bookmarkEnd w:id="6"/>
      <w:r w:rsidR="00980A3B" w:rsidRPr="00980A3B">
        <w:rPr>
          <w:rFonts w:ascii="Times New Roman" w:eastAsia="Times New Roman" w:hAnsi="Times New Roman" w:cs="Times New Roman"/>
          <w:color w:val="000000"/>
          <w:sz w:val="24"/>
          <w:szCs w:val="24"/>
          <w:lang w:eastAsia="sk-SK"/>
        </w:rPr>
        <w:t>z., ktorým sa mení a dopĺňa zákon č. 650/2004 Z. z. o doplnkovom dôchodkovom sporení a o zmene a doplnení niektorých zákonov v znení neskorších predpisov a ktorým sa mení a dopĺňa zákon č. 595/2003 Z. z. o dani z príjmov v znení neskorších predpisov.</w:t>
      </w:r>
    </w:p>
    <w:p w14:paraId="075A023A" w14:textId="77777777" w:rsidR="00FC287C" w:rsidRPr="00D56C94" w:rsidRDefault="00FC287C" w:rsidP="00FC287C">
      <w:pPr>
        <w:pStyle w:val="Odsekzoznamu"/>
        <w:numPr>
          <w:ilvl w:val="0"/>
          <w:numId w:val="1"/>
        </w:numPr>
        <w:spacing w:after="0" w:line="240" w:lineRule="auto"/>
        <w:ind w:left="426" w:hanging="426"/>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b/>
          <w:bCs/>
          <w:color w:val="000000"/>
          <w:sz w:val="24"/>
          <w:szCs w:val="24"/>
          <w:lang w:eastAsia="sk-SK"/>
        </w:rPr>
        <w:t>Návrh zákona je zlučiteľný s právom Európskej únie:</w:t>
      </w:r>
    </w:p>
    <w:p w14:paraId="23143028" w14:textId="77777777" w:rsidR="00FC287C" w:rsidRPr="00D56C94" w:rsidRDefault="00FC287C" w:rsidP="00FC287C">
      <w:pPr>
        <w:pStyle w:val="Odsekzoznamu"/>
        <w:numPr>
          <w:ilvl w:val="0"/>
          <w:numId w:val="6"/>
        </w:numPr>
        <w:spacing w:after="0" w:line="240" w:lineRule="auto"/>
        <w:jc w:val="both"/>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color w:val="000000"/>
          <w:sz w:val="24"/>
          <w:szCs w:val="24"/>
          <w:lang w:eastAsia="sk-SK"/>
        </w:rPr>
        <w:t>úplne.</w:t>
      </w:r>
    </w:p>
    <w:p w14:paraId="58883423" w14:textId="77777777" w:rsidR="00FE77D3" w:rsidRPr="00D56C94" w:rsidRDefault="00FE77D3">
      <w:pPr>
        <w:rPr>
          <w:rFonts w:ascii="Times New Roman" w:hAnsi="Times New Roman" w:cs="Times New Roman"/>
          <w:sz w:val="24"/>
          <w:szCs w:val="24"/>
        </w:rPr>
      </w:pPr>
    </w:p>
    <w:sectPr w:rsidR="00FE77D3" w:rsidRPr="00D56C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Arial"/>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0749197D"/>
    <w:multiLevelType w:val="multilevel"/>
    <w:tmpl w:val="10FA859E"/>
    <w:lvl w:ilvl="0">
      <w:start w:val="6"/>
      <w:numFmt w:val="bullet"/>
      <w:lvlText w:val="-"/>
      <w:lvlJc w:val="left"/>
      <w:pPr>
        <w:ind w:left="993" w:hanging="425"/>
      </w:pPr>
      <w:rPr>
        <w:rFonts w:ascii="Times New Roman" w:eastAsia="Times New Roman" w:hAnsi="Times New Roman" w:hint="default"/>
        <w:b/>
      </w:rPr>
    </w:lvl>
    <w:lvl w:ilvl="1">
      <w:start w:val="1"/>
      <w:numFmt w:val="lowerLetter"/>
      <w:lvlText w:val="%2)"/>
      <w:legacy w:legacy="1" w:legacySpace="0" w:legacyIndent="425"/>
      <w:lvlJc w:val="left"/>
      <w:pPr>
        <w:ind w:left="1418" w:hanging="425"/>
      </w:pPr>
      <w:rPr>
        <w:rFonts w:cs="Times New Roman"/>
      </w:rPr>
    </w:lvl>
    <w:lvl w:ilvl="2">
      <w:start w:val="1"/>
      <w:numFmt w:val="decimal"/>
      <w:lvlText w:val="%3.)"/>
      <w:legacy w:legacy="1" w:legacySpace="0" w:legacyIndent="425"/>
      <w:lvlJc w:val="left"/>
      <w:pPr>
        <w:ind w:left="1843" w:hanging="425"/>
      </w:pPr>
      <w:rPr>
        <w:rFonts w:cs="Times New Roman"/>
      </w:rPr>
    </w:lvl>
    <w:lvl w:ilvl="3">
      <w:start w:val="1"/>
      <w:numFmt w:val="lowerLetter"/>
      <w:lvlText w:val="%4)"/>
      <w:legacy w:legacy="1" w:legacySpace="0" w:legacyIndent="708"/>
      <w:lvlJc w:val="left"/>
      <w:pPr>
        <w:ind w:left="2551" w:hanging="708"/>
      </w:pPr>
      <w:rPr>
        <w:rFonts w:cs="Times New Roman"/>
      </w:rPr>
    </w:lvl>
    <w:lvl w:ilvl="4">
      <w:start w:val="1"/>
      <w:numFmt w:val="decimal"/>
      <w:lvlText w:val="(%5)"/>
      <w:legacy w:legacy="1" w:legacySpace="0" w:legacyIndent="708"/>
      <w:lvlJc w:val="left"/>
      <w:pPr>
        <w:ind w:left="3259" w:hanging="708"/>
      </w:pPr>
      <w:rPr>
        <w:rFonts w:cs="Times New Roman"/>
      </w:rPr>
    </w:lvl>
    <w:lvl w:ilvl="5">
      <w:start w:val="1"/>
      <w:numFmt w:val="lowerLetter"/>
      <w:lvlText w:val="(%6)"/>
      <w:legacy w:legacy="1" w:legacySpace="0" w:legacyIndent="708"/>
      <w:lvlJc w:val="left"/>
      <w:pPr>
        <w:ind w:left="3967" w:hanging="708"/>
      </w:pPr>
      <w:rPr>
        <w:rFonts w:cs="Times New Roman"/>
      </w:rPr>
    </w:lvl>
    <w:lvl w:ilvl="6">
      <w:start w:val="1"/>
      <w:numFmt w:val="lowerRoman"/>
      <w:lvlText w:val="(%7)"/>
      <w:legacy w:legacy="1" w:legacySpace="0" w:legacyIndent="708"/>
      <w:lvlJc w:val="left"/>
      <w:pPr>
        <w:ind w:left="4675" w:hanging="708"/>
      </w:pPr>
      <w:rPr>
        <w:rFonts w:cs="Times New Roman"/>
      </w:rPr>
    </w:lvl>
    <w:lvl w:ilvl="7">
      <w:start w:val="1"/>
      <w:numFmt w:val="lowerLetter"/>
      <w:lvlText w:val="(%8)"/>
      <w:legacy w:legacy="1" w:legacySpace="0" w:legacyIndent="708"/>
      <w:lvlJc w:val="left"/>
      <w:pPr>
        <w:ind w:left="5383" w:hanging="708"/>
      </w:pPr>
      <w:rPr>
        <w:rFonts w:cs="Times New Roman"/>
      </w:rPr>
    </w:lvl>
    <w:lvl w:ilvl="8">
      <w:start w:val="1"/>
      <w:numFmt w:val="lowerRoman"/>
      <w:lvlText w:val="(%9)"/>
      <w:legacy w:legacy="1" w:legacySpace="0" w:legacyIndent="708"/>
      <w:lvlJc w:val="left"/>
      <w:pPr>
        <w:ind w:left="6091" w:hanging="708"/>
      </w:pPr>
      <w:rPr>
        <w:rFonts w:cs="Times New Roman"/>
      </w:rPr>
    </w:lvl>
  </w:abstractNum>
  <w:abstractNum w:abstractNumId="2" w15:restartNumberingAfterBreak="0">
    <w:nsid w:val="0CC636CC"/>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F4BFA"/>
    <w:multiLevelType w:val="hybridMultilevel"/>
    <w:tmpl w:val="129EBEBC"/>
    <w:lvl w:ilvl="0" w:tplc="854E6A9C">
      <w:start w:val="1"/>
      <w:numFmt w:val="bullet"/>
      <w:lvlText w:val="-"/>
      <w:lvlJc w:val="left"/>
      <w:pPr>
        <w:ind w:left="1080" w:hanging="360"/>
      </w:pPr>
      <w:rPr>
        <w:rFonts w:ascii="Times New Roman" w:eastAsia="Times New Roman" w:hAnsi="Times New Roman" w:hint="default"/>
        <w:sz w:val="24"/>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F464723"/>
    <w:multiLevelType w:val="hybridMultilevel"/>
    <w:tmpl w:val="6E6E07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B515B8A"/>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A015794"/>
    <w:multiLevelType w:val="hybridMultilevel"/>
    <w:tmpl w:val="C98447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7"/>
  </w:num>
  <w:num w:numId="6">
    <w:abstractNumId w:val="2"/>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EA"/>
    <w:rsid w:val="00012424"/>
    <w:rsid w:val="00021528"/>
    <w:rsid w:val="000260D0"/>
    <w:rsid w:val="000369FD"/>
    <w:rsid w:val="000450A5"/>
    <w:rsid w:val="00060915"/>
    <w:rsid w:val="00065E47"/>
    <w:rsid w:val="00070450"/>
    <w:rsid w:val="00104046"/>
    <w:rsid w:val="00140B76"/>
    <w:rsid w:val="00147CCB"/>
    <w:rsid w:val="00156703"/>
    <w:rsid w:val="001735D1"/>
    <w:rsid w:val="00175FA1"/>
    <w:rsid w:val="00176A09"/>
    <w:rsid w:val="001806A5"/>
    <w:rsid w:val="001912D6"/>
    <w:rsid w:val="001A1F6F"/>
    <w:rsid w:val="001A45EA"/>
    <w:rsid w:val="001E4E0A"/>
    <w:rsid w:val="001E58A5"/>
    <w:rsid w:val="001E6174"/>
    <w:rsid w:val="002153BD"/>
    <w:rsid w:val="00216B45"/>
    <w:rsid w:val="0024508E"/>
    <w:rsid w:val="00252EAF"/>
    <w:rsid w:val="00265478"/>
    <w:rsid w:val="002756D7"/>
    <w:rsid w:val="0028065B"/>
    <w:rsid w:val="00291FE2"/>
    <w:rsid w:val="002C76C3"/>
    <w:rsid w:val="002E6CF2"/>
    <w:rsid w:val="00324745"/>
    <w:rsid w:val="00365115"/>
    <w:rsid w:val="00373D0A"/>
    <w:rsid w:val="00377FFE"/>
    <w:rsid w:val="003A68BE"/>
    <w:rsid w:val="003C4894"/>
    <w:rsid w:val="003F0AF9"/>
    <w:rsid w:val="00410753"/>
    <w:rsid w:val="00447FEC"/>
    <w:rsid w:val="0046235E"/>
    <w:rsid w:val="00477C8D"/>
    <w:rsid w:val="00492483"/>
    <w:rsid w:val="004B10D9"/>
    <w:rsid w:val="004B48A5"/>
    <w:rsid w:val="004D4AE9"/>
    <w:rsid w:val="004E473F"/>
    <w:rsid w:val="004F3FEA"/>
    <w:rsid w:val="00505022"/>
    <w:rsid w:val="005357CA"/>
    <w:rsid w:val="00551FD0"/>
    <w:rsid w:val="005676B6"/>
    <w:rsid w:val="00577C45"/>
    <w:rsid w:val="00585E01"/>
    <w:rsid w:val="005B2E83"/>
    <w:rsid w:val="005F4910"/>
    <w:rsid w:val="00615A58"/>
    <w:rsid w:val="006518C5"/>
    <w:rsid w:val="0066120D"/>
    <w:rsid w:val="00677E30"/>
    <w:rsid w:val="006927F9"/>
    <w:rsid w:val="006B7E21"/>
    <w:rsid w:val="00703A5A"/>
    <w:rsid w:val="00725E46"/>
    <w:rsid w:val="00727471"/>
    <w:rsid w:val="00731B09"/>
    <w:rsid w:val="00735A06"/>
    <w:rsid w:val="00752C7A"/>
    <w:rsid w:val="00773DED"/>
    <w:rsid w:val="00793994"/>
    <w:rsid w:val="007B7522"/>
    <w:rsid w:val="00833B0C"/>
    <w:rsid w:val="00841AA5"/>
    <w:rsid w:val="00842228"/>
    <w:rsid w:val="00851397"/>
    <w:rsid w:val="008545C6"/>
    <w:rsid w:val="008560BF"/>
    <w:rsid w:val="008837AC"/>
    <w:rsid w:val="008872D4"/>
    <w:rsid w:val="008953E8"/>
    <w:rsid w:val="008A0654"/>
    <w:rsid w:val="008B220B"/>
    <w:rsid w:val="008B776F"/>
    <w:rsid w:val="0090113F"/>
    <w:rsid w:val="00902F8D"/>
    <w:rsid w:val="00936D83"/>
    <w:rsid w:val="00967B3F"/>
    <w:rsid w:val="00980A3B"/>
    <w:rsid w:val="009B3B13"/>
    <w:rsid w:val="009C04AA"/>
    <w:rsid w:val="009D6F4B"/>
    <w:rsid w:val="009E0156"/>
    <w:rsid w:val="009E1343"/>
    <w:rsid w:val="00A01ED4"/>
    <w:rsid w:val="00A142A1"/>
    <w:rsid w:val="00A338B7"/>
    <w:rsid w:val="00A70665"/>
    <w:rsid w:val="00A71694"/>
    <w:rsid w:val="00A82C6C"/>
    <w:rsid w:val="00B11A42"/>
    <w:rsid w:val="00B12415"/>
    <w:rsid w:val="00B201E1"/>
    <w:rsid w:val="00B652B1"/>
    <w:rsid w:val="00B7140D"/>
    <w:rsid w:val="00B77702"/>
    <w:rsid w:val="00B84C35"/>
    <w:rsid w:val="00B9033B"/>
    <w:rsid w:val="00B95454"/>
    <w:rsid w:val="00BC3AF5"/>
    <w:rsid w:val="00C01CE6"/>
    <w:rsid w:val="00C347D4"/>
    <w:rsid w:val="00CF09D2"/>
    <w:rsid w:val="00D31A90"/>
    <w:rsid w:val="00D321F7"/>
    <w:rsid w:val="00D449AF"/>
    <w:rsid w:val="00D51C40"/>
    <w:rsid w:val="00D56C94"/>
    <w:rsid w:val="00DA019F"/>
    <w:rsid w:val="00DA400B"/>
    <w:rsid w:val="00DA5F66"/>
    <w:rsid w:val="00DC383C"/>
    <w:rsid w:val="00DE0776"/>
    <w:rsid w:val="00E36C99"/>
    <w:rsid w:val="00E5089D"/>
    <w:rsid w:val="00E8175F"/>
    <w:rsid w:val="00E97598"/>
    <w:rsid w:val="00EA11E7"/>
    <w:rsid w:val="00EA2CA4"/>
    <w:rsid w:val="00EA46B3"/>
    <w:rsid w:val="00EC08D6"/>
    <w:rsid w:val="00EC5C67"/>
    <w:rsid w:val="00EC726D"/>
    <w:rsid w:val="00EE3B2A"/>
    <w:rsid w:val="00F17516"/>
    <w:rsid w:val="00F21615"/>
    <w:rsid w:val="00F33808"/>
    <w:rsid w:val="00F350A5"/>
    <w:rsid w:val="00F657AB"/>
    <w:rsid w:val="00FB7EF9"/>
    <w:rsid w:val="00FC287C"/>
    <w:rsid w:val="00FD6FF9"/>
    <w:rsid w:val="00FE465C"/>
    <w:rsid w:val="00FE77D3"/>
    <w:rsid w:val="00FF1A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A91C"/>
  <w15:docId w15:val="{2594D4EF-741D-4752-9803-D61F390B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1A45EA"/>
  </w:style>
  <w:style w:type="character" w:styleId="Hypertextovprepojenie">
    <w:name w:val="Hyperlink"/>
    <w:basedOn w:val="Predvolenpsmoodseku"/>
    <w:uiPriority w:val="99"/>
    <w:semiHidden/>
    <w:unhideWhenUsed/>
    <w:rsid w:val="001A45EA"/>
    <w:rPr>
      <w:color w:val="0000FF"/>
      <w:u w:val="single"/>
    </w:rPr>
  </w:style>
  <w:style w:type="paragraph" w:styleId="Odsekzoznamu">
    <w:name w:val="List Paragraph"/>
    <w:aliases w:val="Odstavec cíl se seznamem,Odstavec se seznamem1"/>
    <w:basedOn w:val="Normlny"/>
    <w:link w:val="OdsekzoznamuChar"/>
    <w:uiPriority w:val="34"/>
    <w:qFormat/>
    <w:rsid w:val="001A45EA"/>
    <w:pPr>
      <w:ind w:left="720"/>
      <w:contextualSpacing/>
    </w:pPr>
  </w:style>
  <w:style w:type="paragraph" w:customStyle="1" w:styleId="c08dispositif">
    <w:name w:val="c08dispositif"/>
    <w:basedOn w:val="Normlny"/>
    <w:rsid w:val="00577C4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41AA5"/>
    <w:rPr>
      <w:sz w:val="16"/>
      <w:szCs w:val="16"/>
    </w:rPr>
  </w:style>
  <w:style w:type="paragraph" w:styleId="Textkomentra">
    <w:name w:val="annotation text"/>
    <w:basedOn w:val="Normlny"/>
    <w:link w:val="TextkomentraChar"/>
    <w:uiPriority w:val="99"/>
    <w:semiHidden/>
    <w:unhideWhenUsed/>
    <w:rsid w:val="00841AA5"/>
    <w:pPr>
      <w:spacing w:line="240" w:lineRule="auto"/>
    </w:pPr>
    <w:rPr>
      <w:sz w:val="20"/>
      <w:szCs w:val="20"/>
    </w:rPr>
  </w:style>
  <w:style w:type="character" w:customStyle="1" w:styleId="TextkomentraChar">
    <w:name w:val="Text komentára Char"/>
    <w:basedOn w:val="Predvolenpsmoodseku"/>
    <w:link w:val="Textkomentra"/>
    <w:uiPriority w:val="99"/>
    <w:semiHidden/>
    <w:rsid w:val="00841AA5"/>
    <w:rPr>
      <w:sz w:val="20"/>
      <w:szCs w:val="20"/>
    </w:rPr>
  </w:style>
  <w:style w:type="paragraph" w:styleId="Predmetkomentra">
    <w:name w:val="annotation subject"/>
    <w:basedOn w:val="Textkomentra"/>
    <w:next w:val="Textkomentra"/>
    <w:link w:val="PredmetkomentraChar"/>
    <w:uiPriority w:val="99"/>
    <w:semiHidden/>
    <w:unhideWhenUsed/>
    <w:rsid w:val="00841AA5"/>
    <w:rPr>
      <w:b/>
      <w:bCs/>
    </w:rPr>
  </w:style>
  <w:style w:type="character" w:customStyle="1" w:styleId="PredmetkomentraChar">
    <w:name w:val="Predmet komentára Char"/>
    <w:basedOn w:val="TextkomentraChar"/>
    <w:link w:val="Predmetkomentra"/>
    <w:uiPriority w:val="99"/>
    <w:semiHidden/>
    <w:rsid w:val="00841AA5"/>
    <w:rPr>
      <w:b/>
      <w:bCs/>
      <w:sz w:val="20"/>
      <w:szCs w:val="20"/>
    </w:rPr>
  </w:style>
  <w:style w:type="paragraph" w:styleId="Textbubliny">
    <w:name w:val="Balloon Text"/>
    <w:basedOn w:val="Normlny"/>
    <w:link w:val="TextbublinyChar"/>
    <w:uiPriority w:val="99"/>
    <w:semiHidden/>
    <w:unhideWhenUsed/>
    <w:rsid w:val="00841AA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AA5"/>
    <w:rPr>
      <w:rFonts w:ascii="Segoe UI" w:hAnsi="Segoe UI" w:cs="Segoe UI"/>
      <w:sz w:val="18"/>
      <w:szCs w:val="18"/>
    </w:rPr>
  </w:style>
  <w:style w:type="character" w:customStyle="1" w:styleId="OdsekzoznamuChar">
    <w:name w:val="Odsek zoznamu Char"/>
    <w:aliases w:val="Odstavec cíl se seznamem Char,Odstavec se seznamem1 Char"/>
    <w:basedOn w:val="Predvolenpsmoodseku"/>
    <w:link w:val="Odsekzoznamu"/>
    <w:uiPriority w:val="34"/>
    <w:locked/>
    <w:rsid w:val="00B201E1"/>
  </w:style>
  <w:style w:type="paragraph" w:styleId="Podtitul">
    <w:name w:val="Subtitle"/>
    <w:basedOn w:val="Normlny"/>
    <w:next w:val="Normlny"/>
    <w:link w:val="PodtitulChar"/>
    <w:uiPriority w:val="11"/>
    <w:qFormat/>
    <w:rsid w:val="001E6174"/>
    <w:pPr>
      <w:numPr>
        <w:ilvl w:val="1"/>
      </w:numPr>
      <w:spacing w:after="160"/>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1E6174"/>
    <w:rPr>
      <w:rFonts w:eastAsiaTheme="minorEastAsia"/>
      <w:color w:val="5A5A5A" w:themeColor="text1" w:themeTint="A5"/>
      <w:spacing w:val="15"/>
    </w:rPr>
  </w:style>
  <w:style w:type="character" w:styleId="Jemnzvraznenie">
    <w:name w:val="Subtle Emphasis"/>
    <w:basedOn w:val="Predvolenpsmoodseku"/>
    <w:uiPriority w:val="19"/>
    <w:qFormat/>
    <w:rsid w:val="001E6174"/>
    <w:rPr>
      <w:i/>
      <w:iCs/>
      <w:color w:val="404040" w:themeColor="text1" w:themeTint="BF"/>
    </w:rPr>
  </w:style>
  <w:style w:type="paragraph" w:customStyle="1" w:styleId="c02alineaalta">
    <w:name w:val="c02alineaalta"/>
    <w:basedOn w:val="Normlny"/>
    <w:rsid w:val="004E473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30dispositifalinea">
    <w:name w:val="c30dispositifalinea"/>
    <w:basedOn w:val="Normlny"/>
    <w:rsid w:val="004E473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99796">
      <w:bodyDiv w:val="1"/>
      <w:marLeft w:val="0"/>
      <w:marRight w:val="0"/>
      <w:marTop w:val="0"/>
      <w:marBottom w:val="0"/>
      <w:divBdr>
        <w:top w:val="none" w:sz="0" w:space="0" w:color="auto"/>
        <w:left w:val="none" w:sz="0" w:space="0" w:color="auto"/>
        <w:bottom w:val="none" w:sz="0" w:space="0" w:color="auto"/>
        <w:right w:val="none" w:sz="0" w:space="0" w:color="auto"/>
      </w:divBdr>
    </w:div>
    <w:div w:id="291980993">
      <w:bodyDiv w:val="1"/>
      <w:marLeft w:val="0"/>
      <w:marRight w:val="0"/>
      <w:marTop w:val="0"/>
      <w:marBottom w:val="0"/>
      <w:divBdr>
        <w:top w:val="none" w:sz="0" w:space="0" w:color="auto"/>
        <w:left w:val="none" w:sz="0" w:space="0" w:color="auto"/>
        <w:bottom w:val="none" w:sz="0" w:space="0" w:color="auto"/>
        <w:right w:val="none" w:sz="0" w:space="0" w:color="auto"/>
      </w:divBdr>
    </w:div>
    <w:div w:id="1085225263">
      <w:bodyDiv w:val="1"/>
      <w:marLeft w:val="0"/>
      <w:marRight w:val="0"/>
      <w:marTop w:val="0"/>
      <w:marBottom w:val="0"/>
      <w:divBdr>
        <w:top w:val="none" w:sz="0" w:space="0" w:color="auto"/>
        <w:left w:val="none" w:sz="0" w:space="0" w:color="auto"/>
        <w:bottom w:val="none" w:sz="0" w:space="0" w:color="auto"/>
        <w:right w:val="none" w:sz="0" w:space="0" w:color="auto"/>
      </w:divBdr>
    </w:div>
    <w:div w:id="1575628961">
      <w:bodyDiv w:val="1"/>
      <w:marLeft w:val="0"/>
      <w:marRight w:val="0"/>
      <w:marTop w:val="0"/>
      <w:marBottom w:val="0"/>
      <w:divBdr>
        <w:top w:val="none" w:sz="0" w:space="0" w:color="auto"/>
        <w:left w:val="none" w:sz="0" w:space="0" w:color="auto"/>
        <w:bottom w:val="none" w:sz="0" w:space="0" w:color="auto"/>
        <w:right w:val="none" w:sz="0" w:space="0" w:color="auto"/>
      </w:divBdr>
      <w:divsChild>
        <w:div w:id="1246257514">
          <w:marLeft w:val="0"/>
          <w:marRight w:val="0"/>
          <w:marTop w:val="200"/>
          <w:marBottom w:val="200"/>
          <w:divBdr>
            <w:top w:val="single" w:sz="8" w:space="0" w:color="000000"/>
            <w:left w:val="single" w:sz="8" w:space="0" w:color="000000"/>
            <w:bottom w:val="single" w:sz="8" w:space="0" w:color="000000"/>
            <w:right w:val="single" w:sz="8" w:space="0" w:color="000000"/>
          </w:divBdr>
          <w:divsChild>
            <w:div w:id="2019771552">
              <w:marLeft w:val="0"/>
              <w:marRight w:val="0"/>
              <w:marTop w:val="0"/>
              <w:marBottom w:val="0"/>
              <w:divBdr>
                <w:top w:val="none" w:sz="0" w:space="0" w:color="auto"/>
                <w:left w:val="none" w:sz="0" w:space="0" w:color="auto"/>
                <w:bottom w:val="none" w:sz="0" w:space="0" w:color="auto"/>
                <w:right w:val="none" w:sz="0" w:space="0" w:color="auto"/>
              </w:divBdr>
            </w:div>
            <w:div w:id="1562908705">
              <w:marLeft w:val="0"/>
              <w:marRight w:val="0"/>
              <w:marTop w:val="0"/>
              <w:marBottom w:val="0"/>
              <w:divBdr>
                <w:top w:val="none" w:sz="0" w:space="0" w:color="auto"/>
                <w:left w:val="none" w:sz="0" w:space="0" w:color="auto"/>
                <w:bottom w:val="none" w:sz="0" w:space="0" w:color="auto"/>
                <w:right w:val="none" w:sz="0" w:space="0" w:color="auto"/>
              </w:divBdr>
              <w:divsChild>
                <w:div w:id="1439638040">
                  <w:marLeft w:val="0"/>
                  <w:marRight w:val="0"/>
                  <w:marTop w:val="0"/>
                  <w:marBottom w:val="0"/>
                  <w:divBdr>
                    <w:top w:val="none" w:sz="0" w:space="0" w:color="auto"/>
                    <w:left w:val="none" w:sz="0" w:space="0" w:color="auto"/>
                    <w:bottom w:val="none" w:sz="0" w:space="0" w:color="auto"/>
                    <w:right w:val="none" w:sz="0" w:space="0" w:color="auto"/>
                  </w:divBdr>
                </w:div>
                <w:div w:id="402411772">
                  <w:marLeft w:val="0"/>
                  <w:marRight w:val="0"/>
                  <w:marTop w:val="0"/>
                  <w:marBottom w:val="0"/>
                  <w:divBdr>
                    <w:top w:val="none" w:sz="0" w:space="0" w:color="auto"/>
                    <w:left w:val="none" w:sz="0" w:space="0" w:color="auto"/>
                    <w:bottom w:val="none" w:sz="0" w:space="0" w:color="auto"/>
                    <w:right w:val="none" w:sz="0" w:space="0" w:color="auto"/>
                  </w:divBdr>
                </w:div>
                <w:div w:id="1747923190">
                  <w:marLeft w:val="0"/>
                  <w:marRight w:val="0"/>
                  <w:marTop w:val="0"/>
                  <w:marBottom w:val="0"/>
                  <w:divBdr>
                    <w:top w:val="none" w:sz="0" w:space="0" w:color="auto"/>
                    <w:left w:val="none" w:sz="0" w:space="0" w:color="auto"/>
                    <w:bottom w:val="none" w:sz="0" w:space="0" w:color="auto"/>
                    <w:right w:val="none" w:sz="0" w:space="0" w:color="auto"/>
                  </w:divBdr>
                </w:div>
                <w:div w:id="1874152532">
                  <w:marLeft w:val="0"/>
                  <w:marRight w:val="0"/>
                  <w:marTop w:val="0"/>
                  <w:marBottom w:val="0"/>
                  <w:divBdr>
                    <w:top w:val="none" w:sz="0" w:space="0" w:color="auto"/>
                    <w:left w:val="none" w:sz="0" w:space="0" w:color="auto"/>
                    <w:bottom w:val="none" w:sz="0" w:space="0" w:color="auto"/>
                    <w:right w:val="none" w:sz="0" w:space="0" w:color="auto"/>
                  </w:divBdr>
                </w:div>
                <w:div w:id="1521747052">
                  <w:marLeft w:val="0"/>
                  <w:marRight w:val="0"/>
                  <w:marTop w:val="0"/>
                  <w:marBottom w:val="0"/>
                  <w:divBdr>
                    <w:top w:val="none" w:sz="0" w:space="0" w:color="auto"/>
                    <w:left w:val="none" w:sz="0" w:space="0" w:color="auto"/>
                    <w:bottom w:val="none" w:sz="0" w:space="0" w:color="auto"/>
                    <w:right w:val="none" w:sz="0" w:space="0" w:color="auto"/>
                  </w:divBdr>
                </w:div>
                <w:div w:id="595795166">
                  <w:marLeft w:val="0"/>
                  <w:marRight w:val="0"/>
                  <w:marTop w:val="0"/>
                  <w:marBottom w:val="0"/>
                  <w:divBdr>
                    <w:top w:val="none" w:sz="0" w:space="0" w:color="auto"/>
                    <w:left w:val="none" w:sz="0" w:space="0" w:color="auto"/>
                    <w:bottom w:val="none" w:sz="0" w:space="0" w:color="auto"/>
                    <w:right w:val="none" w:sz="0" w:space="0" w:color="auto"/>
                  </w:divBdr>
                </w:div>
                <w:div w:id="2009020374">
                  <w:marLeft w:val="0"/>
                  <w:marRight w:val="0"/>
                  <w:marTop w:val="0"/>
                  <w:marBottom w:val="0"/>
                  <w:divBdr>
                    <w:top w:val="none" w:sz="0" w:space="0" w:color="auto"/>
                    <w:left w:val="none" w:sz="0" w:space="0" w:color="auto"/>
                    <w:bottom w:val="none" w:sz="0" w:space="0" w:color="auto"/>
                    <w:right w:val="none" w:sz="0" w:space="0" w:color="auto"/>
                  </w:divBdr>
                </w:div>
                <w:div w:id="352003855">
                  <w:marLeft w:val="0"/>
                  <w:marRight w:val="0"/>
                  <w:marTop w:val="0"/>
                  <w:marBottom w:val="0"/>
                  <w:divBdr>
                    <w:top w:val="none" w:sz="0" w:space="0" w:color="auto"/>
                    <w:left w:val="none" w:sz="0" w:space="0" w:color="auto"/>
                    <w:bottom w:val="none" w:sz="0" w:space="0" w:color="auto"/>
                    <w:right w:val="none" w:sz="0" w:space="0" w:color="auto"/>
                  </w:divBdr>
                </w:div>
                <w:div w:id="143477547">
                  <w:marLeft w:val="0"/>
                  <w:marRight w:val="0"/>
                  <w:marTop w:val="0"/>
                  <w:marBottom w:val="0"/>
                  <w:divBdr>
                    <w:top w:val="none" w:sz="0" w:space="0" w:color="auto"/>
                    <w:left w:val="none" w:sz="0" w:space="0" w:color="auto"/>
                    <w:bottom w:val="none" w:sz="0" w:space="0" w:color="auto"/>
                    <w:right w:val="none" w:sz="0" w:space="0" w:color="auto"/>
                  </w:divBdr>
                </w:div>
                <w:div w:id="1018967760">
                  <w:marLeft w:val="0"/>
                  <w:marRight w:val="0"/>
                  <w:marTop w:val="0"/>
                  <w:marBottom w:val="0"/>
                  <w:divBdr>
                    <w:top w:val="none" w:sz="0" w:space="0" w:color="auto"/>
                    <w:left w:val="none" w:sz="0" w:space="0" w:color="auto"/>
                    <w:bottom w:val="none" w:sz="0" w:space="0" w:color="auto"/>
                    <w:right w:val="none" w:sz="0" w:space="0" w:color="auto"/>
                  </w:divBdr>
                </w:div>
                <w:div w:id="1509978040">
                  <w:marLeft w:val="0"/>
                  <w:marRight w:val="0"/>
                  <w:marTop w:val="0"/>
                  <w:marBottom w:val="0"/>
                  <w:divBdr>
                    <w:top w:val="none" w:sz="0" w:space="0" w:color="auto"/>
                    <w:left w:val="none" w:sz="0" w:space="0" w:color="auto"/>
                    <w:bottom w:val="none" w:sz="0" w:space="0" w:color="auto"/>
                    <w:right w:val="none" w:sz="0" w:space="0" w:color="auto"/>
                  </w:divBdr>
                </w:div>
                <w:div w:id="550654893">
                  <w:marLeft w:val="0"/>
                  <w:marRight w:val="0"/>
                  <w:marTop w:val="0"/>
                  <w:marBottom w:val="0"/>
                  <w:divBdr>
                    <w:top w:val="none" w:sz="0" w:space="0" w:color="auto"/>
                    <w:left w:val="none" w:sz="0" w:space="0" w:color="auto"/>
                    <w:bottom w:val="none" w:sz="0" w:space="0" w:color="auto"/>
                    <w:right w:val="none" w:sz="0" w:space="0" w:color="auto"/>
                  </w:divBdr>
                </w:div>
                <w:div w:id="1171992351">
                  <w:marLeft w:val="0"/>
                  <w:marRight w:val="0"/>
                  <w:marTop w:val="0"/>
                  <w:marBottom w:val="0"/>
                  <w:divBdr>
                    <w:top w:val="none" w:sz="0" w:space="0" w:color="auto"/>
                    <w:left w:val="none" w:sz="0" w:space="0" w:color="auto"/>
                    <w:bottom w:val="none" w:sz="0" w:space="0" w:color="auto"/>
                    <w:right w:val="none" w:sz="0" w:space="0" w:color="auto"/>
                  </w:divBdr>
                </w:div>
                <w:div w:id="1292055417">
                  <w:marLeft w:val="0"/>
                  <w:marRight w:val="0"/>
                  <w:marTop w:val="0"/>
                  <w:marBottom w:val="0"/>
                  <w:divBdr>
                    <w:top w:val="none" w:sz="0" w:space="0" w:color="auto"/>
                    <w:left w:val="none" w:sz="0" w:space="0" w:color="auto"/>
                    <w:bottom w:val="none" w:sz="0" w:space="0" w:color="auto"/>
                    <w:right w:val="none" w:sz="0" w:space="0" w:color="auto"/>
                  </w:divBdr>
                </w:div>
                <w:div w:id="834495857">
                  <w:marLeft w:val="0"/>
                  <w:marRight w:val="0"/>
                  <w:marTop w:val="0"/>
                  <w:marBottom w:val="0"/>
                  <w:divBdr>
                    <w:top w:val="none" w:sz="0" w:space="0" w:color="auto"/>
                    <w:left w:val="none" w:sz="0" w:space="0" w:color="auto"/>
                    <w:bottom w:val="none" w:sz="0" w:space="0" w:color="auto"/>
                    <w:right w:val="none" w:sz="0" w:space="0" w:color="auto"/>
                  </w:divBdr>
                </w:div>
                <w:div w:id="8598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6712">
          <w:marLeft w:val="0"/>
          <w:marRight w:val="0"/>
          <w:marTop w:val="200"/>
          <w:marBottom w:val="200"/>
          <w:divBdr>
            <w:top w:val="single" w:sz="8" w:space="0" w:color="000000"/>
            <w:left w:val="single" w:sz="8" w:space="0" w:color="000000"/>
            <w:bottom w:val="single" w:sz="8" w:space="0" w:color="000000"/>
            <w:right w:val="single" w:sz="8" w:space="0" w:color="000000"/>
          </w:divBdr>
          <w:divsChild>
            <w:div w:id="997268095">
              <w:marLeft w:val="0"/>
              <w:marRight w:val="0"/>
              <w:marTop w:val="0"/>
              <w:marBottom w:val="0"/>
              <w:divBdr>
                <w:top w:val="none" w:sz="0" w:space="0" w:color="auto"/>
                <w:left w:val="none" w:sz="0" w:space="0" w:color="auto"/>
                <w:bottom w:val="none" w:sz="0" w:space="0" w:color="auto"/>
                <w:right w:val="none" w:sz="0" w:space="0" w:color="auto"/>
              </w:divBdr>
            </w:div>
            <w:div w:id="2014448117">
              <w:marLeft w:val="0"/>
              <w:marRight w:val="0"/>
              <w:marTop w:val="0"/>
              <w:marBottom w:val="0"/>
              <w:divBdr>
                <w:top w:val="none" w:sz="0" w:space="0" w:color="auto"/>
                <w:left w:val="none" w:sz="0" w:space="0" w:color="auto"/>
                <w:bottom w:val="none" w:sz="0" w:space="0" w:color="auto"/>
                <w:right w:val="none" w:sz="0" w:space="0" w:color="auto"/>
              </w:divBdr>
              <w:divsChild>
                <w:div w:id="136994361">
                  <w:marLeft w:val="0"/>
                  <w:marRight w:val="0"/>
                  <w:marTop w:val="0"/>
                  <w:marBottom w:val="0"/>
                  <w:divBdr>
                    <w:top w:val="none" w:sz="0" w:space="0" w:color="auto"/>
                    <w:left w:val="none" w:sz="0" w:space="0" w:color="auto"/>
                    <w:bottom w:val="none" w:sz="0" w:space="0" w:color="auto"/>
                    <w:right w:val="none" w:sz="0" w:space="0" w:color="auto"/>
                  </w:divBdr>
                </w:div>
                <w:div w:id="1103840420">
                  <w:marLeft w:val="0"/>
                  <w:marRight w:val="0"/>
                  <w:marTop w:val="0"/>
                  <w:marBottom w:val="0"/>
                  <w:divBdr>
                    <w:top w:val="none" w:sz="0" w:space="0" w:color="auto"/>
                    <w:left w:val="none" w:sz="0" w:space="0" w:color="auto"/>
                    <w:bottom w:val="none" w:sz="0" w:space="0" w:color="auto"/>
                    <w:right w:val="none" w:sz="0" w:space="0" w:color="auto"/>
                  </w:divBdr>
                </w:div>
                <w:div w:id="1831169621">
                  <w:marLeft w:val="0"/>
                  <w:marRight w:val="0"/>
                  <w:marTop w:val="0"/>
                  <w:marBottom w:val="0"/>
                  <w:divBdr>
                    <w:top w:val="none" w:sz="0" w:space="0" w:color="auto"/>
                    <w:left w:val="none" w:sz="0" w:space="0" w:color="auto"/>
                    <w:bottom w:val="none" w:sz="0" w:space="0" w:color="auto"/>
                    <w:right w:val="none" w:sz="0" w:space="0" w:color="auto"/>
                  </w:divBdr>
                </w:div>
                <w:div w:id="1308126267">
                  <w:marLeft w:val="0"/>
                  <w:marRight w:val="0"/>
                  <w:marTop w:val="0"/>
                  <w:marBottom w:val="0"/>
                  <w:divBdr>
                    <w:top w:val="none" w:sz="0" w:space="0" w:color="auto"/>
                    <w:left w:val="none" w:sz="0" w:space="0" w:color="auto"/>
                    <w:bottom w:val="none" w:sz="0" w:space="0" w:color="auto"/>
                    <w:right w:val="none" w:sz="0" w:space="0" w:color="auto"/>
                  </w:divBdr>
                </w:div>
                <w:div w:id="1281644739">
                  <w:marLeft w:val="0"/>
                  <w:marRight w:val="0"/>
                  <w:marTop w:val="0"/>
                  <w:marBottom w:val="0"/>
                  <w:divBdr>
                    <w:top w:val="none" w:sz="0" w:space="0" w:color="auto"/>
                    <w:left w:val="none" w:sz="0" w:space="0" w:color="auto"/>
                    <w:bottom w:val="none" w:sz="0" w:space="0" w:color="auto"/>
                    <w:right w:val="none" w:sz="0" w:space="0" w:color="auto"/>
                  </w:divBdr>
                </w:div>
                <w:div w:id="1489705944">
                  <w:marLeft w:val="0"/>
                  <w:marRight w:val="0"/>
                  <w:marTop w:val="0"/>
                  <w:marBottom w:val="0"/>
                  <w:divBdr>
                    <w:top w:val="none" w:sz="0" w:space="0" w:color="auto"/>
                    <w:left w:val="none" w:sz="0" w:space="0" w:color="auto"/>
                    <w:bottom w:val="none" w:sz="0" w:space="0" w:color="auto"/>
                    <w:right w:val="none" w:sz="0" w:space="0" w:color="auto"/>
                  </w:divBdr>
                </w:div>
                <w:div w:id="874586650">
                  <w:marLeft w:val="0"/>
                  <w:marRight w:val="0"/>
                  <w:marTop w:val="0"/>
                  <w:marBottom w:val="0"/>
                  <w:divBdr>
                    <w:top w:val="none" w:sz="0" w:space="0" w:color="auto"/>
                    <w:left w:val="none" w:sz="0" w:space="0" w:color="auto"/>
                    <w:bottom w:val="none" w:sz="0" w:space="0" w:color="auto"/>
                    <w:right w:val="none" w:sz="0" w:space="0" w:color="auto"/>
                  </w:divBdr>
                </w:div>
                <w:div w:id="857233771">
                  <w:marLeft w:val="0"/>
                  <w:marRight w:val="0"/>
                  <w:marTop w:val="0"/>
                  <w:marBottom w:val="0"/>
                  <w:divBdr>
                    <w:top w:val="none" w:sz="0" w:space="0" w:color="auto"/>
                    <w:left w:val="none" w:sz="0" w:space="0" w:color="auto"/>
                    <w:bottom w:val="none" w:sz="0" w:space="0" w:color="auto"/>
                    <w:right w:val="none" w:sz="0" w:space="0" w:color="auto"/>
                  </w:divBdr>
                  <w:divsChild>
                    <w:div w:id="570044893">
                      <w:marLeft w:val="0"/>
                      <w:marRight w:val="0"/>
                      <w:marTop w:val="0"/>
                      <w:marBottom w:val="0"/>
                      <w:divBdr>
                        <w:top w:val="none" w:sz="0" w:space="0" w:color="auto"/>
                        <w:left w:val="none" w:sz="0" w:space="0" w:color="auto"/>
                        <w:bottom w:val="none" w:sz="0" w:space="0" w:color="auto"/>
                        <w:right w:val="none" w:sz="0" w:space="0" w:color="auto"/>
                      </w:divBdr>
                    </w:div>
                    <w:div w:id="801532607">
                      <w:marLeft w:val="0"/>
                      <w:marRight w:val="0"/>
                      <w:marTop w:val="0"/>
                      <w:marBottom w:val="0"/>
                      <w:divBdr>
                        <w:top w:val="none" w:sz="0" w:space="0" w:color="auto"/>
                        <w:left w:val="none" w:sz="0" w:space="0" w:color="auto"/>
                        <w:bottom w:val="none" w:sz="0" w:space="0" w:color="auto"/>
                        <w:right w:val="none" w:sz="0" w:space="0" w:color="auto"/>
                      </w:divBdr>
                    </w:div>
                    <w:div w:id="1823933786">
                      <w:marLeft w:val="0"/>
                      <w:marRight w:val="0"/>
                      <w:marTop w:val="0"/>
                      <w:marBottom w:val="0"/>
                      <w:divBdr>
                        <w:top w:val="none" w:sz="0" w:space="0" w:color="auto"/>
                        <w:left w:val="none" w:sz="0" w:space="0" w:color="auto"/>
                        <w:bottom w:val="none" w:sz="0" w:space="0" w:color="auto"/>
                        <w:right w:val="none" w:sz="0" w:space="0" w:color="auto"/>
                      </w:divBdr>
                    </w:div>
                    <w:div w:id="762994954">
                      <w:marLeft w:val="0"/>
                      <w:marRight w:val="0"/>
                      <w:marTop w:val="0"/>
                      <w:marBottom w:val="0"/>
                      <w:divBdr>
                        <w:top w:val="none" w:sz="0" w:space="0" w:color="auto"/>
                        <w:left w:val="none" w:sz="0" w:space="0" w:color="auto"/>
                        <w:bottom w:val="none" w:sz="0" w:space="0" w:color="auto"/>
                        <w:right w:val="none" w:sz="0" w:space="0" w:color="auto"/>
                      </w:divBdr>
                    </w:div>
                    <w:div w:id="1006901631">
                      <w:marLeft w:val="0"/>
                      <w:marRight w:val="0"/>
                      <w:marTop w:val="0"/>
                      <w:marBottom w:val="0"/>
                      <w:divBdr>
                        <w:top w:val="none" w:sz="0" w:space="0" w:color="auto"/>
                        <w:left w:val="none" w:sz="0" w:space="0" w:color="auto"/>
                        <w:bottom w:val="none" w:sz="0" w:space="0" w:color="auto"/>
                        <w:right w:val="none" w:sz="0" w:space="0" w:color="auto"/>
                      </w:divBdr>
                    </w:div>
                  </w:divsChild>
                </w:div>
                <w:div w:id="1984845639">
                  <w:marLeft w:val="0"/>
                  <w:marRight w:val="0"/>
                  <w:marTop w:val="0"/>
                  <w:marBottom w:val="0"/>
                  <w:divBdr>
                    <w:top w:val="none" w:sz="0" w:space="0" w:color="auto"/>
                    <w:left w:val="none" w:sz="0" w:space="0" w:color="auto"/>
                    <w:bottom w:val="none" w:sz="0" w:space="0" w:color="auto"/>
                    <w:right w:val="none" w:sz="0" w:space="0" w:color="auto"/>
                  </w:divBdr>
                </w:div>
                <w:div w:id="1323898042">
                  <w:marLeft w:val="0"/>
                  <w:marRight w:val="0"/>
                  <w:marTop w:val="0"/>
                  <w:marBottom w:val="0"/>
                  <w:divBdr>
                    <w:top w:val="none" w:sz="0" w:space="0" w:color="auto"/>
                    <w:left w:val="none" w:sz="0" w:space="0" w:color="auto"/>
                    <w:bottom w:val="none" w:sz="0" w:space="0" w:color="auto"/>
                    <w:right w:val="none" w:sz="0" w:space="0" w:color="auto"/>
                  </w:divBdr>
                </w:div>
                <w:div w:id="798260656">
                  <w:marLeft w:val="0"/>
                  <w:marRight w:val="0"/>
                  <w:marTop w:val="0"/>
                  <w:marBottom w:val="0"/>
                  <w:divBdr>
                    <w:top w:val="none" w:sz="0" w:space="0" w:color="auto"/>
                    <w:left w:val="none" w:sz="0" w:space="0" w:color="auto"/>
                    <w:bottom w:val="none" w:sz="0" w:space="0" w:color="auto"/>
                    <w:right w:val="none" w:sz="0" w:space="0" w:color="auto"/>
                  </w:divBdr>
                </w:div>
                <w:div w:id="1772044063">
                  <w:marLeft w:val="0"/>
                  <w:marRight w:val="0"/>
                  <w:marTop w:val="0"/>
                  <w:marBottom w:val="0"/>
                  <w:divBdr>
                    <w:top w:val="none" w:sz="0" w:space="0" w:color="auto"/>
                    <w:left w:val="none" w:sz="0" w:space="0" w:color="auto"/>
                    <w:bottom w:val="none" w:sz="0" w:space="0" w:color="auto"/>
                    <w:right w:val="none" w:sz="0" w:space="0" w:color="auto"/>
                  </w:divBdr>
                </w:div>
                <w:div w:id="450512629">
                  <w:marLeft w:val="0"/>
                  <w:marRight w:val="0"/>
                  <w:marTop w:val="0"/>
                  <w:marBottom w:val="0"/>
                  <w:divBdr>
                    <w:top w:val="none" w:sz="0" w:space="0" w:color="auto"/>
                    <w:left w:val="none" w:sz="0" w:space="0" w:color="auto"/>
                    <w:bottom w:val="none" w:sz="0" w:space="0" w:color="auto"/>
                    <w:right w:val="none" w:sz="0" w:space="0" w:color="auto"/>
                  </w:divBdr>
                </w:div>
                <w:div w:id="805582631">
                  <w:marLeft w:val="0"/>
                  <w:marRight w:val="0"/>
                  <w:marTop w:val="0"/>
                  <w:marBottom w:val="0"/>
                  <w:divBdr>
                    <w:top w:val="none" w:sz="0" w:space="0" w:color="auto"/>
                    <w:left w:val="none" w:sz="0" w:space="0" w:color="auto"/>
                    <w:bottom w:val="none" w:sz="0" w:space="0" w:color="auto"/>
                    <w:right w:val="none" w:sz="0" w:space="0" w:color="auto"/>
                  </w:divBdr>
                </w:div>
                <w:div w:id="1582449039">
                  <w:marLeft w:val="0"/>
                  <w:marRight w:val="0"/>
                  <w:marTop w:val="0"/>
                  <w:marBottom w:val="0"/>
                  <w:divBdr>
                    <w:top w:val="none" w:sz="0" w:space="0" w:color="auto"/>
                    <w:left w:val="none" w:sz="0" w:space="0" w:color="auto"/>
                    <w:bottom w:val="none" w:sz="0" w:space="0" w:color="auto"/>
                    <w:right w:val="none" w:sz="0" w:space="0" w:color="auto"/>
                  </w:divBdr>
                </w:div>
                <w:div w:id="365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3897">
          <w:marLeft w:val="0"/>
          <w:marRight w:val="0"/>
          <w:marTop w:val="200"/>
          <w:marBottom w:val="200"/>
          <w:divBdr>
            <w:top w:val="single" w:sz="8" w:space="0" w:color="000000"/>
            <w:left w:val="single" w:sz="8" w:space="0" w:color="000000"/>
            <w:bottom w:val="single" w:sz="8" w:space="0" w:color="000000"/>
            <w:right w:val="single" w:sz="8" w:space="0" w:color="000000"/>
          </w:divBdr>
          <w:divsChild>
            <w:div w:id="183446295">
              <w:marLeft w:val="0"/>
              <w:marRight w:val="0"/>
              <w:marTop w:val="0"/>
              <w:marBottom w:val="0"/>
              <w:divBdr>
                <w:top w:val="none" w:sz="0" w:space="0" w:color="auto"/>
                <w:left w:val="none" w:sz="0" w:space="0" w:color="auto"/>
                <w:bottom w:val="none" w:sz="0" w:space="0" w:color="auto"/>
                <w:right w:val="none" w:sz="0" w:space="0" w:color="auto"/>
              </w:divBdr>
            </w:div>
            <w:div w:id="1816215414">
              <w:marLeft w:val="0"/>
              <w:marRight w:val="0"/>
              <w:marTop w:val="0"/>
              <w:marBottom w:val="0"/>
              <w:divBdr>
                <w:top w:val="none" w:sz="0" w:space="0" w:color="auto"/>
                <w:left w:val="none" w:sz="0" w:space="0" w:color="auto"/>
                <w:bottom w:val="none" w:sz="0" w:space="0" w:color="auto"/>
                <w:right w:val="none" w:sz="0" w:space="0" w:color="auto"/>
              </w:divBdr>
              <w:divsChild>
                <w:div w:id="730422277">
                  <w:marLeft w:val="0"/>
                  <w:marRight w:val="0"/>
                  <w:marTop w:val="0"/>
                  <w:marBottom w:val="0"/>
                  <w:divBdr>
                    <w:top w:val="none" w:sz="0" w:space="0" w:color="auto"/>
                    <w:left w:val="none" w:sz="0" w:space="0" w:color="auto"/>
                    <w:bottom w:val="none" w:sz="0" w:space="0" w:color="auto"/>
                    <w:right w:val="none" w:sz="0" w:space="0" w:color="auto"/>
                  </w:divBdr>
                </w:div>
                <w:div w:id="1643272966">
                  <w:marLeft w:val="0"/>
                  <w:marRight w:val="0"/>
                  <w:marTop w:val="0"/>
                  <w:marBottom w:val="0"/>
                  <w:divBdr>
                    <w:top w:val="none" w:sz="0" w:space="0" w:color="auto"/>
                    <w:left w:val="none" w:sz="0" w:space="0" w:color="auto"/>
                    <w:bottom w:val="none" w:sz="0" w:space="0" w:color="auto"/>
                    <w:right w:val="none" w:sz="0" w:space="0" w:color="auto"/>
                  </w:divBdr>
                </w:div>
                <w:div w:id="466165788">
                  <w:marLeft w:val="0"/>
                  <w:marRight w:val="0"/>
                  <w:marTop w:val="0"/>
                  <w:marBottom w:val="0"/>
                  <w:divBdr>
                    <w:top w:val="none" w:sz="0" w:space="0" w:color="auto"/>
                    <w:left w:val="none" w:sz="0" w:space="0" w:color="auto"/>
                    <w:bottom w:val="none" w:sz="0" w:space="0" w:color="auto"/>
                    <w:right w:val="none" w:sz="0" w:space="0" w:color="auto"/>
                  </w:divBdr>
                </w:div>
                <w:div w:id="1804813624">
                  <w:marLeft w:val="0"/>
                  <w:marRight w:val="0"/>
                  <w:marTop w:val="0"/>
                  <w:marBottom w:val="0"/>
                  <w:divBdr>
                    <w:top w:val="none" w:sz="0" w:space="0" w:color="auto"/>
                    <w:left w:val="none" w:sz="0" w:space="0" w:color="auto"/>
                    <w:bottom w:val="none" w:sz="0" w:space="0" w:color="auto"/>
                    <w:right w:val="none" w:sz="0" w:space="0" w:color="auto"/>
                  </w:divBdr>
                </w:div>
                <w:div w:id="2138718749">
                  <w:marLeft w:val="0"/>
                  <w:marRight w:val="0"/>
                  <w:marTop w:val="0"/>
                  <w:marBottom w:val="0"/>
                  <w:divBdr>
                    <w:top w:val="none" w:sz="0" w:space="0" w:color="auto"/>
                    <w:left w:val="none" w:sz="0" w:space="0" w:color="auto"/>
                    <w:bottom w:val="none" w:sz="0" w:space="0" w:color="auto"/>
                    <w:right w:val="none" w:sz="0" w:space="0" w:color="auto"/>
                  </w:divBdr>
                </w:div>
                <w:div w:id="2134978130">
                  <w:marLeft w:val="0"/>
                  <w:marRight w:val="0"/>
                  <w:marTop w:val="0"/>
                  <w:marBottom w:val="0"/>
                  <w:divBdr>
                    <w:top w:val="none" w:sz="0" w:space="0" w:color="auto"/>
                    <w:left w:val="none" w:sz="0" w:space="0" w:color="auto"/>
                    <w:bottom w:val="none" w:sz="0" w:space="0" w:color="auto"/>
                    <w:right w:val="none" w:sz="0" w:space="0" w:color="auto"/>
                  </w:divBdr>
                </w:div>
                <w:div w:id="229577305">
                  <w:marLeft w:val="0"/>
                  <w:marRight w:val="0"/>
                  <w:marTop w:val="0"/>
                  <w:marBottom w:val="0"/>
                  <w:divBdr>
                    <w:top w:val="none" w:sz="0" w:space="0" w:color="auto"/>
                    <w:left w:val="none" w:sz="0" w:space="0" w:color="auto"/>
                    <w:bottom w:val="none" w:sz="0" w:space="0" w:color="auto"/>
                    <w:right w:val="none" w:sz="0" w:space="0" w:color="auto"/>
                  </w:divBdr>
                </w:div>
                <w:div w:id="2103799897">
                  <w:marLeft w:val="0"/>
                  <w:marRight w:val="0"/>
                  <w:marTop w:val="0"/>
                  <w:marBottom w:val="0"/>
                  <w:divBdr>
                    <w:top w:val="none" w:sz="0" w:space="0" w:color="auto"/>
                    <w:left w:val="none" w:sz="0" w:space="0" w:color="auto"/>
                    <w:bottom w:val="none" w:sz="0" w:space="0" w:color="auto"/>
                    <w:right w:val="none" w:sz="0" w:space="0" w:color="auto"/>
                  </w:divBdr>
                </w:div>
                <w:div w:id="987133181">
                  <w:marLeft w:val="0"/>
                  <w:marRight w:val="0"/>
                  <w:marTop w:val="0"/>
                  <w:marBottom w:val="0"/>
                  <w:divBdr>
                    <w:top w:val="none" w:sz="0" w:space="0" w:color="auto"/>
                    <w:left w:val="none" w:sz="0" w:space="0" w:color="auto"/>
                    <w:bottom w:val="none" w:sz="0" w:space="0" w:color="auto"/>
                    <w:right w:val="none" w:sz="0" w:space="0" w:color="auto"/>
                  </w:divBdr>
                </w:div>
                <w:div w:id="1066488103">
                  <w:marLeft w:val="0"/>
                  <w:marRight w:val="0"/>
                  <w:marTop w:val="0"/>
                  <w:marBottom w:val="0"/>
                  <w:divBdr>
                    <w:top w:val="none" w:sz="0" w:space="0" w:color="auto"/>
                    <w:left w:val="none" w:sz="0" w:space="0" w:color="auto"/>
                    <w:bottom w:val="none" w:sz="0" w:space="0" w:color="auto"/>
                    <w:right w:val="none" w:sz="0" w:space="0" w:color="auto"/>
                  </w:divBdr>
                </w:div>
                <w:div w:id="1810245834">
                  <w:marLeft w:val="0"/>
                  <w:marRight w:val="0"/>
                  <w:marTop w:val="0"/>
                  <w:marBottom w:val="0"/>
                  <w:divBdr>
                    <w:top w:val="none" w:sz="0" w:space="0" w:color="auto"/>
                    <w:left w:val="none" w:sz="0" w:space="0" w:color="auto"/>
                    <w:bottom w:val="none" w:sz="0" w:space="0" w:color="auto"/>
                    <w:right w:val="none" w:sz="0" w:space="0" w:color="auto"/>
                  </w:divBdr>
                </w:div>
                <w:div w:id="17708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1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2025</Words>
  <Characters>11549</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worknbde</dc:creator>
  <cp:lastModifiedBy>Precuchova Georgina</cp:lastModifiedBy>
  <cp:revision>4</cp:revision>
  <cp:lastPrinted>2023-07-11T09:16:00Z</cp:lastPrinted>
  <dcterms:created xsi:type="dcterms:W3CDTF">2023-11-27T08:56:00Z</dcterms:created>
  <dcterms:modified xsi:type="dcterms:W3CDTF">2023-12-07T13:08:00Z</dcterms:modified>
</cp:coreProperties>
</file>