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7C7B" w14:textId="1725C777" w:rsidR="00BE5248" w:rsidRPr="004511A2" w:rsidRDefault="00A36E30" w:rsidP="00BE5248">
      <w:pPr>
        <w:widowControl w:val="0"/>
        <w:adjustRightInd w:val="0"/>
        <w:spacing w:after="0" w:line="240" w:lineRule="auto"/>
        <w:jc w:val="center"/>
        <w:rPr>
          <w:rFonts w:ascii="Times New Roman" w:eastAsia="Times New Roman" w:hAnsi="Times New Roman" w:cs="Times New Roman"/>
          <w:b/>
        </w:rPr>
      </w:pPr>
      <w:r w:rsidRPr="004511A2">
        <w:rPr>
          <w:rFonts w:ascii="Times New Roman" w:eastAsia="Times New Roman" w:hAnsi="Times New Roman" w:cs="Times New Roman"/>
          <w:b/>
        </w:rPr>
        <w:t>VYHLÁSENIE O ROZPOROCH</w:t>
      </w:r>
    </w:p>
    <w:p w14:paraId="5E10C1B0" w14:textId="77777777" w:rsidR="00BE5248" w:rsidRPr="004511A2" w:rsidRDefault="00BE5248" w:rsidP="00BE5248">
      <w:pPr>
        <w:widowControl w:val="0"/>
        <w:adjustRightInd w:val="0"/>
        <w:spacing w:after="0" w:line="240" w:lineRule="auto"/>
        <w:jc w:val="center"/>
        <w:rPr>
          <w:rFonts w:ascii="Times New Roman" w:eastAsia="Times New Roman" w:hAnsi="Times New Roman" w:cs="Times New Roman"/>
          <w:b/>
          <w:caps/>
          <w:sz w:val="20"/>
          <w:szCs w:val="20"/>
        </w:rPr>
      </w:pPr>
    </w:p>
    <w:p w14:paraId="2E78747E" w14:textId="57A2FBDE" w:rsidR="00885DE8" w:rsidRPr="004511A2" w:rsidRDefault="00BE5248" w:rsidP="00BE5248">
      <w:pPr>
        <w:widowControl w:val="0"/>
        <w:spacing w:after="0" w:line="240" w:lineRule="auto"/>
        <w:ind w:firstLine="567"/>
        <w:jc w:val="both"/>
        <w:rPr>
          <w:rFonts w:ascii="Times New Roman" w:hAnsi="Times New Roman" w:cs="Times New Roman"/>
          <w:sz w:val="20"/>
          <w:szCs w:val="20"/>
        </w:rPr>
      </w:pPr>
      <w:r w:rsidRPr="004511A2">
        <w:rPr>
          <w:rFonts w:ascii="Times New Roman" w:hAnsi="Times New Roman" w:cs="Times New Roman"/>
          <w:sz w:val="20"/>
          <w:szCs w:val="20"/>
        </w:rPr>
        <w:t xml:space="preserve">Návrh </w:t>
      </w:r>
      <w:r w:rsidR="00885DE8" w:rsidRPr="004511A2">
        <w:rPr>
          <w:rFonts w:ascii="Times New Roman" w:hAnsi="Times New Roman" w:cs="Times New Roman"/>
          <w:sz w:val="20"/>
          <w:szCs w:val="20"/>
        </w:rPr>
        <w:t>nariadenia vlády Slovenskej republiky z .... 2023, ktorým sa mení a dopĺňa nariadenie vlády Slovenskej republiky č. 436/2022 Z. z., ktorým sa ustanovujú pravidlá poskytovania podpory v poľnohospodárstve formou priamych platieb v znení nariadenia vlády Slovenskej republiky č. 121/2023 Z. z. sa predkladá s týmito rozpormi so Slovenskou poľnohospodárskou a potravinárskou komorou (SPPK) a Združením mladých farmárov Slovenska (ASYF):</w:t>
      </w:r>
    </w:p>
    <w:p w14:paraId="22A5562E" w14:textId="27BB7640" w:rsidR="00885DE8" w:rsidRPr="004511A2" w:rsidRDefault="00885DE8" w:rsidP="00885DE8">
      <w:pPr>
        <w:widowControl w:val="0"/>
        <w:spacing w:after="0" w:line="240" w:lineRule="auto"/>
        <w:jc w:val="both"/>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00"/>
        <w:gridCol w:w="5912"/>
        <w:gridCol w:w="748"/>
        <w:gridCol w:w="895"/>
        <w:gridCol w:w="5033"/>
      </w:tblGrid>
      <w:tr w:rsidR="00127462" w:rsidRPr="004511A2" w14:paraId="09A52EB8" w14:textId="77777777" w:rsidTr="006502CA">
        <w:trPr>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E9399EB"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Subjekt</w:t>
            </w:r>
          </w:p>
        </w:tc>
        <w:tc>
          <w:tcPr>
            <w:tcW w:w="2113" w:type="pct"/>
            <w:tcBorders>
              <w:top w:val="outset" w:sz="6" w:space="0" w:color="000000"/>
              <w:left w:val="outset" w:sz="6" w:space="0" w:color="000000"/>
              <w:bottom w:val="outset" w:sz="6" w:space="0" w:color="000000"/>
              <w:right w:val="outset" w:sz="6" w:space="0" w:color="000000"/>
            </w:tcBorders>
            <w:vAlign w:val="center"/>
            <w:hideMark/>
          </w:tcPr>
          <w:p w14:paraId="1F8481A6"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Pripomienka</w:t>
            </w:r>
          </w:p>
        </w:tc>
        <w:tc>
          <w:tcPr>
            <w:tcW w:w="267" w:type="pct"/>
            <w:tcBorders>
              <w:top w:val="outset" w:sz="6" w:space="0" w:color="000000"/>
              <w:left w:val="outset" w:sz="6" w:space="0" w:color="000000"/>
              <w:bottom w:val="outset" w:sz="6" w:space="0" w:color="000000"/>
              <w:right w:val="outset" w:sz="6" w:space="0" w:color="000000"/>
            </w:tcBorders>
            <w:vAlign w:val="center"/>
            <w:hideMark/>
          </w:tcPr>
          <w:p w14:paraId="396E7667"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Typ</w:t>
            </w:r>
          </w:p>
        </w:tc>
        <w:tc>
          <w:tcPr>
            <w:tcW w:w="320" w:type="pct"/>
            <w:tcBorders>
              <w:top w:val="outset" w:sz="6" w:space="0" w:color="000000"/>
              <w:left w:val="outset" w:sz="6" w:space="0" w:color="000000"/>
              <w:bottom w:val="outset" w:sz="6" w:space="0" w:color="000000"/>
              <w:right w:val="outset" w:sz="6" w:space="0" w:color="000000"/>
            </w:tcBorders>
            <w:vAlign w:val="center"/>
            <w:hideMark/>
          </w:tcPr>
          <w:p w14:paraId="5DC110A1"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Vyh.</w:t>
            </w:r>
          </w:p>
        </w:tc>
        <w:tc>
          <w:tcPr>
            <w:tcW w:w="1799" w:type="pct"/>
            <w:tcBorders>
              <w:top w:val="outset" w:sz="6" w:space="0" w:color="000000"/>
              <w:left w:val="outset" w:sz="6" w:space="0" w:color="000000"/>
              <w:bottom w:val="outset" w:sz="6" w:space="0" w:color="000000"/>
              <w:right w:val="outset" w:sz="6" w:space="0" w:color="000000"/>
            </w:tcBorders>
            <w:vAlign w:val="center"/>
            <w:hideMark/>
          </w:tcPr>
          <w:p w14:paraId="52A7C7B4"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Spôsob vyhodnotenia</w:t>
            </w:r>
          </w:p>
        </w:tc>
      </w:tr>
      <w:tr w:rsidR="00127462" w:rsidRPr="004511A2" w14:paraId="2AC87854" w14:textId="77777777" w:rsidTr="006502CA">
        <w:trPr>
          <w:jc w:val="center"/>
        </w:trPr>
        <w:tc>
          <w:tcPr>
            <w:tcW w:w="500" w:type="pct"/>
            <w:tcBorders>
              <w:top w:val="outset" w:sz="6" w:space="0" w:color="000000"/>
              <w:left w:val="outset" w:sz="6" w:space="0" w:color="000000"/>
              <w:bottom w:val="outset" w:sz="6" w:space="0" w:color="000000"/>
              <w:right w:val="outset" w:sz="6" w:space="0" w:color="000000"/>
            </w:tcBorders>
            <w:hideMark/>
          </w:tcPr>
          <w:p w14:paraId="20FDF2A8"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ASYF</w:t>
            </w:r>
          </w:p>
        </w:tc>
        <w:tc>
          <w:tcPr>
            <w:tcW w:w="2113" w:type="pct"/>
            <w:tcBorders>
              <w:top w:val="outset" w:sz="6" w:space="0" w:color="000000"/>
              <w:left w:val="outset" w:sz="6" w:space="0" w:color="000000"/>
              <w:bottom w:val="outset" w:sz="6" w:space="0" w:color="000000"/>
              <w:right w:val="outset" w:sz="6" w:space="0" w:color="000000"/>
            </w:tcBorders>
            <w:hideMark/>
          </w:tcPr>
          <w:p w14:paraId="4952D825" w14:textId="77777777" w:rsidR="00127462" w:rsidRPr="004511A2" w:rsidRDefault="00127462" w:rsidP="006502CA">
            <w:pPr>
              <w:rPr>
                <w:rFonts w:ascii="Times New Roman" w:hAnsi="Times New Roman" w:cs="Times New Roman"/>
                <w:b/>
                <w:bCs/>
                <w:sz w:val="20"/>
                <w:szCs w:val="20"/>
              </w:rPr>
            </w:pPr>
            <w:r w:rsidRPr="004511A2">
              <w:rPr>
                <w:rFonts w:ascii="Times New Roman" w:hAnsi="Times New Roman" w:cs="Times New Roman"/>
                <w:b/>
                <w:bCs/>
                <w:sz w:val="20"/>
                <w:szCs w:val="20"/>
              </w:rPr>
              <w:t>§ 11 ods. 1 písm.d) zásadná pripomienka:</w:t>
            </w:r>
          </w:p>
          <w:p w14:paraId="0A3AD75D"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V § 11 ods.1 písm. d) navrhujeme následovne: "§18, pričom plocha na neskoršie kosenie musí byť najmenej 3% výmery trvalého trávneho porastu." Odôvodnenie: Máme za to, že neskoré kosenie necháva príležitosť rozširovaniu burín, rôznych bodliakov a pod. Na hniezdenie vtáctva je 3% podiel postačujúci.</w:t>
            </w:r>
          </w:p>
        </w:tc>
        <w:tc>
          <w:tcPr>
            <w:tcW w:w="267" w:type="pct"/>
            <w:tcBorders>
              <w:top w:val="outset" w:sz="6" w:space="0" w:color="000000"/>
              <w:left w:val="outset" w:sz="6" w:space="0" w:color="000000"/>
              <w:bottom w:val="outset" w:sz="6" w:space="0" w:color="000000"/>
              <w:right w:val="outset" w:sz="6" w:space="0" w:color="000000"/>
            </w:tcBorders>
            <w:vAlign w:val="center"/>
            <w:hideMark/>
          </w:tcPr>
          <w:p w14:paraId="0E64CF0C"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O</w:t>
            </w:r>
          </w:p>
        </w:tc>
        <w:tc>
          <w:tcPr>
            <w:tcW w:w="320" w:type="pct"/>
            <w:tcBorders>
              <w:top w:val="outset" w:sz="6" w:space="0" w:color="000000"/>
              <w:left w:val="outset" w:sz="6" w:space="0" w:color="000000"/>
              <w:bottom w:val="outset" w:sz="6" w:space="0" w:color="000000"/>
              <w:right w:val="outset" w:sz="6" w:space="0" w:color="000000"/>
            </w:tcBorders>
            <w:vAlign w:val="center"/>
            <w:hideMark/>
          </w:tcPr>
          <w:p w14:paraId="4C67C50B"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N</w:t>
            </w:r>
          </w:p>
        </w:tc>
        <w:tc>
          <w:tcPr>
            <w:tcW w:w="1799" w:type="pct"/>
            <w:tcBorders>
              <w:top w:val="outset" w:sz="6" w:space="0" w:color="000000"/>
              <w:left w:val="outset" w:sz="6" w:space="0" w:color="000000"/>
              <w:bottom w:val="outset" w:sz="6" w:space="0" w:color="000000"/>
              <w:right w:val="outset" w:sz="6" w:space="0" w:color="000000"/>
            </w:tcBorders>
            <w:vAlign w:val="center"/>
            <w:hideMark/>
          </w:tcPr>
          <w:p w14:paraId="43FF0DFD"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 xml:space="preserve">Pripomienka je nad rámec predkladanej novely nariadenie vlády Slovenskej republiky č. 436/2022 Z. z. a vecne nesúvisí s jej obsahom. 3% výmery trvalého trávneho porastu namiesto v súčasnosti platných 15 % si vyžaduje odborné posúdenie a druhú modifikáciu Strategického plánu Spoločnej poľnohospodárskej politiky 2023 – 2027 (ďalej len „SP SPP 2023 – 2027“). Je nevyhnutné objektívne posúdenie, do akej miery dochádza k rozširovaniu burín a akej výmery poľnohospodárskej plochy sa to týka. Vytvorenie menšieho množstva plôch kosených v neskoršom termíne by mohlo spôsobiť vyššiu mortalitu ohrozených druhov vtáctva a hmyzu. Kosenie trvalo trávnatého porastu (ďalej len „TTP“) v neskoršom termíne na plochách, kde sa vyskytovali napríklad ohrozené druhy vtáctva bolo potrebné vykonať, ak tak rozhodol štátny orgán ochrany prírody a krajiny (okresný úrad) aj v minulom programovom období. Podmienky celoformovej eko-schémy presahujú rámec minimálnych požiadaviek na obhospodarovania TTP. V prípade nedostatočného rozdielu medzi obhospodarovaním TTP v zmysle podmienok základnej podpory príjmu v záujme udržateľnosti a postupov prospešných pre klímu a životné prostredie, nie je možné splniť podmienky ukazovateľov výsledkov SP SPP 2023 – 2027 v rámci podielu využívanej poľnohospodárskej plochy na podporu obnovy biodiverzity. Túto požiadavku je možné predložiť v návrhu na druhú modifikáciu SP SPP 2023 – 2027 prostredníctvom pracovnej skupiny pre eko-schémy, ktorá bude zasadať v priebehu začiatku roka 2024. Problematika </w:t>
            </w:r>
            <w:r w:rsidRPr="004511A2">
              <w:rPr>
                <w:rFonts w:ascii="Times New Roman" w:hAnsi="Times New Roman" w:cs="Times New Roman"/>
                <w:sz w:val="20"/>
                <w:szCs w:val="20"/>
              </w:rPr>
              <w:lastRenderedPageBreak/>
              <w:t xml:space="preserve">výmery trvalého trávneho porastu určeného na neskoršie kosenie bola na rozporovom konaní dňa 4.12. 2023 s ASYF otvorená a prediskutovaná. ASYF trvá na zásadnej pripomienke. Rozpor trvá. </w:t>
            </w:r>
          </w:p>
        </w:tc>
      </w:tr>
      <w:tr w:rsidR="00127462" w:rsidRPr="004511A2" w14:paraId="0E44CEB2" w14:textId="77777777" w:rsidTr="006502CA">
        <w:trPr>
          <w:jc w:val="center"/>
        </w:trPr>
        <w:tc>
          <w:tcPr>
            <w:tcW w:w="500" w:type="pct"/>
            <w:tcBorders>
              <w:top w:val="outset" w:sz="6" w:space="0" w:color="000000"/>
              <w:left w:val="outset" w:sz="6" w:space="0" w:color="000000"/>
              <w:bottom w:val="outset" w:sz="6" w:space="0" w:color="000000"/>
              <w:right w:val="outset" w:sz="6" w:space="0" w:color="000000"/>
            </w:tcBorders>
            <w:hideMark/>
          </w:tcPr>
          <w:p w14:paraId="67BD0B0D"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lastRenderedPageBreak/>
              <w:t>ASYF</w:t>
            </w:r>
          </w:p>
        </w:tc>
        <w:tc>
          <w:tcPr>
            <w:tcW w:w="2113" w:type="pct"/>
            <w:tcBorders>
              <w:top w:val="outset" w:sz="6" w:space="0" w:color="000000"/>
              <w:left w:val="outset" w:sz="6" w:space="0" w:color="000000"/>
              <w:bottom w:val="outset" w:sz="6" w:space="0" w:color="000000"/>
              <w:right w:val="outset" w:sz="6" w:space="0" w:color="000000"/>
            </w:tcBorders>
            <w:hideMark/>
          </w:tcPr>
          <w:p w14:paraId="5A5DD813" w14:textId="77777777" w:rsidR="00127462" w:rsidRPr="004511A2" w:rsidRDefault="00127462" w:rsidP="006502CA">
            <w:pPr>
              <w:jc w:val="both"/>
              <w:rPr>
                <w:rFonts w:ascii="Times New Roman" w:hAnsi="Times New Roman" w:cs="Times New Roman"/>
                <w:b/>
                <w:bCs/>
                <w:sz w:val="20"/>
                <w:szCs w:val="20"/>
              </w:rPr>
            </w:pPr>
            <w:r w:rsidRPr="004511A2">
              <w:rPr>
                <w:rFonts w:ascii="Times New Roman" w:hAnsi="Times New Roman" w:cs="Times New Roman"/>
                <w:b/>
                <w:bCs/>
                <w:sz w:val="20"/>
                <w:szCs w:val="20"/>
              </w:rPr>
              <w:t>§ 22 ods. 7 zásadná pripomienka:</w:t>
            </w:r>
          </w:p>
          <w:p w14:paraId="5D372F63"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 xml:space="preserve">V zmysle pripomienky predkladateľ uvažuje o počte dojníc, na ktoré je možné žiadať podporu pastevného chovu. Máme za to, že z navrhovaného textu nie je zrejmé, či môže žiadateľ žiadať aj na dojnice, ktoré sa v priebehu obdobia pasenia otelia, preto navrhujeme pôvodný text: "„(7) Podpora pastevného chovu sa poskytne na počet dojníc evidovaných v registri v období podľa odseku 1, ktorých držiteľom je prijímateľ, a ktoré sú uvedené v žiadosti, po prepočte na dobytčie jednotky. Prepočet počtu dojníc na dobytčie jednotky sa vykoná prostredníctvom koeficientov podľa prílohy č. 5 a zaokrúhľuje sa na dve desatinné miesta nadol. Prijímateľ môže v období podľa odseku 1 nahradiť dojnicu inou dojnicou najneskôr v deň premiestnenia mimo chovu. Pri dočasnom premiestnení dojnice v trvaní najviac 14 dní do iného chovu na účel výstavy alebo súťaže, prijímateľ dojnicu nenahrádza.“. Upraviť následovne: „(7) Podpora pastevného chovu sa poskytne na počet dojníc evidovaných v centrálnom registri hospodárskych zvierat v období podľa odseku 1, ktorých držiteľom je prijímateľ, a ktoré sú uvedené v žiadosti, po prepočte na dobytčie jednotky. V žiadosti je možné uviesť zvieratá, ktoré pri podaní žiadosti ešte neboli dojnicami, no predpokladá sa, že v období pasenia sa otelením dojnicami stanú a ich počet pasených dní bude v súlade s odsekom 1. Prepočet počtu dojníc na dobytčie jednotky sa vykoná prostredníctvom koeficientov podľa prílohy č. 5 a zaokrúhľuje sa na dve desatinné miesta nadol. Prijímateľ môže v období podľa odseku 1 nahradiť dojnicu inou dojnicou najneskôr v deň premiestnenia mimo chovu. Pri dočasnom premiestnení dojnice v trvaní najviac 14 dní do iného chovu na účel výstavy alebo súťaže, prijímateľ dojnicu </w:t>
            </w:r>
            <w:r w:rsidRPr="004511A2">
              <w:rPr>
                <w:rFonts w:ascii="Times New Roman" w:hAnsi="Times New Roman" w:cs="Times New Roman"/>
                <w:sz w:val="20"/>
                <w:szCs w:val="20"/>
              </w:rPr>
              <w:lastRenderedPageBreak/>
              <w:t>nenahrádza.“.</w:t>
            </w:r>
          </w:p>
        </w:tc>
        <w:tc>
          <w:tcPr>
            <w:tcW w:w="267" w:type="pct"/>
            <w:tcBorders>
              <w:top w:val="outset" w:sz="6" w:space="0" w:color="000000"/>
              <w:left w:val="outset" w:sz="6" w:space="0" w:color="000000"/>
              <w:bottom w:val="outset" w:sz="6" w:space="0" w:color="000000"/>
              <w:right w:val="outset" w:sz="6" w:space="0" w:color="000000"/>
            </w:tcBorders>
            <w:vAlign w:val="center"/>
            <w:hideMark/>
          </w:tcPr>
          <w:p w14:paraId="2921C4AE"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lastRenderedPageBreak/>
              <w:t>O</w:t>
            </w:r>
          </w:p>
        </w:tc>
        <w:tc>
          <w:tcPr>
            <w:tcW w:w="320" w:type="pct"/>
            <w:tcBorders>
              <w:top w:val="outset" w:sz="6" w:space="0" w:color="000000"/>
              <w:left w:val="outset" w:sz="6" w:space="0" w:color="000000"/>
              <w:bottom w:val="outset" w:sz="6" w:space="0" w:color="000000"/>
              <w:right w:val="outset" w:sz="6" w:space="0" w:color="000000"/>
            </w:tcBorders>
            <w:vAlign w:val="center"/>
            <w:hideMark/>
          </w:tcPr>
          <w:p w14:paraId="0F830747"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N</w:t>
            </w:r>
          </w:p>
        </w:tc>
        <w:tc>
          <w:tcPr>
            <w:tcW w:w="1799" w:type="pct"/>
            <w:tcBorders>
              <w:top w:val="outset" w:sz="6" w:space="0" w:color="000000"/>
              <w:left w:val="outset" w:sz="6" w:space="0" w:color="000000"/>
              <w:bottom w:val="outset" w:sz="6" w:space="0" w:color="000000"/>
              <w:right w:val="outset" w:sz="6" w:space="0" w:color="000000"/>
            </w:tcBorders>
            <w:hideMark/>
          </w:tcPr>
          <w:p w14:paraId="30BAEDE2"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Podľa platného znenia tohto nariadenia č. 436/2022 Z. z. „dojnicou je samica hovädzieho dobytka s evidovaným príslušným úžitkovým zameraním vhodná na produkciu mlieka na trhové účely, ktorá sa aspoň raz otelila, okrem zvierat s čistým podielom plemena mäsového typu podľa prílohy č. 1“. Prijímateľ nemôže žiadať o podporu na zvieratá, ktoré nie sú dojnicami, ináč by došlo k porušeniu podmienok stanovených pre podporu pastevného chovu ustanovených v nariadená vlády č. 436/2022 Z. z. a SP SPP 2023 – 2027. Ako náhradu dojnice zahrnutej do žiadosti je možné využiť jalovicu, ktorá sa otelila počas pastevného obdobia. Problematika k § 22 ods. 7 vo vzťahu k dojniciam bola na rozporovom konaní dňa 4.12. 2023 s ASYF otvorená a prediskutovaná. ASYF trvá na zásadnej pripomienke. Rozpor trvá.</w:t>
            </w:r>
          </w:p>
        </w:tc>
      </w:tr>
      <w:tr w:rsidR="00127462" w:rsidRPr="004511A2" w14:paraId="364EFCA7" w14:textId="77777777" w:rsidTr="006502CA">
        <w:trPr>
          <w:jc w:val="center"/>
        </w:trPr>
        <w:tc>
          <w:tcPr>
            <w:tcW w:w="500" w:type="pct"/>
            <w:tcBorders>
              <w:top w:val="outset" w:sz="6" w:space="0" w:color="000000"/>
              <w:left w:val="outset" w:sz="6" w:space="0" w:color="000000"/>
              <w:bottom w:val="outset" w:sz="6" w:space="0" w:color="000000"/>
              <w:right w:val="outset" w:sz="6" w:space="0" w:color="000000"/>
            </w:tcBorders>
            <w:hideMark/>
          </w:tcPr>
          <w:p w14:paraId="1B06EF5F"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SPPK</w:t>
            </w:r>
          </w:p>
        </w:tc>
        <w:tc>
          <w:tcPr>
            <w:tcW w:w="2113" w:type="pct"/>
            <w:tcBorders>
              <w:top w:val="outset" w:sz="6" w:space="0" w:color="000000"/>
              <w:left w:val="outset" w:sz="6" w:space="0" w:color="000000"/>
              <w:bottom w:val="outset" w:sz="6" w:space="0" w:color="000000"/>
              <w:right w:val="outset" w:sz="6" w:space="0" w:color="000000"/>
            </w:tcBorders>
            <w:hideMark/>
          </w:tcPr>
          <w:p w14:paraId="7419CA2D" w14:textId="77777777" w:rsidR="00127462" w:rsidRPr="004511A2" w:rsidRDefault="00127462" w:rsidP="006502CA">
            <w:pPr>
              <w:rPr>
                <w:rFonts w:ascii="Times New Roman" w:hAnsi="Times New Roman" w:cs="Times New Roman"/>
                <w:b/>
                <w:bCs/>
                <w:sz w:val="20"/>
                <w:szCs w:val="20"/>
              </w:rPr>
            </w:pPr>
            <w:r w:rsidRPr="004511A2">
              <w:rPr>
                <w:rFonts w:ascii="Times New Roman" w:hAnsi="Times New Roman" w:cs="Times New Roman"/>
                <w:b/>
                <w:bCs/>
                <w:sz w:val="20"/>
                <w:szCs w:val="20"/>
              </w:rPr>
              <w:t>K celému materiálu:</w:t>
            </w:r>
          </w:p>
          <w:p w14:paraId="1C6E292B"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Navrhujeme všetky plodiny (botanické druhy) uvedené v predloženom materiály uvádzať správnymi botanickými a latinskými názvami. Odôvodnenie: niektoré druhy majú nesprávne botanické označenie.</w:t>
            </w:r>
          </w:p>
        </w:tc>
        <w:tc>
          <w:tcPr>
            <w:tcW w:w="267" w:type="pct"/>
            <w:tcBorders>
              <w:top w:val="outset" w:sz="6" w:space="0" w:color="000000"/>
              <w:left w:val="outset" w:sz="6" w:space="0" w:color="000000"/>
              <w:bottom w:val="outset" w:sz="6" w:space="0" w:color="000000"/>
              <w:right w:val="outset" w:sz="6" w:space="0" w:color="000000"/>
            </w:tcBorders>
            <w:vAlign w:val="center"/>
            <w:hideMark/>
          </w:tcPr>
          <w:p w14:paraId="492E242C"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Z</w:t>
            </w:r>
          </w:p>
        </w:tc>
        <w:tc>
          <w:tcPr>
            <w:tcW w:w="320" w:type="pct"/>
            <w:tcBorders>
              <w:top w:val="outset" w:sz="6" w:space="0" w:color="000000"/>
              <w:left w:val="outset" w:sz="6" w:space="0" w:color="000000"/>
              <w:bottom w:val="outset" w:sz="6" w:space="0" w:color="000000"/>
              <w:right w:val="outset" w:sz="6" w:space="0" w:color="000000"/>
            </w:tcBorders>
            <w:vAlign w:val="center"/>
            <w:hideMark/>
          </w:tcPr>
          <w:p w14:paraId="0A2E85C1"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ČA</w:t>
            </w:r>
          </w:p>
        </w:tc>
        <w:tc>
          <w:tcPr>
            <w:tcW w:w="1799" w:type="pct"/>
            <w:tcBorders>
              <w:top w:val="outset" w:sz="6" w:space="0" w:color="000000"/>
              <w:left w:val="outset" w:sz="6" w:space="0" w:color="000000"/>
              <w:bottom w:val="outset" w:sz="6" w:space="0" w:color="000000"/>
              <w:right w:val="outset" w:sz="6" w:space="0" w:color="000000"/>
            </w:tcBorders>
            <w:vAlign w:val="center"/>
            <w:hideMark/>
          </w:tcPr>
          <w:p w14:paraId="35CDE174"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 xml:space="preserve">Zoznam druhov plodín bol upravený na správne botanické názvoslovie druhov plodín tak, aby zodpovedal zoznamu druhov plodín podľa botanických názvov vedených Ústredným kontrolným a skúšobným ústavom poľnohospodárskym v Bratislave (ďalej len „kontrolný ústav“). Poľnohospodár pri preukazovaní požiadaviek na účely získania podpory formou celofarmovej eko-schémy vypĺňa deklaráciu, v ktorej sú plodiny vybrané zo zoznamu plodín Pôdohospodárskej platobnej agentúry (PPA) v slovenčine. Zoznam Pôdohospodárskej platobnej agentúry neobsahuje pomenovanie druhov plodín v latinčine. V prípade názvu plodiny, ktorej názov je v slovenskom jazyku nejednoznačný, v metodickom usmernení MPRV SR k nariadeniu vlády Slovenskej republiky č. 436/2022 Z. z., ktorým sa ustanovujú pravidlá poskytovania podpory v poľnohospodárstve formou priamych platieb v znení nariadenia vlády Slovenskej republiky č. 121/2023 Z. z. (ďalej len „nariadenie vlády č. 436/2022 Z. z.“) bude uvedený aj jej názov v latinskom jazyku za účelom eliminovania problémov pri deklarovaní plodiny. Takisto v metodickom usmernení bude spresnenie názvoslovia druhov plodín podľa číselníka plodín Pôdohospodárskej platobnej agentúry. Problematika doplnenia zoznamu o ďalšie druhy plodín na účely pojmu „slamy“ bude predmetom diskusie s kontrolným ústavom a v prípade potreby predmetom novely tohto nariadenia. SPPK na rozporovom konaní dňa 4.12.2023 upozornila na možný nie úplný súlad, resp. pokrytie názvoslovia kontrolného ústavu so správnymi botanickými a odbornými názvami a zároveň, s číselníkom plodín PPA. Príkladom je v legislatíve priamych, resp. neprojektových podpôr nesprávne implementovaný názov plodiny „čučoriedka“ alebo „lesknica“. Tieto „terminológie“ je potrebné zosúladiť a zjednodušiť tak </w:t>
            </w:r>
            <w:r w:rsidRPr="004511A2">
              <w:rPr>
                <w:rFonts w:ascii="Times New Roman" w:hAnsi="Times New Roman" w:cs="Times New Roman"/>
                <w:sz w:val="20"/>
                <w:szCs w:val="20"/>
              </w:rPr>
              <w:lastRenderedPageBreak/>
              <w:t xml:space="preserve">činnosť príslušných inštitúcií vrátane MPRV SR, PPA, ÚKSÚP a žiadateľov o priame a neprojektové podpory. Vo vzťahu k správnemu označovaniu plodín upozornenie SPPK bude komunikované a posunuté vecne príslušnému odboru a organizáciám MPRV SR Problematika názvoslovia druhov plodín určených na účely aplikovania slamy podľa § 13 nariadenia vlády č. 436/2022 Z. z. bola na rozporovom konaní dňa 4.12. 2023 s SPPK otvorená a prediskutovaná. SPPK trvá na zásadnej pripomienke. Rozpor trvá. </w:t>
            </w:r>
          </w:p>
        </w:tc>
      </w:tr>
      <w:tr w:rsidR="00127462" w:rsidRPr="004511A2" w14:paraId="3BC02861" w14:textId="77777777" w:rsidTr="006502CA">
        <w:trPr>
          <w:jc w:val="center"/>
        </w:trPr>
        <w:tc>
          <w:tcPr>
            <w:tcW w:w="500" w:type="pct"/>
            <w:tcBorders>
              <w:top w:val="outset" w:sz="6" w:space="0" w:color="000000"/>
              <w:left w:val="outset" w:sz="6" w:space="0" w:color="000000"/>
              <w:bottom w:val="outset" w:sz="6" w:space="0" w:color="000000"/>
              <w:right w:val="outset" w:sz="6" w:space="0" w:color="000000"/>
            </w:tcBorders>
            <w:hideMark/>
          </w:tcPr>
          <w:p w14:paraId="0F3F6086"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SPPK</w:t>
            </w:r>
          </w:p>
        </w:tc>
        <w:tc>
          <w:tcPr>
            <w:tcW w:w="2113" w:type="pct"/>
            <w:tcBorders>
              <w:top w:val="outset" w:sz="6" w:space="0" w:color="000000"/>
              <w:left w:val="outset" w:sz="6" w:space="0" w:color="000000"/>
              <w:bottom w:val="outset" w:sz="6" w:space="0" w:color="000000"/>
              <w:right w:val="outset" w:sz="6" w:space="0" w:color="000000"/>
            </w:tcBorders>
            <w:hideMark/>
          </w:tcPr>
          <w:p w14:paraId="0D669D98" w14:textId="77777777" w:rsidR="00127462" w:rsidRPr="004511A2" w:rsidRDefault="00127462" w:rsidP="006502CA">
            <w:pPr>
              <w:rPr>
                <w:rFonts w:ascii="Times New Roman" w:hAnsi="Times New Roman" w:cs="Times New Roman"/>
                <w:b/>
                <w:bCs/>
                <w:sz w:val="20"/>
                <w:szCs w:val="20"/>
              </w:rPr>
            </w:pPr>
            <w:r w:rsidRPr="004511A2">
              <w:rPr>
                <w:rFonts w:ascii="Times New Roman" w:hAnsi="Times New Roman" w:cs="Times New Roman"/>
                <w:b/>
                <w:bCs/>
                <w:sz w:val="20"/>
                <w:szCs w:val="20"/>
              </w:rPr>
              <w:t>K § 13 ods. 3:</w:t>
            </w:r>
          </w:p>
          <w:p w14:paraId="34B88A70"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V § 13 ods. 3 vetu „Zmes medziplodín musí byť na ploche podľa odseku 1 prítomná najmenej desať týždňov od výsevu.“ navrhujeme nahradiť nasledovne: „Zmes medziplodín musí byť na ploche podľa odseku 1 prítomná agronomicky odôvodnený čas a má byť zapracovaná do pôdy ako zelené hnojenie pred založením porastu následnej plodiny.“ Odôvodnenie: poľnohospodári pôsobiaci vo vyššie položených oblastiach a iných poľnohospodársky znevýhodnených oblastiach, vykonávajú žatevné práce neskôr ako na Podunajskej nížine. Vo väčšine oblastí SR sa žatva končí v druhej polovici augusta. Desať týždňov po 20.8. je až 30.10.. Desať týždňov je teda veľmi prísna a v mnohých prípadoch (klimatické, poveternostné, hospodárske podmienky) nesplniteľná doba prítomnosti medziplodiny na ploche, navyše s nevyhnutnosťou založiť porasty následných plodín a bežné agrotechnické termíny (pre výsev obilnín je štandardne posledný agrotechnický termín 30.10.). AMS systémom je kontrolovateľné založenie a vývoj porastu medziplodiny ako aj jeho zapracovanie do pôdy. Zároveň umožníme plniť túto podmienku aj tým, u ktorých končí žatva neskôr a zároveň chcú zasiať po letnej žatve oziminu a plniť aj podmienku ekoschémy.</w:t>
            </w:r>
          </w:p>
        </w:tc>
        <w:tc>
          <w:tcPr>
            <w:tcW w:w="267" w:type="pct"/>
            <w:tcBorders>
              <w:top w:val="outset" w:sz="6" w:space="0" w:color="000000"/>
              <w:left w:val="outset" w:sz="6" w:space="0" w:color="000000"/>
              <w:bottom w:val="outset" w:sz="6" w:space="0" w:color="000000"/>
              <w:right w:val="outset" w:sz="6" w:space="0" w:color="000000"/>
            </w:tcBorders>
            <w:vAlign w:val="center"/>
            <w:hideMark/>
          </w:tcPr>
          <w:p w14:paraId="26A3C9B3"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Z</w:t>
            </w:r>
          </w:p>
        </w:tc>
        <w:tc>
          <w:tcPr>
            <w:tcW w:w="320" w:type="pct"/>
            <w:tcBorders>
              <w:top w:val="outset" w:sz="6" w:space="0" w:color="000000"/>
              <w:left w:val="outset" w:sz="6" w:space="0" w:color="000000"/>
              <w:bottom w:val="outset" w:sz="6" w:space="0" w:color="000000"/>
              <w:right w:val="outset" w:sz="6" w:space="0" w:color="000000"/>
            </w:tcBorders>
            <w:vAlign w:val="center"/>
            <w:hideMark/>
          </w:tcPr>
          <w:p w14:paraId="747D97CA"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N</w:t>
            </w:r>
          </w:p>
        </w:tc>
        <w:tc>
          <w:tcPr>
            <w:tcW w:w="1799" w:type="pct"/>
            <w:tcBorders>
              <w:top w:val="outset" w:sz="6" w:space="0" w:color="000000"/>
              <w:left w:val="outset" w:sz="6" w:space="0" w:color="000000"/>
              <w:bottom w:val="outset" w:sz="6" w:space="0" w:color="000000"/>
              <w:right w:val="outset" w:sz="6" w:space="0" w:color="000000"/>
            </w:tcBorders>
            <w:vAlign w:val="center"/>
            <w:hideMark/>
          </w:tcPr>
          <w:p w14:paraId="11351054"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 xml:space="preserve">Pripomienka je nad rámec predkladanej novely nariadenia vlády č. 436/2022 Z. z. a vecne nesúvisí s jej obsahom. Vo vzťahu k uplatnenej zásadnej pripomienke je nevyhnutné odborné a objektívne posúdenie pracovnou skupinou pre modifikáciu Strategického plánu Spoločnej poľnohospodárskej politiky 2023 – 2027 (ďalej len „SP SPP 2023 – 2027“) ako aj vecne relevantnými odbornými inštitúciami, t. j. napríklad v súvislosti s výmerou ornej pôdy, kde agrotechnické termíny neumožňujú splnenie zachovania medziplodín po dobu desať týždňov a ich vysiatie do 30. septembra. Podmienky celoformovej eko-schémy presahujú rámec minimálnych požiadaviek na obhospodarovanie ornej pôdy. V prípade nedostatočného rozdielu medzi obhospodarovaním ornej pôdy v zmysle podmienok základnej podpory príjmu v záujme udržateľnosti a postupov prospešných pre klímu a životné prostredie, nie je možné splniť podmienky ukazovateľov výsledkov SP SPP 2023 – 2027. Tie sa týkajú záväzkov oblasti zlepšovania kvality pôdy a biotu, zvýšenia sekvestrácie uhlíka, či zlepšenia hospodárenia so živinami. Rozšírenie a úprava postupov pre využitie medziplodín na zlepšenie štruktúry ornej pôdy bude predmetom návrhu na druhú modifikáciu SP SPP 2023 – 2027 a bude diskutovaná v pracovnej skupine pre eko-schémy, ktorá bude zasadať v priebehu začiatku roka 2024. </w:t>
            </w:r>
            <w:r w:rsidRPr="004511A2">
              <w:rPr>
                <w:rFonts w:ascii="Times New Roman" w:hAnsi="Times New Roman" w:cs="Times New Roman"/>
                <w:sz w:val="20"/>
                <w:szCs w:val="20"/>
              </w:rPr>
              <w:lastRenderedPageBreak/>
              <w:t>Problematika doby prítomnosti medziplodín bola na rozporovom konaní dňa 4.12. 2023 s SPPK otvorená a prediskutovaná. SPPK trvá na zásadnej pripomienke. Rozpor trvá.</w:t>
            </w:r>
          </w:p>
        </w:tc>
      </w:tr>
      <w:tr w:rsidR="00127462" w:rsidRPr="004511A2" w14:paraId="3E8868B3" w14:textId="77777777" w:rsidTr="006502CA">
        <w:trPr>
          <w:jc w:val="center"/>
        </w:trPr>
        <w:tc>
          <w:tcPr>
            <w:tcW w:w="500" w:type="pct"/>
            <w:tcBorders>
              <w:top w:val="outset" w:sz="6" w:space="0" w:color="000000"/>
              <w:left w:val="outset" w:sz="6" w:space="0" w:color="000000"/>
              <w:bottom w:val="outset" w:sz="6" w:space="0" w:color="000000"/>
              <w:right w:val="outset" w:sz="6" w:space="0" w:color="000000"/>
            </w:tcBorders>
            <w:hideMark/>
          </w:tcPr>
          <w:p w14:paraId="28C3C65A"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lastRenderedPageBreak/>
              <w:t>SPPK</w:t>
            </w:r>
          </w:p>
        </w:tc>
        <w:tc>
          <w:tcPr>
            <w:tcW w:w="2113" w:type="pct"/>
            <w:tcBorders>
              <w:top w:val="outset" w:sz="6" w:space="0" w:color="000000"/>
              <w:left w:val="outset" w:sz="6" w:space="0" w:color="000000"/>
              <w:bottom w:val="outset" w:sz="6" w:space="0" w:color="000000"/>
              <w:right w:val="outset" w:sz="6" w:space="0" w:color="000000"/>
            </w:tcBorders>
            <w:hideMark/>
          </w:tcPr>
          <w:p w14:paraId="799D30FA" w14:textId="77777777" w:rsidR="00127462" w:rsidRPr="004511A2" w:rsidRDefault="00127462" w:rsidP="006502CA">
            <w:pPr>
              <w:rPr>
                <w:rFonts w:ascii="Times New Roman" w:hAnsi="Times New Roman" w:cs="Times New Roman"/>
                <w:b/>
                <w:bCs/>
                <w:sz w:val="20"/>
                <w:szCs w:val="20"/>
              </w:rPr>
            </w:pPr>
            <w:r w:rsidRPr="004511A2">
              <w:rPr>
                <w:rFonts w:ascii="Times New Roman" w:hAnsi="Times New Roman" w:cs="Times New Roman"/>
                <w:b/>
                <w:bCs/>
                <w:sz w:val="20"/>
                <w:szCs w:val="20"/>
              </w:rPr>
              <w:t>K § 15 ods. 2 písm. f):</w:t>
            </w:r>
          </w:p>
          <w:p w14:paraId="1E6CDAB3"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V § 15 ods. 2 písmeno f) doplniť obhospodarovanie biopásu o mulčovanie so znením: „f) biopás obhospodaruje spôsobom podľa osobitného predpisu 37) a môže ho kosiť, alebo mulčovať najviac dvakrát ročne, pričom prvé kosenie, alebo mulčovanie je možné vykonať najskôr od 23. júna a druhé kosenie, alebo mulčovanie najskôr dva mesiace po prvom kosení, alebo mulčovaní , v prípade kosenia je prijímateľ povinný do 14 dní po každom kosení odstrániť pokosenú hmotu; pre biopás kosený, alebo mulčovaný od 23. júna do 31. júla sa použije váhový faktor 1 a pre biopás kosený, alebo mulčovaný po 31. júli váhový faktor 1,5,“ Odôvodnenie: kosenie biopásu, manipulácia s pokosenou hmotou / sušenie / a odstraňovanie vyžaduje niekoľko pracovných operácií, ktoré pre využívaní poľnohospodárskej techniky majú negatívny vplyv na životné prostredie / ochrana klímy /. Problémy, čo s pokosenou hmotou? Mulčovanie je z uvedených dôvodov prospešnejšie pre klímu a životné prostredie.</w:t>
            </w:r>
          </w:p>
        </w:tc>
        <w:tc>
          <w:tcPr>
            <w:tcW w:w="267" w:type="pct"/>
            <w:tcBorders>
              <w:top w:val="outset" w:sz="6" w:space="0" w:color="000000"/>
              <w:left w:val="outset" w:sz="6" w:space="0" w:color="000000"/>
              <w:bottom w:val="outset" w:sz="6" w:space="0" w:color="000000"/>
              <w:right w:val="outset" w:sz="6" w:space="0" w:color="000000"/>
            </w:tcBorders>
            <w:vAlign w:val="center"/>
            <w:hideMark/>
          </w:tcPr>
          <w:p w14:paraId="510EC83D"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Z</w:t>
            </w:r>
          </w:p>
        </w:tc>
        <w:tc>
          <w:tcPr>
            <w:tcW w:w="320" w:type="pct"/>
            <w:tcBorders>
              <w:top w:val="outset" w:sz="6" w:space="0" w:color="000000"/>
              <w:left w:val="outset" w:sz="6" w:space="0" w:color="000000"/>
              <w:bottom w:val="outset" w:sz="6" w:space="0" w:color="000000"/>
              <w:right w:val="outset" w:sz="6" w:space="0" w:color="000000"/>
            </w:tcBorders>
            <w:vAlign w:val="center"/>
            <w:hideMark/>
          </w:tcPr>
          <w:p w14:paraId="3F24A361"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ČA</w:t>
            </w:r>
          </w:p>
        </w:tc>
        <w:tc>
          <w:tcPr>
            <w:tcW w:w="1799" w:type="pct"/>
            <w:tcBorders>
              <w:top w:val="outset" w:sz="6" w:space="0" w:color="000000"/>
              <w:left w:val="outset" w:sz="6" w:space="0" w:color="000000"/>
              <w:bottom w:val="outset" w:sz="6" w:space="0" w:color="000000"/>
              <w:right w:val="outset" w:sz="6" w:space="0" w:color="000000"/>
            </w:tcBorders>
            <w:vAlign w:val="center"/>
            <w:hideMark/>
          </w:tcPr>
          <w:p w14:paraId="7B9C8432"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 xml:space="preserve">Mulčovanie ako doplnková agrotechnická operácia bude doplnená do predkladanej novely nariadenia vlády č. 436/2022 Z. z., pričom mulčovanie predstavuje také udržiavanie poľnohospodárskej plochy, pri ktorom je biopás obhospodarovaný kosením ako hlavnou agrotechnickou operáciou a mulčovanie sa vykonáva iba ako vedľajšia činnosť po vykonaní alebo pred vykonaním hlavnej agrotechnickej operácie. Bližšie podrobnosti a podmienky budú súčasťou metodického usmernenia k nariadeniu č. 436/2022 Z. z. Kosenie ako hlavná agrotechnická operácia bude zachované, nakoľko spôsobuje omnoho nižšiu mortalitu hmyzu a stavovcov ako mulčovanie a potencionálne nevedie k premnoženiu expanzívnych druhov ako mulčovanie. Mulčovanie môže zároveň zvýšiť množstvo hrabošov na plochách biopásov. SPPK považuje vyjadrenie MPRV SR vo vzťahu k vyjadreniu „Kosenie ako hlavná agrotechnická operácia bude zachované, nakoľko spôsobuje omnoho nižšiu mortalitu hmyzu a stavovcov ako mulčovanie a potencionálne nevedie k premnoženiu expanzívnych druhov ako mulčovanie. Mulčovanie môže zároveň zvýšiť množstvo hrabošov na plochách biopásov.“ za neobjektívne, túto námietku vzniesla SPPK aj na rokovaní. SPPK upozornila aj na skutočnosť, že v prípade výlučne kosného využitia je odvoz nekvalitného krmiva ekonomicky stratový. Predchádzanie hromadeniu pokosenej hmoty môže byť predmetom druhej modifikácie SP SPP 2023 – 2027 za účelom využitia tejto hmoty na zlepšenie štruktúry ornej pôdy. Taktiež predmetom modifikácie SP SPP 2023 – 2027 môže byť aj využitie tejto hmoty ako kompostu. Problematika týkajúca sa mulčovania bola na rozporovom </w:t>
            </w:r>
            <w:r w:rsidRPr="004511A2">
              <w:rPr>
                <w:rFonts w:ascii="Times New Roman" w:hAnsi="Times New Roman" w:cs="Times New Roman"/>
                <w:sz w:val="20"/>
                <w:szCs w:val="20"/>
              </w:rPr>
              <w:lastRenderedPageBreak/>
              <w:t>konaní dňa 4.12. 2023 s SPPK otvorená a prediskutovaná. SPPK trvá na zásadnej pripomienke. Rozpor trvá.</w:t>
            </w:r>
          </w:p>
        </w:tc>
      </w:tr>
      <w:tr w:rsidR="00127462" w:rsidRPr="004511A2" w14:paraId="76AFEE58" w14:textId="77777777" w:rsidTr="006502CA">
        <w:trPr>
          <w:jc w:val="center"/>
        </w:trPr>
        <w:tc>
          <w:tcPr>
            <w:tcW w:w="500" w:type="pct"/>
            <w:tcBorders>
              <w:top w:val="outset" w:sz="6" w:space="0" w:color="000000"/>
              <w:left w:val="outset" w:sz="6" w:space="0" w:color="000000"/>
              <w:bottom w:val="outset" w:sz="6" w:space="0" w:color="000000"/>
              <w:right w:val="outset" w:sz="6" w:space="0" w:color="000000"/>
            </w:tcBorders>
            <w:hideMark/>
          </w:tcPr>
          <w:p w14:paraId="122582A8" w14:textId="77777777" w:rsidR="00127462" w:rsidRPr="004511A2" w:rsidRDefault="00127462" w:rsidP="006502CA">
            <w:pPr>
              <w:jc w:val="center"/>
              <w:rPr>
                <w:rFonts w:ascii="Times New Roman" w:hAnsi="Times New Roman" w:cs="Times New Roman"/>
                <w:b/>
                <w:bCs/>
                <w:sz w:val="20"/>
                <w:szCs w:val="20"/>
              </w:rPr>
            </w:pPr>
            <w:r w:rsidRPr="004511A2">
              <w:rPr>
                <w:rFonts w:ascii="Times New Roman" w:hAnsi="Times New Roman" w:cs="Times New Roman"/>
                <w:b/>
                <w:bCs/>
                <w:sz w:val="20"/>
                <w:szCs w:val="20"/>
              </w:rPr>
              <w:t>SPPK</w:t>
            </w:r>
          </w:p>
        </w:tc>
        <w:tc>
          <w:tcPr>
            <w:tcW w:w="2113" w:type="pct"/>
            <w:tcBorders>
              <w:top w:val="outset" w:sz="6" w:space="0" w:color="000000"/>
              <w:left w:val="outset" w:sz="6" w:space="0" w:color="000000"/>
              <w:bottom w:val="outset" w:sz="6" w:space="0" w:color="000000"/>
              <w:right w:val="outset" w:sz="6" w:space="0" w:color="000000"/>
            </w:tcBorders>
            <w:hideMark/>
          </w:tcPr>
          <w:p w14:paraId="44122286" w14:textId="77777777" w:rsidR="00127462" w:rsidRPr="004511A2" w:rsidRDefault="00127462" w:rsidP="006502CA">
            <w:pPr>
              <w:jc w:val="both"/>
              <w:rPr>
                <w:rFonts w:ascii="Times New Roman" w:hAnsi="Times New Roman" w:cs="Times New Roman"/>
                <w:b/>
                <w:bCs/>
                <w:sz w:val="20"/>
                <w:szCs w:val="20"/>
              </w:rPr>
            </w:pPr>
            <w:r w:rsidRPr="004511A2">
              <w:rPr>
                <w:rFonts w:ascii="Times New Roman" w:hAnsi="Times New Roman" w:cs="Times New Roman"/>
                <w:b/>
                <w:bCs/>
                <w:sz w:val="20"/>
                <w:szCs w:val="20"/>
              </w:rPr>
              <w:t>K § 22 ods. 5 bod b:</w:t>
            </w:r>
          </w:p>
          <w:p w14:paraId="06C35110"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 xml:space="preserve">V § 22 odsek 5 bod. b (Pastevný chov) pomenovanie „dojnica“ navrhujeme nahradiť definíciou: „samica hovädzieho dobytka, ktorá sa otelila a mala živo alebo mŕtvo narodené teľa“ Odôvodnenie - negatívne: v prípade, že tam chce figurovať „dojnica“ je potrebné si uvedomiť, že v tomto prípade nepostačuje jednoducho stanoviť: má byť evidovaná v CEHZ ako(že) „dojnica“. V 21. storočí mlieko dojnice vhodné pre ľudský konzum musí byť bezpečné a zdravotne nezávadné. Z toho dôvodu DOJNICA a jej mlieko má spĺňať zdravotné požiadavky. Stádo má byť pod veterinárnou kontrolou. Chov má byť bez brucelózy, leukózy a pod., má byť zaradený do kontroly úžitkovosti Plemenármi, keď sú pravidelne sledované kvantitatívne a kvalitatívne vlastnosti mlieka. Chovateľ a producent mlieka na ľudský konzum má nasledovné možnosti: a) byť zmluvným dodávateľom surového kravského mlieka pre odberateľa (spracovateľa), kde pri dodávke prebieha kontrola minimálne v rozsahu: obsah tuku, bielkovín, somatických buniek a inhibičných látok. Dodané množstvá dokáže preukázať kontrolným orgánom. b) disponovať povolením a technickým zariadením na skladovanie a spracovanie mlieka. V takomto prípade samozrejme má disponovať všetkými potrebnými povoleniami a pod... Produkciu mlieka, spracovanie a zobchodovanie dokáže takisto preukázať. Máme za to, že sú to absolútne základné požiadavky bezpečnosti potravín. Ak chovateľ vyššie uvedené základné požiadavky nespĺňa, môže byť producentom mlieka len na kŕmne účely (pre hospodárske zvieratá). Takéto stádo, kravy nemôžu spĺňať pojem dojnica. A to ani v prípade, že je tam uvedené: „(nie je chovaná bez dojného využitia, jej mlieko sa nepoužíva len na výživu teliat)“. Takáto definícia predsa umožňuje nasledovnú absurditu: Ak krave (s podielom krvi max. 99,99 mäsového plemena) raz za čas oddojíme malé množstvo mlieka napr. pre mačku alebo odstavčaťa, spĺňame požadované parametre. K tomu stačí podstatnú časť </w:t>
            </w:r>
            <w:r w:rsidRPr="004511A2">
              <w:rPr>
                <w:rFonts w:ascii="Times New Roman" w:hAnsi="Times New Roman" w:cs="Times New Roman"/>
                <w:sz w:val="20"/>
                <w:szCs w:val="20"/>
              </w:rPr>
              <w:lastRenderedPageBreak/>
              <w:t xml:space="preserve">dňa pásť... – množstvo súvisiacich otázok si zrejme pamätáme. V SP SPP sa píše: Za potenciálne oprávnené zviera sa považuje: –dojnica, samica hovädzieho dobytka, ktorá sa otelila a mala živo alebo mŕtvo narodené teľa, nemá 100 % podiel mäsových plemien, je v CEHZ označená ako dojnica (nie je chovaná bez dojného využitia, jej mlieko sa nepoužíva len na výživu teliat). Navrhujeme teda do pastevného chovu zaradiť všetky samice HD .- kravy (aby sme nevracali nevyčerpané zdroje do Bruselu). Odôvodnenie – pozitívne (hlavne časť prebratá z ČR a podstata je nižšie zvýraznená podčiarknutím textu): zachovanie pastierstva má zásadný význam pre udržanie poľnohospodárstva. Vplyvom intenzifikácie chovu zvierat sa zvieratá chovajú počas celého roka v ustajňovacích priestoroch, v ktorých sú aj kŕmené spravidla konzervovanými krmivami. Najprirodzenejší extenzívny spôsob chovu na pasienku je v dôsledku viacerých ťažkostí, ako ohrozovanie stád veľkými predátormi a ekonomicky neefektívnou produkciou obmedzovaný. Z dôvodu intenzifikácie sú ohrozené predovšetkým chovy hovädzieho dobytka na pasienku, čo má dopad aj na zhoršenie životných podmienok týchto zvierat. Chov zvierat na pasienku prispieva aj k ochrane klímy a zníženiu znečistenia ovzdušia vo vzťahu k emisiám amoniaku. Zníženie emisií amoniaku je možné dosiahnuť zvýšením podielu času, ktorý zvieratá strávia na pastve. Dôvodom je najmä to, že do pôdy presiakne veľké množstvo moču ešte predtým, ako močovina degraduje a unikne ako amoniak. Podpora na chov zvierat na pasienku je koncipovaná ako kompenzácia straty príjmu z nižšej úžitkovosti zvierat, často v ťažko dostupnom teréne spôsobenou zvýšenou spotrebou energie v dôsledku zvýšeného pohybu zvierat a zvýšených nákladov pri manipulácii so zvieratami. Počas pasenia je potrebné zabezpečovať aj ochranu zvierat pred predátormi. Zdravie zvierat a ich dobré životné podmienky sú navzájom prepojené, pri chove zvierat v dobrých životných podmienkach je väčšia pravdepodobnosť, že zvieratá sú a zostanú zdravé. Realizácia pastevného chovu hospodárskych zvierat je komplementárna s postupom v celofarmovej ekoschéme (31.1.), v rámci ktorej sa pre plochy trvalých trávnych porastov ako alternatíva pre zlepšenie stavu biodiverzity umožňuje realizovať optimálny manažment formou pasenia </w:t>
            </w:r>
            <w:r w:rsidRPr="004511A2">
              <w:rPr>
                <w:rFonts w:ascii="Times New Roman" w:hAnsi="Times New Roman" w:cs="Times New Roman"/>
                <w:sz w:val="20"/>
                <w:szCs w:val="20"/>
              </w:rPr>
              <w:lastRenderedPageBreak/>
              <w:t xml:space="preserve">hospodárskych zvierat (v kombinácii s diferencovaným termínom kosenia). Vzhledem k záporné rentabilitě výroby hovězího masa, která je mimo jiné způsobena snižováním cen za jatečný skot, dochází v několika posledních letech ke snižování početních stavů krav specializovaných masných plemen zapojených do kontroly masné užitkovosti, což má za následek útlum ve šlechtění plemen skotu tohoto výrobního směru s postupným následkem dalšího prohlubování nerentability tohoto směru chovu skotu. Dalším problémem odvětví je fakt, že Slovenská republika vyváží produkt s nízkou přidanou hodnotou (1/3 jatečných zvířat z SR je exportována), nikoliv produkt s vysokou přidanou hodnotou, tj. maso a výrobky z něj. Důvodem je nízká konkurenceschopnost a koncentrace masného zpracovatelského průmyslu. K další slabé stránce daného odvětví patří nízká domácí spotřeba hovězího masa, která je dána jednak vyšší cenou v porovnání s jinými druhy masa, tak i chybějící tradicí ke spotřebě výrobků z čistě hovězího masa. Pastevným chovom masného skotu tím, že bude chovatele motivovat ke zlepšování ukazatelů reprodukce a tím i ekonomické efektivitě chovu masného skotu. Dále zlepšit postavení producenta na trhu tím, že bude více motivován k investicím směřujícím ke zlepšení kvality masa. Cílem tohoto opatření je rovněž udržet chovaná zvířata ve vysoké genetické kvalitě a motivovat chovatele k přirozené obnově stáda a zachovat specializaci jednotlivých plemen dle různých podmínek přírodních oblastí Slovenskej republiky. Proto u této intervence dochází oproti současnému nastavení ke kvalitativnímu posunu v rámci podmínky chovu masného plemene nejen po stránce otce jako plemenné býky, ale i krávy - matky, která musí mít nejméně 50 % podíl krve masného plemene a musí být v rámci způsobu chovu od 1. otelení chována v systému chovu bez tržní produkce mléka. – tu ide o výchovu a osvetu nasmerovanú ku kvalite a nie ku špekuláciám !!! Intervence CIS na produkci hovězího masa má z dlouhodobého hlediska primárně přispět k udržení chovaných zvířat ve vysoké genetické kvalitě (zlepšení jakosti). V provazbě na zlepšení jakosti jsou stanoveny i jednotlivé podmínky způsobilosti jako řádná evidence a identifikace zvířat, podíl krve masného plemene u matky telete či otec masného telete musí být řádně registrován v příslušném registru </w:t>
            </w:r>
            <w:r w:rsidRPr="004511A2">
              <w:rPr>
                <w:rFonts w:ascii="Times New Roman" w:hAnsi="Times New Roman" w:cs="Times New Roman"/>
                <w:sz w:val="20"/>
                <w:szCs w:val="20"/>
              </w:rPr>
              <w:lastRenderedPageBreak/>
              <w:t>plemeníků Chov masného skotu je klíčový pro jeho význam při udržování velmi velkých ploch trvalých travních porostů, kde je reálná hrozba, že v případě odchodu z tohoto odvětví z důvodu nízké rentability, tato činnost vykonávána nebude. S ohledem na skutečnost, že masný skot je chován především v marginálních oblastech a v oblastech s přírodním omezením, hrozí v případě trendu poklesu stavů skotu reálné riziko opouštění půdy, nebo rozorávání travních porostů, při změně hospodaření ze strany zemědělce. Chov skotu bez tržní produkce mléka zaujímá v komplexním pojetí ochrany přírody své nezastupitelné místo a lze říci, že současné nízké počty chovaného skotu jsou nedostatečné nejen z hlediska variability pěstování polních plodin a ochrany půdy před erozí, ale také i z hlediska mnoha dalších návazností jako je např. kvalita života venkovského obyvatelstva. Jedná se nejen o významnou nabídku pracovních příležitostí přímo v chovu hospodářských zvířat, ale také pracovní příležitosti spojené s následným zpracováním živočišných produktů a potřebou dalších služeb vstupujících do chovu zvířat (pícninářství, krmivářství, plemenářství, veterinární činnosti, výroba technologií pro chov hospodářských zvířat včetně stavebnictví, zpracovatelský masný průmysl, atd.). Vysvětlení, jak je intervence v souladu s rámcovou směrnicí o vodě (tj. 2000/60/ES). Soulad intervencí se Směrnicí Evropského parlamentu a Rady 2000/60/ES, kterou se stanoví rámec pro činnost Společenství v oblasti vodní politiky (Rámcová směrnice o vodách, zkráceně RSV) je zajištěn její transpozicí a implementací do českého právního řádu zákonem č. 254/2001 Sb., o vodách a o změně některých zákonů (vodní zákon), ve znění pozdějších předpisů. Zodpovědnost za kontroly dodržování nese Česká inspekce životního prostředí a vodoprávní úřady. Dalším nástrojem ve vazbě na Společnou zemědělskou politiku je podmíněnost. Kontrolním orgánem je v tomto případě Ústřední kontrolní a zkušební ústav zemědělský.</w:t>
            </w:r>
          </w:p>
        </w:tc>
        <w:tc>
          <w:tcPr>
            <w:tcW w:w="267" w:type="pct"/>
            <w:tcBorders>
              <w:top w:val="outset" w:sz="6" w:space="0" w:color="000000"/>
              <w:left w:val="outset" w:sz="6" w:space="0" w:color="000000"/>
              <w:bottom w:val="outset" w:sz="6" w:space="0" w:color="000000"/>
              <w:right w:val="outset" w:sz="6" w:space="0" w:color="000000"/>
            </w:tcBorders>
            <w:vAlign w:val="center"/>
            <w:hideMark/>
          </w:tcPr>
          <w:p w14:paraId="0E099940"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lastRenderedPageBreak/>
              <w:t>Z</w:t>
            </w:r>
          </w:p>
        </w:tc>
        <w:tc>
          <w:tcPr>
            <w:tcW w:w="320" w:type="pct"/>
            <w:tcBorders>
              <w:top w:val="outset" w:sz="6" w:space="0" w:color="000000"/>
              <w:left w:val="outset" w:sz="6" w:space="0" w:color="000000"/>
              <w:bottom w:val="outset" w:sz="6" w:space="0" w:color="000000"/>
              <w:right w:val="outset" w:sz="6" w:space="0" w:color="000000"/>
            </w:tcBorders>
            <w:vAlign w:val="center"/>
            <w:hideMark/>
          </w:tcPr>
          <w:p w14:paraId="2148D5D6" w14:textId="77777777" w:rsidR="00127462" w:rsidRPr="004511A2" w:rsidRDefault="00127462" w:rsidP="006502CA">
            <w:pPr>
              <w:jc w:val="center"/>
              <w:rPr>
                <w:rFonts w:ascii="Times New Roman" w:hAnsi="Times New Roman" w:cs="Times New Roman"/>
                <w:sz w:val="20"/>
                <w:szCs w:val="20"/>
              </w:rPr>
            </w:pPr>
            <w:r w:rsidRPr="004511A2">
              <w:rPr>
                <w:rFonts w:ascii="Times New Roman" w:hAnsi="Times New Roman" w:cs="Times New Roman"/>
                <w:sz w:val="20"/>
                <w:szCs w:val="20"/>
              </w:rPr>
              <w:t>N</w:t>
            </w:r>
          </w:p>
        </w:tc>
        <w:tc>
          <w:tcPr>
            <w:tcW w:w="1799" w:type="pct"/>
            <w:tcBorders>
              <w:top w:val="outset" w:sz="6" w:space="0" w:color="000000"/>
              <w:left w:val="outset" w:sz="6" w:space="0" w:color="000000"/>
              <w:bottom w:val="outset" w:sz="6" w:space="0" w:color="000000"/>
              <w:right w:val="outset" w:sz="6" w:space="0" w:color="000000"/>
            </w:tcBorders>
            <w:vAlign w:val="center"/>
            <w:hideMark/>
          </w:tcPr>
          <w:p w14:paraId="02404551" w14:textId="77777777" w:rsidR="00127462" w:rsidRPr="004511A2" w:rsidRDefault="00127462" w:rsidP="006502CA">
            <w:pPr>
              <w:jc w:val="both"/>
              <w:rPr>
                <w:rFonts w:ascii="Times New Roman" w:hAnsi="Times New Roman" w:cs="Times New Roman"/>
                <w:sz w:val="20"/>
                <w:szCs w:val="20"/>
              </w:rPr>
            </w:pPr>
            <w:r w:rsidRPr="004511A2">
              <w:rPr>
                <w:rFonts w:ascii="Times New Roman" w:hAnsi="Times New Roman" w:cs="Times New Roman"/>
                <w:sz w:val="20"/>
                <w:szCs w:val="20"/>
              </w:rPr>
              <w:t xml:space="preserve">Pripomienka je nad rámec predkladanej novely nariadenia vlády č. 436/2022 Z. z. a vecne nesúvisí s jej obsahom. Podľa platného znenia nariadenia vlády č. 436/2022 Z. z. „dojnicou je samica hovädzieho dobytka s evidovaným príslušným úžitkovým zameraním vhodná na produkciu mlieka na trhové účely, ktorá sa aspoň raz otelila, okrem zvierat s čistým podielom plemena mäsového typu podľa prílohy č. 1.“ Definícia dojnice teda už obsahuje podmienku chovu s produkciou mlieka so zodpovedajúcou kvalitou pre trhové účely a jeho využitie nie je primárne určené na kŕmenie teliat. Či ide o dojnicu podľa nariadenia vlády č. 436/2022 Z. z. na účely podpory pastevného chovu je predmetom administratívnej kontroly Pôdohospodárskej platobnej agentúry a skúmania oprávnenosti žiadateľa. V zmysle európskej legislatívy je podpora pastevného chovu kompenzačnou platbou, ktorá v plnej výške alebo čiastočne kompenzuje pre poľnohospodárov vyššie náklady a zníženie výnosov chovu dojníc pasením. Bola vypočítaná Výskumným ústavom živočíšnej výroby Nitra. Uplatnená zásadná pripomienka SPPK je nesúlade s koncepciou nariadenia (EÚ) 2021/2115 v platnom znení a so SP SPP 2023 – 2027, nakoľko tieto pojednávajú o podpore na zlepšenie životných podmienok zvierat podporou pastevného chovu ako o kompenzačnej platbe. Dojčiace kravy sú chované pasením, a preto nie je možné stanoviť kompenzačný výpočet pre podporu dobrých životných podmienok zvierat. Ich podpora sa realizuje prostredníctvom doplnkovej vnútroštátnej platby na dobytčie jednotky V súlade s nariadením vlády Slovenskej republiky č. 152/2013 Z. z. o podmienkach poskytovania podpory v poľnohospodárstve formou prechodných vnútroštátnych platieb v znení neskorších predpisov. </w:t>
            </w:r>
            <w:r w:rsidRPr="004511A2">
              <w:rPr>
                <w:rFonts w:ascii="Times New Roman" w:hAnsi="Times New Roman" w:cs="Times New Roman"/>
                <w:sz w:val="20"/>
                <w:szCs w:val="20"/>
              </w:rPr>
              <w:lastRenderedPageBreak/>
              <w:t xml:space="preserve">Problematika týkajúca sa § 22 ods. 5 písm. b) vo vzťahu k zmene definície pojmu „dojnica“ v nariadení vlády č. 436/2022 Z. z. bola na rozporovom konaní dňa 4.12. 2023 s SPPK otvorená a prediskutovaná. SPPK trvá na zásadnej pripomienke. Rozpor trvá. </w:t>
            </w:r>
          </w:p>
        </w:tc>
      </w:tr>
    </w:tbl>
    <w:p w14:paraId="452ABE68" w14:textId="5A00D675" w:rsidR="00127462" w:rsidRPr="004511A2" w:rsidRDefault="00127462" w:rsidP="00B00F59">
      <w:pPr>
        <w:widowControl w:val="0"/>
        <w:spacing w:after="0" w:line="240" w:lineRule="auto"/>
        <w:jc w:val="both"/>
        <w:rPr>
          <w:rFonts w:ascii="Times New Roman" w:hAnsi="Times New Roman" w:cs="Times New Roman"/>
          <w:sz w:val="20"/>
          <w:szCs w:val="20"/>
        </w:rPr>
      </w:pPr>
      <w:bookmarkStart w:id="0" w:name="_GoBack"/>
      <w:bookmarkEnd w:id="0"/>
    </w:p>
    <w:sectPr w:rsidR="00127462" w:rsidRPr="004511A2" w:rsidSect="00BE5248">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6008A" w14:textId="77777777" w:rsidR="00020ACB" w:rsidRDefault="00020ACB" w:rsidP="007540AE">
      <w:pPr>
        <w:spacing w:after="0" w:line="240" w:lineRule="auto"/>
      </w:pPr>
      <w:r>
        <w:separator/>
      </w:r>
    </w:p>
  </w:endnote>
  <w:endnote w:type="continuationSeparator" w:id="0">
    <w:p w14:paraId="68F83B8E" w14:textId="77777777" w:rsidR="00020ACB" w:rsidRDefault="00020ACB" w:rsidP="0075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158918"/>
      <w:docPartObj>
        <w:docPartGallery w:val="Page Numbers (Bottom of Page)"/>
        <w:docPartUnique/>
      </w:docPartObj>
    </w:sdtPr>
    <w:sdtEndPr/>
    <w:sdtContent>
      <w:p w14:paraId="5DD3EA52" w14:textId="3C909796" w:rsidR="007540AE" w:rsidRDefault="001437EC" w:rsidP="001437EC">
        <w:pPr>
          <w:pStyle w:val="Pta"/>
          <w:jc w:val="center"/>
        </w:pPr>
        <w:r>
          <w:fldChar w:fldCharType="begin"/>
        </w:r>
        <w:r>
          <w:instrText>PAGE   \* MERGEFORMAT</w:instrText>
        </w:r>
        <w:r>
          <w:fldChar w:fldCharType="separate"/>
        </w:r>
        <w:r w:rsidR="007128A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97361" w14:textId="77777777" w:rsidR="00020ACB" w:rsidRDefault="00020ACB" w:rsidP="007540AE">
      <w:pPr>
        <w:spacing w:after="0" w:line="240" w:lineRule="auto"/>
      </w:pPr>
      <w:r>
        <w:separator/>
      </w:r>
    </w:p>
  </w:footnote>
  <w:footnote w:type="continuationSeparator" w:id="0">
    <w:p w14:paraId="026D0458" w14:textId="77777777" w:rsidR="00020ACB" w:rsidRDefault="00020ACB" w:rsidP="00754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9"/>
    <w:rsid w:val="00020ACB"/>
    <w:rsid w:val="00043159"/>
    <w:rsid w:val="00076A78"/>
    <w:rsid w:val="000D111D"/>
    <w:rsid w:val="00100F6A"/>
    <w:rsid w:val="00105820"/>
    <w:rsid w:val="00127462"/>
    <w:rsid w:val="001437EC"/>
    <w:rsid w:val="00157130"/>
    <w:rsid w:val="001A0A6B"/>
    <w:rsid w:val="00237112"/>
    <w:rsid w:val="002420CD"/>
    <w:rsid w:val="00261256"/>
    <w:rsid w:val="00262CAE"/>
    <w:rsid w:val="00307B2C"/>
    <w:rsid w:val="003215B3"/>
    <w:rsid w:val="003229F5"/>
    <w:rsid w:val="0032788B"/>
    <w:rsid w:val="003549CB"/>
    <w:rsid w:val="00373494"/>
    <w:rsid w:val="003B5AFE"/>
    <w:rsid w:val="003C3AEF"/>
    <w:rsid w:val="003E1B6F"/>
    <w:rsid w:val="00444761"/>
    <w:rsid w:val="004511A2"/>
    <w:rsid w:val="004B63EF"/>
    <w:rsid w:val="004D7051"/>
    <w:rsid w:val="00500492"/>
    <w:rsid w:val="00501697"/>
    <w:rsid w:val="00524CBD"/>
    <w:rsid w:val="00550EAE"/>
    <w:rsid w:val="00567121"/>
    <w:rsid w:val="00577835"/>
    <w:rsid w:val="005C2A8F"/>
    <w:rsid w:val="0060078E"/>
    <w:rsid w:val="00614FD3"/>
    <w:rsid w:val="00616948"/>
    <w:rsid w:val="006258C0"/>
    <w:rsid w:val="00695B3F"/>
    <w:rsid w:val="006C0C56"/>
    <w:rsid w:val="006E5843"/>
    <w:rsid w:val="007128A2"/>
    <w:rsid w:val="0072212A"/>
    <w:rsid w:val="00730EC6"/>
    <w:rsid w:val="007540AE"/>
    <w:rsid w:val="007627C1"/>
    <w:rsid w:val="007A275C"/>
    <w:rsid w:val="007C0D02"/>
    <w:rsid w:val="0083580C"/>
    <w:rsid w:val="00885DE8"/>
    <w:rsid w:val="00886049"/>
    <w:rsid w:val="008A021F"/>
    <w:rsid w:val="008A2B7B"/>
    <w:rsid w:val="008C79E7"/>
    <w:rsid w:val="008E43D4"/>
    <w:rsid w:val="009117B7"/>
    <w:rsid w:val="0091441F"/>
    <w:rsid w:val="00A11A22"/>
    <w:rsid w:val="00A26126"/>
    <w:rsid w:val="00A36E30"/>
    <w:rsid w:val="00A54335"/>
    <w:rsid w:val="00A74D52"/>
    <w:rsid w:val="00B00F59"/>
    <w:rsid w:val="00B02BD1"/>
    <w:rsid w:val="00B80C19"/>
    <w:rsid w:val="00B97399"/>
    <w:rsid w:val="00BE5248"/>
    <w:rsid w:val="00C271DE"/>
    <w:rsid w:val="00C67719"/>
    <w:rsid w:val="00C71A35"/>
    <w:rsid w:val="00CD4744"/>
    <w:rsid w:val="00D82698"/>
    <w:rsid w:val="00D91147"/>
    <w:rsid w:val="00E24D7A"/>
    <w:rsid w:val="00E4403B"/>
    <w:rsid w:val="00E52EB5"/>
    <w:rsid w:val="00F52A41"/>
    <w:rsid w:val="00FE042C"/>
    <w:rsid w:val="00FF10F3"/>
    <w:rsid w:val="00FF5D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1D27"/>
  <w15:chartTrackingRefBased/>
  <w15:docId w15:val="{728008DB-5654-480E-816D-5C3A8DFA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5248"/>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E04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042C"/>
    <w:rPr>
      <w:rFonts w:ascii="Segoe UI" w:eastAsiaTheme="minorEastAsia" w:hAnsi="Segoe UI" w:cs="Segoe UI"/>
      <w:sz w:val="18"/>
      <w:szCs w:val="18"/>
    </w:rPr>
  </w:style>
  <w:style w:type="paragraph" w:styleId="Hlavika">
    <w:name w:val="header"/>
    <w:basedOn w:val="Normlny"/>
    <w:link w:val="HlavikaChar"/>
    <w:uiPriority w:val="99"/>
    <w:unhideWhenUsed/>
    <w:rsid w:val="007540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40AE"/>
    <w:rPr>
      <w:rFonts w:eastAsiaTheme="minorEastAsia"/>
    </w:rPr>
  </w:style>
  <w:style w:type="paragraph" w:styleId="Pta">
    <w:name w:val="footer"/>
    <w:basedOn w:val="Normlny"/>
    <w:link w:val="PtaChar"/>
    <w:uiPriority w:val="99"/>
    <w:unhideWhenUsed/>
    <w:rsid w:val="007540AE"/>
    <w:pPr>
      <w:tabs>
        <w:tab w:val="center" w:pos="4536"/>
        <w:tab w:val="right" w:pos="9072"/>
      </w:tabs>
      <w:spacing w:after="0" w:line="240" w:lineRule="auto"/>
    </w:pPr>
  </w:style>
  <w:style w:type="character" w:customStyle="1" w:styleId="PtaChar">
    <w:name w:val="Päta Char"/>
    <w:basedOn w:val="Predvolenpsmoodseku"/>
    <w:link w:val="Pta"/>
    <w:uiPriority w:val="99"/>
    <w:rsid w:val="007540A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3511</Words>
  <Characters>20017</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Adamcová Barbora</dc:creator>
  <cp:keywords/>
  <dc:description/>
  <cp:lastModifiedBy>Adamcova Barbora</cp:lastModifiedBy>
  <cp:revision>2</cp:revision>
  <dcterms:created xsi:type="dcterms:W3CDTF">2023-12-06T04:24:00Z</dcterms:created>
  <dcterms:modified xsi:type="dcterms:W3CDTF">2023-12-06T04:24:00Z</dcterms:modified>
</cp:coreProperties>
</file>