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74EDB" w:rsidRPr="002E32C0" w:rsidTr="00120135">
        <w:trPr>
          <w:trHeight w:val="566"/>
        </w:trPr>
        <w:tc>
          <w:tcPr>
            <w:tcW w:w="9062" w:type="dxa"/>
            <w:shd w:val="clear" w:color="auto" w:fill="D9D9D9"/>
            <w:vAlign w:val="center"/>
            <w:hideMark/>
          </w:tcPr>
          <w:p w:rsidR="00374EDB" w:rsidRPr="00411E2D" w:rsidRDefault="00413E9A" w:rsidP="00413E9A">
            <w:pPr>
              <w:jc w:val="center"/>
              <w:rPr>
                <w:sz w:val="24"/>
                <w:szCs w:val="24"/>
              </w:rPr>
            </w:pPr>
            <w:r w:rsidRPr="00411E2D">
              <w:rPr>
                <w:b/>
                <w:sz w:val="24"/>
                <w:szCs w:val="24"/>
              </w:rPr>
              <w:t>Analýza v</w:t>
            </w:r>
            <w:r w:rsidR="00374EDB" w:rsidRPr="00411E2D">
              <w:rPr>
                <w:b/>
                <w:sz w:val="24"/>
                <w:szCs w:val="24"/>
              </w:rPr>
              <w:t>plyv</w:t>
            </w:r>
            <w:r w:rsidRPr="00411E2D">
              <w:rPr>
                <w:b/>
                <w:sz w:val="24"/>
                <w:szCs w:val="24"/>
              </w:rPr>
              <w:t>ov</w:t>
            </w:r>
            <w:r w:rsidR="00374EDB" w:rsidRPr="00411E2D">
              <w:rPr>
                <w:b/>
                <w:sz w:val="24"/>
                <w:szCs w:val="24"/>
              </w:rPr>
              <w:t xml:space="preserve"> na životné prostredie</w:t>
            </w:r>
          </w:p>
        </w:tc>
      </w:tr>
      <w:tr w:rsidR="00120135" w:rsidRPr="002E32C0" w:rsidTr="00120135">
        <w:trPr>
          <w:trHeight w:val="688"/>
        </w:trPr>
        <w:tc>
          <w:tcPr>
            <w:tcW w:w="9062" w:type="dxa"/>
            <w:shd w:val="clear" w:color="auto" w:fill="D9D9D9"/>
            <w:vAlign w:val="center"/>
            <w:hideMark/>
          </w:tcPr>
          <w:p w:rsidR="00FE0F15" w:rsidRPr="00411E2D" w:rsidRDefault="00120135" w:rsidP="00411E2D">
            <w:pPr>
              <w:jc w:val="both"/>
              <w:rPr>
                <w:i/>
                <w:sz w:val="22"/>
                <w:szCs w:val="22"/>
              </w:rPr>
            </w:pPr>
            <w:r w:rsidRPr="00411E2D">
              <w:rPr>
                <w:i/>
                <w:sz w:val="22"/>
                <w:szCs w:val="22"/>
              </w:rPr>
              <w:t>V prípade, že je predkladaný materiál posudzovaný podľa Zákona č. 24/2006 Z. z. o</w:t>
            </w:r>
            <w:r w:rsidR="00CB36E2" w:rsidRPr="00411E2D">
              <w:rPr>
                <w:i/>
                <w:sz w:val="22"/>
                <w:szCs w:val="22"/>
              </w:rPr>
              <w:t> </w:t>
            </w:r>
            <w:r w:rsidRPr="00411E2D">
              <w:rPr>
                <w:i/>
                <w:sz w:val="22"/>
                <w:szCs w:val="22"/>
              </w:rPr>
              <w:t>posudzovaní vplyvov na životné prostredie a o zmene a doplnení niektorých zákonov (EIA/SEA), tak nie je nutné vypĺňať túto analýzu. Proces EIA/SEA nahrádza Analýzu vplyvov na životné prostredie</w:t>
            </w:r>
            <w:r w:rsidR="00843142" w:rsidRPr="00411E2D">
              <w:rPr>
                <w:i/>
                <w:sz w:val="22"/>
                <w:szCs w:val="22"/>
              </w:rPr>
              <w:t xml:space="preserve"> podľa Jednotnej metodiky</w:t>
            </w:r>
            <w:r w:rsidR="00E70DF5" w:rsidRPr="00411E2D">
              <w:rPr>
                <w:i/>
                <w:sz w:val="22"/>
                <w:szCs w:val="22"/>
              </w:rPr>
              <w:t xml:space="preserve"> na</w:t>
            </w:r>
            <w:r w:rsidR="00843142" w:rsidRPr="00411E2D">
              <w:rPr>
                <w:i/>
                <w:sz w:val="22"/>
                <w:szCs w:val="22"/>
              </w:rPr>
              <w:t xml:space="preserve"> posudzovani</w:t>
            </w:r>
            <w:r w:rsidR="00E70DF5" w:rsidRPr="00411E2D">
              <w:rPr>
                <w:i/>
                <w:sz w:val="22"/>
                <w:szCs w:val="22"/>
              </w:rPr>
              <w:t>e</w:t>
            </w:r>
            <w:r w:rsidR="00843142" w:rsidRPr="00411E2D">
              <w:rPr>
                <w:i/>
                <w:sz w:val="22"/>
                <w:szCs w:val="22"/>
              </w:rPr>
              <w:t xml:space="preserve"> vybraných vplyvov</w:t>
            </w:r>
            <w:r w:rsidRPr="00411E2D">
              <w:rPr>
                <w:i/>
                <w:sz w:val="22"/>
                <w:szCs w:val="22"/>
              </w:rPr>
              <w:t>. Túto informáciu je potrebné uviesť v Doložke vybraných vplyvov a v Poznámkach uviesť odkaz na proces. Pred predložením do PPK je však nutné mať Záverečné stanovisko z EIA/SEA procesu.</w:t>
            </w:r>
          </w:p>
        </w:tc>
      </w:tr>
      <w:tr w:rsidR="00374EDB" w:rsidRPr="002E32C0" w:rsidTr="00120135">
        <w:trPr>
          <w:trHeight w:val="688"/>
        </w:trPr>
        <w:tc>
          <w:tcPr>
            <w:tcW w:w="9062" w:type="dxa"/>
            <w:shd w:val="clear" w:color="auto" w:fill="D9D9D9"/>
            <w:vAlign w:val="center"/>
            <w:hideMark/>
          </w:tcPr>
          <w:p w:rsidR="00374EDB" w:rsidRPr="00411E2D" w:rsidRDefault="00374EDB" w:rsidP="00CB36E2">
            <w:pPr>
              <w:jc w:val="both"/>
              <w:rPr>
                <w:i/>
                <w:sz w:val="22"/>
                <w:szCs w:val="22"/>
              </w:rPr>
            </w:pPr>
            <w:r w:rsidRPr="00411E2D">
              <w:rPr>
                <w:b/>
                <w:sz w:val="22"/>
                <w:szCs w:val="22"/>
              </w:rPr>
              <w:t xml:space="preserve">5.1 Ktoré zložky životného prostredia (najmä </w:t>
            </w:r>
            <w:r w:rsidR="006946BD" w:rsidRPr="00411E2D">
              <w:rPr>
                <w:b/>
                <w:sz w:val="22"/>
                <w:szCs w:val="22"/>
              </w:rPr>
              <w:t xml:space="preserve">klimatickú zmenu, </w:t>
            </w:r>
            <w:r w:rsidRPr="00411E2D">
              <w:rPr>
                <w:b/>
                <w:sz w:val="22"/>
                <w:szCs w:val="22"/>
              </w:rPr>
              <w:t>ovzdušie, voda, horniny, pôda, organizmy) budú predkladaným materiálom ovplyvnené</w:t>
            </w:r>
            <w:r w:rsidR="007E33A8" w:rsidRPr="00411E2D">
              <w:rPr>
                <w:b/>
                <w:sz w:val="22"/>
                <w:szCs w:val="22"/>
              </w:rPr>
              <w:t>,</w:t>
            </w:r>
            <w:r w:rsidRPr="00411E2D">
              <w:rPr>
                <w:b/>
                <w:sz w:val="22"/>
                <w:szCs w:val="22"/>
              </w:rPr>
              <w:t xml:space="preserve"> a aký bude ich vplyv?</w:t>
            </w:r>
          </w:p>
        </w:tc>
      </w:tr>
      <w:tr w:rsidR="00DD0F8E" w:rsidRPr="002E32C0" w:rsidTr="00120135">
        <w:trPr>
          <w:trHeight w:val="558"/>
        </w:trPr>
        <w:tc>
          <w:tcPr>
            <w:tcW w:w="9062" w:type="dxa"/>
            <w:shd w:val="clear" w:color="auto" w:fill="auto"/>
          </w:tcPr>
          <w:p w:rsidR="00DD0F8E" w:rsidRPr="00411E2D" w:rsidRDefault="00DD0F8E" w:rsidP="00DD0F8E">
            <w:pPr>
              <w:jc w:val="both"/>
              <w:rPr>
                <w:rFonts w:eastAsia="Calibri"/>
                <w:sz w:val="22"/>
                <w:szCs w:val="22"/>
              </w:rPr>
            </w:pPr>
            <w:r w:rsidRPr="00411E2D">
              <w:rPr>
                <w:rFonts w:eastAsia="Calibri"/>
                <w:sz w:val="22"/>
                <w:szCs w:val="22"/>
              </w:rPr>
              <w:t>Návrhy opatrení</w:t>
            </w:r>
            <w:r w:rsidR="009451C9" w:rsidRPr="00411E2D">
              <w:rPr>
                <w:rFonts w:eastAsia="Calibri"/>
                <w:sz w:val="22"/>
                <w:szCs w:val="22"/>
              </w:rPr>
              <w:t>,</w:t>
            </w:r>
            <w:r w:rsidRPr="00411E2D">
              <w:rPr>
                <w:rFonts w:eastAsia="Calibri"/>
                <w:sz w:val="22"/>
                <w:szCs w:val="22"/>
              </w:rPr>
              <w:t xml:space="preserve"> ktoré sú zapracované v predkladanej novele, vychádzajú z</w:t>
            </w:r>
            <w:r w:rsidR="00411E2D">
              <w:rPr>
                <w:rFonts w:eastAsia="Calibri"/>
                <w:sz w:val="22"/>
                <w:szCs w:val="22"/>
              </w:rPr>
              <w:t xml:space="preserve"> </w:t>
            </w:r>
            <w:r w:rsidRPr="00411E2D">
              <w:rPr>
                <w:rFonts w:eastAsia="Calibri"/>
                <w:sz w:val="22"/>
                <w:szCs w:val="22"/>
              </w:rPr>
              <w:t>požiadaviek v</w:t>
            </w:r>
            <w:r w:rsidR="00411E2D">
              <w:rPr>
                <w:rFonts w:eastAsia="Calibri"/>
                <w:sz w:val="22"/>
                <w:szCs w:val="22"/>
              </w:rPr>
              <w:t xml:space="preserve"> </w:t>
            </w:r>
            <w:r w:rsidRPr="00411E2D">
              <w:rPr>
                <w:rFonts w:eastAsia="Calibri"/>
                <w:sz w:val="22"/>
                <w:szCs w:val="22"/>
              </w:rPr>
              <w:t>záujme efektívnejšej implementácie Režimov v záujme klímy, životného prostredia a dobrých životných podmienok zvierat (eko-schém) s</w:t>
            </w:r>
            <w:r w:rsidR="00411E2D">
              <w:rPr>
                <w:rFonts w:eastAsia="Calibri"/>
                <w:sz w:val="22"/>
                <w:szCs w:val="22"/>
              </w:rPr>
              <w:t xml:space="preserve"> </w:t>
            </w:r>
            <w:r w:rsidRPr="00411E2D">
              <w:rPr>
                <w:rFonts w:eastAsia="Calibri"/>
                <w:sz w:val="22"/>
                <w:szCs w:val="22"/>
              </w:rPr>
              <w:t xml:space="preserve">plánovanou implementáciou od roku 2024. Požiadavky na modifikáciu </w:t>
            </w:r>
            <w:r w:rsidR="009451C9" w:rsidRPr="00411E2D">
              <w:rPr>
                <w:rFonts w:eastAsia="Calibri"/>
                <w:sz w:val="22"/>
                <w:szCs w:val="22"/>
              </w:rPr>
              <w:t>podpory formou celofarmovej</w:t>
            </w:r>
            <w:r w:rsidRPr="00411E2D">
              <w:rPr>
                <w:rFonts w:eastAsia="Calibri"/>
                <w:sz w:val="22"/>
                <w:szCs w:val="22"/>
              </w:rPr>
              <w:t xml:space="preserve"> eko-schém</w:t>
            </w:r>
            <w:r w:rsidR="009451C9" w:rsidRPr="00411E2D">
              <w:rPr>
                <w:rFonts w:eastAsia="Calibri"/>
                <w:sz w:val="22"/>
                <w:szCs w:val="22"/>
              </w:rPr>
              <w:t>y</w:t>
            </w:r>
            <w:r w:rsidRPr="00411E2D">
              <w:rPr>
                <w:rFonts w:eastAsia="Calibri"/>
                <w:sz w:val="22"/>
                <w:szCs w:val="22"/>
              </w:rPr>
              <w:t xml:space="preserve"> boli predložené jednotlivými zástupcami pracovnej skupiny</w:t>
            </w:r>
            <w:r w:rsidR="009451C9" w:rsidRPr="00411E2D">
              <w:rPr>
                <w:rFonts w:eastAsia="Calibri"/>
                <w:sz w:val="22"/>
                <w:szCs w:val="22"/>
              </w:rPr>
              <w:t>,</w:t>
            </w:r>
            <w:r w:rsidRPr="00411E2D">
              <w:rPr>
                <w:rFonts w:eastAsia="Calibri"/>
                <w:sz w:val="22"/>
                <w:szCs w:val="22"/>
              </w:rPr>
              <w:t xml:space="preserve"> ktorú tvoril okrem zástupcov MPRV SR, poľnohospodárskych samospráv aj zástupca MŽP SR a</w:t>
            </w:r>
            <w:r w:rsidR="00411E2D">
              <w:rPr>
                <w:rFonts w:eastAsia="Calibri"/>
                <w:sz w:val="22"/>
                <w:szCs w:val="22"/>
              </w:rPr>
              <w:t xml:space="preserve"> </w:t>
            </w:r>
            <w:r w:rsidRPr="00411E2D">
              <w:rPr>
                <w:rFonts w:eastAsia="Calibri"/>
                <w:sz w:val="22"/>
                <w:szCs w:val="22"/>
              </w:rPr>
              <w:t>environmentálnych organizácii.</w:t>
            </w:r>
          </w:p>
          <w:p w:rsidR="00DD0F8E" w:rsidRPr="00411E2D" w:rsidRDefault="00761E24" w:rsidP="00DD0F8E">
            <w:pPr>
              <w:jc w:val="both"/>
              <w:rPr>
                <w:rFonts w:eastAsia="Calibri"/>
                <w:sz w:val="22"/>
                <w:szCs w:val="22"/>
              </w:rPr>
            </w:pPr>
            <w:r w:rsidRPr="00411E2D">
              <w:rPr>
                <w:rFonts w:eastAsia="Calibri"/>
                <w:sz w:val="22"/>
                <w:szCs w:val="22"/>
              </w:rPr>
              <w:t xml:space="preserve">Predkladané </w:t>
            </w:r>
            <w:r w:rsidR="00DD0F8E" w:rsidRPr="00411E2D">
              <w:rPr>
                <w:rFonts w:eastAsia="Calibri"/>
                <w:sz w:val="22"/>
                <w:szCs w:val="22"/>
              </w:rPr>
              <w:t>opatrenia reagujú na implementačné ťažkosti v</w:t>
            </w:r>
            <w:r w:rsidR="00411E2D">
              <w:rPr>
                <w:rFonts w:eastAsia="Calibri"/>
                <w:sz w:val="22"/>
                <w:szCs w:val="22"/>
              </w:rPr>
              <w:t xml:space="preserve"> </w:t>
            </w:r>
            <w:r w:rsidR="00DD0F8E" w:rsidRPr="00411E2D">
              <w:rPr>
                <w:rFonts w:eastAsia="Calibri"/>
                <w:sz w:val="22"/>
                <w:szCs w:val="22"/>
              </w:rPr>
              <w:t>súvislosti s</w:t>
            </w:r>
            <w:r w:rsidR="00411E2D">
              <w:rPr>
                <w:rFonts w:eastAsia="Calibri"/>
                <w:sz w:val="22"/>
                <w:szCs w:val="22"/>
              </w:rPr>
              <w:t xml:space="preserve"> </w:t>
            </w:r>
            <w:r w:rsidR="009451C9" w:rsidRPr="00411E2D">
              <w:rPr>
                <w:rFonts w:eastAsia="Calibri"/>
                <w:sz w:val="22"/>
                <w:szCs w:val="22"/>
              </w:rPr>
              <w:t>podporou formou celofarmovej</w:t>
            </w:r>
            <w:r w:rsidR="00411E2D">
              <w:rPr>
                <w:rFonts w:eastAsia="Calibri"/>
                <w:sz w:val="22"/>
                <w:szCs w:val="22"/>
              </w:rPr>
              <w:t xml:space="preserve"> </w:t>
            </w:r>
            <w:r w:rsidR="00DD0F8E" w:rsidRPr="00411E2D">
              <w:rPr>
                <w:rFonts w:eastAsia="Calibri"/>
                <w:sz w:val="22"/>
                <w:szCs w:val="22"/>
              </w:rPr>
              <w:t>eko-schém</w:t>
            </w:r>
            <w:r w:rsidR="009451C9" w:rsidRPr="00411E2D">
              <w:rPr>
                <w:rFonts w:eastAsia="Calibri"/>
                <w:sz w:val="22"/>
                <w:szCs w:val="22"/>
              </w:rPr>
              <w:t>y</w:t>
            </w:r>
            <w:r w:rsidR="005D4D93" w:rsidRPr="00411E2D">
              <w:rPr>
                <w:rFonts w:eastAsia="Calibri"/>
                <w:sz w:val="22"/>
                <w:szCs w:val="22"/>
              </w:rPr>
              <w:t xml:space="preserve"> v</w:t>
            </w:r>
            <w:r w:rsidR="00411E2D">
              <w:rPr>
                <w:rFonts w:eastAsia="Calibri"/>
                <w:sz w:val="22"/>
                <w:szCs w:val="22"/>
              </w:rPr>
              <w:t xml:space="preserve"> </w:t>
            </w:r>
            <w:r w:rsidR="005D4D93" w:rsidRPr="00411E2D">
              <w:rPr>
                <w:rFonts w:eastAsia="Calibri"/>
                <w:sz w:val="22"/>
                <w:szCs w:val="22"/>
              </w:rPr>
              <w:t>roku 2023</w:t>
            </w:r>
            <w:r w:rsidR="00DD0F8E" w:rsidRPr="00411E2D">
              <w:rPr>
                <w:rFonts w:eastAsia="Calibri"/>
                <w:sz w:val="22"/>
                <w:szCs w:val="22"/>
              </w:rPr>
              <w:t xml:space="preserve">, pričom neznižujú ich environmentálne ambície. Preto neočakávame </w:t>
            </w:r>
            <w:r w:rsidRPr="00411E2D">
              <w:rPr>
                <w:rFonts w:eastAsia="Calibri"/>
                <w:sz w:val="22"/>
                <w:szCs w:val="22"/>
              </w:rPr>
              <w:t>negatívne vplyvy v</w:t>
            </w:r>
            <w:r w:rsidR="00411E2D">
              <w:rPr>
                <w:rFonts w:eastAsia="Calibri"/>
                <w:sz w:val="22"/>
                <w:szCs w:val="22"/>
              </w:rPr>
              <w:t xml:space="preserve"> </w:t>
            </w:r>
            <w:r w:rsidRPr="00411E2D">
              <w:rPr>
                <w:rFonts w:eastAsia="Calibri"/>
                <w:sz w:val="22"/>
                <w:szCs w:val="22"/>
              </w:rPr>
              <w:t xml:space="preserve">súvislosti s klimatickou </w:t>
            </w:r>
            <w:r w:rsidR="00DD0F8E" w:rsidRPr="00411E2D">
              <w:rPr>
                <w:rFonts w:eastAsia="Calibri"/>
                <w:sz w:val="22"/>
                <w:szCs w:val="22"/>
              </w:rPr>
              <w:t>zmen</w:t>
            </w:r>
            <w:r w:rsidRPr="00411E2D">
              <w:rPr>
                <w:rFonts w:eastAsia="Calibri"/>
                <w:sz w:val="22"/>
                <w:szCs w:val="22"/>
              </w:rPr>
              <w:t>ou, ovzduším</w:t>
            </w:r>
            <w:r w:rsidR="00DD0F8E" w:rsidRPr="00411E2D">
              <w:rPr>
                <w:rFonts w:eastAsia="Calibri"/>
                <w:sz w:val="22"/>
                <w:szCs w:val="22"/>
              </w:rPr>
              <w:t>, vod</w:t>
            </w:r>
            <w:r w:rsidRPr="00411E2D">
              <w:rPr>
                <w:rFonts w:eastAsia="Calibri"/>
                <w:sz w:val="22"/>
                <w:szCs w:val="22"/>
              </w:rPr>
              <w:t>ou, horninami</w:t>
            </w:r>
            <w:r w:rsidR="00DD0F8E" w:rsidRPr="00411E2D">
              <w:rPr>
                <w:rFonts w:eastAsia="Calibri"/>
                <w:sz w:val="22"/>
                <w:szCs w:val="22"/>
              </w:rPr>
              <w:t>, pôd</w:t>
            </w:r>
            <w:r w:rsidRPr="00411E2D">
              <w:rPr>
                <w:rFonts w:eastAsia="Calibri"/>
                <w:sz w:val="22"/>
                <w:szCs w:val="22"/>
              </w:rPr>
              <w:t>ou a</w:t>
            </w:r>
            <w:r w:rsidR="00411E2D">
              <w:rPr>
                <w:rFonts w:eastAsia="Calibri"/>
                <w:sz w:val="22"/>
                <w:szCs w:val="22"/>
              </w:rPr>
              <w:t xml:space="preserve"> </w:t>
            </w:r>
            <w:r w:rsidR="00DD0F8E" w:rsidRPr="00411E2D">
              <w:rPr>
                <w:rFonts w:eastAsia="Calibri"/>
                <w:sz w:val="22"/>
                <w:szCs w:val="22"/>
              </w:rPr>
              <w:t>organizm</w:t>
            </w:r>
            <w:r w:rsidRPr="00411E2D">
              <w:rPr>
                <w:rFonts w:eastAsia="Calibri"/>
                <w:sz w:val="22"/>
                <w:szCs w:val="22"/>
              </w:rPr>
              <w:t>ami.</w:t>
            </w:r>
          </w:p>
          <w:p w:rsidR="00DD0F8E" w:rsidRPr="00411E2D" w:rsidRDefault="00DD0F8E" w:rsidP="00DD0F8E">
            <w:pPr>
              <w:jc w:val="both"/>
              <w:rPr>
                <w:rFonts w:eastAsia="Calibri"/>
                <w:sz w:val="22"/>
                <w:szCs w:val="22"/>
              </w:rPr>
            </w:pPr>
            <w:r w:rsidRPr="00411E2D">
              <w:rPr>
                <w:rFonts w:eastAsia="Calibri"/>
                <w:sz w:val="22"/>
                <w:szCs w:val="22"/>
              </w:rPr>
              <w:t xml:space="preserve">Predmetom </w:t>
            </w:r>
            <w:r w:rsidR="00761E24" w:rsidRPr="00411E2D">
              <w:rPr>
                <w:rFonts w:eastAsia="Calibri"/>
                <w:sz w:val="22"/>
                <w:szCs w:val="22"/>
              </w:rPr>
              <w:t>environmentálneho</w:t>
            </w:r>
            <w:r w:rsidRPr="00411E2D">
              <w:rPr>
                <w:rFonts w:eastAsia="Calibri"/>
                <w:sz w:val="22"/>
                <w:szCs w:val="22"/>
              </w:rPr>
              <w:t xml:space="preserve"> vplyvu</w:t>
            </w:r>
            <w:r w:rsidR="00761E24" w:rsidRPr="00411E2D">
              <w:rPr>
                <w:rFonts w:eastAsia="Calibri"/>
                <w:sz w:val="22"/>
                <w:szCs w:val="22"/>
              </w:rPr>
              <w:t>,</w:t>
            </w:r>
            <w:r w:rsidRPr="00411E2D">
              <w:rPr>
                <w:rFonts w:eastAsia="Calibri"/>
                <w:sz w:val="22"/>
                <w:szCs w:val="22"/>
              </w:rPr>
              <w:t xml:space="preserve"> môžu byť zmenené </w:t>
            </w:r>
            <w:r w:rsidR="00054E5C">
              <w:rPr>
                <w:rFonts w:eastAsia="Calibri"/>
                <w:sz w:val="22"/>
                <w:szCs w:val="22"/>
              </w:rPr>
              <w:t>podmienky</w:t>
            </w:r>
            <w:r w:rsidR="00761E24" w:rsidRPr="00411E2D">
              <w:rPr>
                <w:rFonts w:eastAsia="Calibri"/>
                <w:sz w:val="22"/>
                <w:szCs w:val="22"/>
              </w:rPr>
              <w:t xml:space="preserve"> </w:t>
            </w:r>
            <w:r w:rsidRPr="00411E2D">
              <w:rPr>
                <w:rFonts w:eastAsia="Calibri"/>
                <w:sz w:val="22"/>
                <w:szCs w:val="22"/>
              </w:rPr>
              <w:t xml:space="preserve">pre odstraňovanie inváznych nepôvodných druhov rastlín, resp. húževnatých burín na </w:t>
            </w:r>
            <w:r w:rsidR="00761E24" w:rsidRPr="00411E2D">
              <w:rPr>
                <w:rFonts w:eastAsia="Calibri"/>
                <w:sz w:val="22"/>
                <w:szCs w:val="22"/>
              </w:rPr>
              <w:t>neproduktívnych</w:t>
            </w:r>
            <w:r w:rsidRPr="00411E2D">
              <w:rPr>
                <w:rFonts w:eastAsia="Calibri"/>
                <w:sz w:val="22"/>
                <w:szCs w:val="22"/>
              </w:rPr>
              <w:t xml:space="preserve"> prvkoch (úhor s</w:t>
            </w:r>
            <w:r w:rsidR="00411E2D">
              <w:rPr>
                <w:rFonts w:eastAsia="Calibri"/>
                <w:sz w:val="22"/>
                <w:szCs w:val="22"/>
              </w:rPr>
              <w:t xml:space="preserve"> </w:t>
            </w:r>
            <w:r w:rsidRPr="00411E2D">
              <w:rPr>
                <w:rFonts w:eastAsia="Calibri"/>
                <w:sz w:val="22"/>
                <w:szCs w:val="22"/>
              </w:rPr>
              <w:t>porastom</w:t>
            </w:r>
            <w:r w:rsidR="00761E24" w:rsidRPr="00411E2D">
              <w:rPr>
                <w:rFonts w:eastAsia="Calibri"/>
                <w:sz w:val="22"/>
                <w:szCs w:val="22"/>
              </w:rPr>
              <w:t>,</w:t>
            </w:r>
            <w:r w:rsidRPr="00411E2D">
              <w:rPr>
                <w:rFonts w:eastAsia="Calibri"/>
                <w:sz w:val="22"/>
                <w:szCs w:val="22"/>
              </w:rPr>
              <w:t xml:space="preserve"> biopásy, plochy vysiate zmesami pre opeľovače)</w:t>
            </w:r>
            <w:r w:rsidR="009451C9" w:rsidRPr="00411E2D">
              <w:rPr>
                <w:rFonts w:eastAsia="Calibri"/>
                <w:sz w:val="22"/>
                <w:szCs w:val="22"/>
              </w:rPr>
              <w:t>,</w:t>
            </w:r>
            <w:r w:rsidRPr="00411E2D">
              <w:rPr>
                <w:rFonts w:eastAsia="Calibri"/>
                <w:sz w:val="22"/>
                <w:szCs w:val="22"/>
              </w:rPr>
              <w:t xml:space="preserve"> ktoré negatívne ovplyvňovali hospodárenie na ornej pôde.</w:t>
            </w:r>
          </w:p>
          <w:p w:rsidR="00DD0F8E" w:rsidRPr="00411E2D" w:rsidRDefault="00DD0F8E" w:rsidP="00DD0F8E">
            <w:pPr>
              <w:jc w:val="both"/>
              <w:rPr>
                <w:rFonts w:eastAsia="Calibri"/>
                <w:sz w:val="22"/>
                <w:szCs w:val="22"/>
              </w:rPr>
            </w:pPr>
            <w:r w:rsidRPr="00411E2D">
              <w:rPr>
                <w:rFonts w:eastAsia="Calibri"/>
                <w:sz w:val="22"/>
                <w:szCs w:val="22"/>
              </w:rPr>
              <w:t>Aktuálne plošné zapojenie do</w:t>
            </w:r>
            <w:r w:rsidR="009451C9" w:rsidRPr="00411E2D">
              <w:rPr>
                <w:rFonts w:eastAsia="Calibri"/>
                <w:sz w:val="22"/>
                <w:szCs w:val="22"/>
              </w:rPr>
              <w:t xml:space="preserve"> podpory formou</w:t>
            </w:r>
            <w:r w:rsidRPr="00411E2D">
              <w:rPr>
                <w:rFonts w:eastAsia="Calibri"/>
                <w:sz w:val="22"/>
                <w:szCs w:val="22"/>
              </w:rPr>
              <w:t xml:space="preserve"> celofarmovej eko</w:t>
            </w:r>
            <w:r w:rsidR="009451C9" w:rsidRPr="00411E2D">
              <w:rPr>
                <w:rFonts w:eastAsia="Calibri"/>
                <w:sz w:val="22"/>
                <w:szCs w:val="22"/>
              </w:rPr>
              <w:t>-</w:t>
            </w:r>
            <w:r w:rsidRPr="00411E2D">
              <w:rPr>
                <w:rFonts w:eastAsia="Calibri"/>
                <w:sz w:val="22"/>
                <w:szCs w:val="22"/>
              </w:rPr>
              <w:t>schémy na národnej úrovni je</w:t>
            </w:r>
            <w:r w:rsidR="00761E24" w:rsidRPr="00411E2D">
              <w:rPr>
                <w:rFonts w:eastAsia="Calibri"/>
                <w:sz w:val="22"/>
                <w:szCs w:val="22"/>
              </w:rPr>
              <w:t xml:space="preserve"> podľa predbežn</w:t>
            </w:r>
            <w:r w:rsidR="009451C9" w:rsidRPr="00411E2D">
              <w:rPr>
                <w:rFonts w:eastAsia="Calibri"/>
                <w:sz w:val="22"/>
                <w:szCs w:val="22"/>
              </w:rPr>
              <w:t>ýc</w:t>
            </w:r>
            <w:r w:rsidR="00761E24" w:rsidRPr="00411E2D">
              <w:rPr>
                <w:rFonts w:eastAsia="Calibri"/>
                <w:sz w:val="22"/>
                <w:szCs w:val="22"/>
              </w:rPr>
              <w:t xml:space="preserve">h údajov </w:t>
            </w:r>
            <w:r w:rsidRPr="00411E2D">
              <w:rPr>
                <w:rFonts w:eastAsia="Calibri"/>
                <w:sz w:val="22"/>
                <w:szCs w:val="22"/>
              </w:rPr>
              <w:t xml:space="preserve">85,6 %, </w:t>
            </w:r>
            <w:r w:rsidR="00761E24" w:rsidRPr="00411E2D">
              <w:rPr>
                <w:rFonts w:eastAsia="Calibri"/>
                <w:sz w:val="22"/>
                <w:szCs w:val="22"/>
              </w:rPr>
              <w:t>ú</w:t>
            </w:r>
            <w:r w:rsidRPr="00411E2D">
              <w:rPr>
                <w:rFonts w:eastAsia="Calibri"/>
                <w:sz w:val="22"/>
                <w:szCs w:val="22"/>
              </w:rPr>
              <w:t>roveň tohto zapojenia ohrozuje rozsiahly výskyt inváznych</w:t>
            </w:r>
            <w:r w:rsidR="00411E2D">
              <w:t xml:space="preserve"> </w:t>
            </w:r>
            <w:r w:rsidR="00411E2D" w:rsidRPr="00411E2D">
              <w:rPr>
                <w:rFonts w:eastAsia="Calibri"/>
                <w:sz w:val="22"/>
                <w:szCs w:val="22"/>
              </w:rPr>
              <w:t>nepôvodných druhov rastlín</w:t>
            </w:r>
            <w:r w:rsidRPr="00411E2D">
              <w:rPr>
                <w:rFonts w:eastAsia="Calibri"/>
                <w:sz w:val="22"/>
                <w:szCs w:val="22"/>
              </w:rPr>
              <w:t xml:space="preserve"> a</w:t>
            </w:r>
            <w:r w:rsidR="00411E2D">
              <w:rPr>
                <w:rFonts w:eastAsia="Calibri"/>
                <w:sz w:val="22"/>
                <w:szCs w:val="22"/>
              </w:rPr>
              <w:t xml:space="preserve"> </w:t>
            </w:r>
            <w:r w:rsidRPr="00411E2D">
              <w:rPr>
                <w:rFonts w:eastAsia="Calibri"/>
                <w:sz w:val="22"/>
                <w:szCs w:val="22"/>
              </w:rPr>
              <w:t>húževnatých burín, ktorých odstraňovanie bolo v</w:t>
            </w:r>
            <w:r w:rsidR="00411E2D">
              <w:rPr>
                <w:rFonts w:eastAsia="Calibri"/>
                <w:sz w:val="22"/>
                <w:szCs w:val="22"/>
              </w:rPr>
              <w:t xml:space="preserve"> </w:t>
            </w:r>
            <w:r w:rsidR="00E226DE" w:rsidRPr="00411E2D">
              <w:rPr>
                <w:rFonts w:eastAsia="Calibri"/>
                <w:sz w:val="22"/>
                <w:szCs w:val="22"/>
              </w:rPr>
              <w:t>súčasnosti</w:t>
            </w:r>
            <w:r w:rsidRPr="00411E2D">
              <w:rPr>
                <w:rFonts w:eastAsia="Calibri"/>
                <w:sz w:val="22"/>
                <w:szCs w:val="22"/>
              </w:rPr>
              <w:t xml:space="preserve"> </w:t>
            </w:r>
            <w:r w:rsidR="00411E2D">
              <w:rPr>
                <w:rFonts w:eastAsia="Calibri"/>
                <w:sz w:val="22"/>
                <w:szCs w:val="22"/>
              </w:rPr>
              <w:t xml:space="preserve">v </w:t>
            </w:r>
            <w:r w:rsidRPr="00411E2D">
              <w:rPr>
                <w:rFonts w:eastAsia="Calibri"/>
                <w:sz w:val="22"/>
                <w:szCs w:val="22"/>
              </w:rPr>
              <w:t>platnej legislatíve prísne nastavené</w:t>
            </w:r>
            <w:r w:rsidR="00E226DE" w:rsidRPr="00411E2D">
              <w:rPr>
                <w:rFonts w:eastAsia="Calibri"/>
                <w:sz w:val="22"/>
                <w:szCs w:val="22"/>
              </w:rPr>
              <w:t>,</w:t>
            </w:r>
            <w:r w:rsidRPr="00411E2D">
              <w:rPr>
                <w:rFonts w:eastAsia="Calibri"/>
                <w:sz w:val="22"/>
                <w:szCs w:val="22"/>
              </w:rPr>
              <w:t xml:space="preserve"> s cieľom ochrany biodiverzity, no v dôsledku vysokých zrážok na veľkej časti </w:t>
            </w:r>
            <w:r w:rsidR="00761E24" w:rsidRPr="00411E2D">
              <w:rPr>
                <w:rFonts w:eastAsia="Calibri"/>
                <w:sz w:val="22"/>
                <w:szCs w:val="22"/>
              </w:rPr>
              <w:t>neproduktívnych plôch</w:t>
            </w:r>
            <w:r w:rsidR="009451C9" w:rsidRPr="00411E2D">
              <w:rPr>
                <w:rFonts w:eastAsia="Calibri"/>
                <w:sz w:val="22"/>
                <w:szCs w:val="22"/>
              </w:rPr>
              <w:t xml:space="preserve"> </w:t>
            </w:r>
            <w:r w:rsidRPr="00411E2D">
              <w:rPr>
                <w:rFonts w:eastAsia="Calibri"/>
                <w:sz w:val="22"/>
                <w:szCs w:val="22"/>
              </w:rPr>
              <w:t>vznikli súvislé porasty burín. Výsledkom bolo</w:t>
            </w:r>
            <w:r w:rsidR="009451C9" w:rsidRPr="00411E2D">
              <w:rPr>
                <w:rFonts w:eastAsia="Calibri"/>
                <w:sz w:val="22"/>
                <w:szCs w:val="22"/>
              </w:rPr>
              <w:t>, že</w:t>
            </w:r>
            <w:r w:rsidRPr="00411E2D">
              <w:rPr>
                <w:rFonts w:eastAsia="Calibri"/>
                <w:sz w:val="22"/>
                <w:szCs w:val="22"/>
              </w:rPr>
              <w:t xml:space="preserve"> v dôsledku nemožnosti zásahu na biopásoch založených ako úhor</w:t>
            </w:r>
            <w:r w:rsidR="009451C9" w:rsidRPr="00411E2D">
              <w:rPr>
                <w:rFonts w:eastAsia="Calibri"/>
                <w:sz w:val="22"/>
                <w:szCs w:val="22"/>
              </w:rPr>
              <w:t>,</w:t>
            </w:r>
            <w:r w:rsidRPr="00411E2D">
              <w:rPr>
                <w:rFonts w:eastAsia="Calibri"/>
                <w:sz w:val="22"/>
                <w:szCs w:val="22"/>
              </w:rPr>
              <w:t xml:space="preserve"> či zmesou pre opeľovače, porasty burín potlačili cieľové rastlinstvo, keďže kosenie týchto plôch bolo možné až </w:t>
            </w:r>
            <w:r w:rsidR="00054E5C">
              <w:rPr>
                <w:rFonts w:eastAsia="Calibri"/>
                <w:sz w:val="22"/>
                <w:szCs w:val="22"/>
              </w:rPr>
              <w:t>od</w:t>
            </w:r>
            <w:r w:rsidRPr="00411E2D">
              <w:rPr>
                <w:rFonts w:eastAsia="Calibri"/>
                <w:sz w:val="22"/>
                <w:szCs w:val="22"/>
              </w:rPr>
              <w:t xml:space="preserve"> 1.8. v prípade úhora s porastom, či po 30.9. v prípade plôch vysiatych zmesami pre opeľovače.</w:t>
            </w:r>
          </w:p>
          <w:p w:rsidR="00DD0F8E" w:rsidRPr="00411E2D" w:rsidRDefault="00DD0F8E" w:rsidP="00DD0F8E">
            <w:pPr>
              <w:jc w:val="both"/>
              <w:rPr>
                <w:rFonts w:eastAsia="Calibri"/>
                <w:sz w:val="22"/>
                <w:szCs w:val="22"/>
              </w:rPr>
            </w:pPr>
            <w:r w:rsidRPr="00411E2D">
              <w:rPr>
                <w:rFonts w:eastAsia="Calibri"/>
                <w:sz w:val="22"/>
                <w:szCs w:val="22"/>
              </w:rPr>
              <w:t>Vzniknutá situácia</w:t>
            </w:r>
            <w:r w:rsidR="009451C9" w:rsidRPr="00411E2D">
              <w:rPr>
                <w:rFonts w:eastAsia="Calibri"/>
                <w:sz w:val="22"/>
                <w:szCs w:val="22"/>
              </w:rPr>
              <w:t>,</w:t>
            </w:r>
            <w:r w:rsidRPr="00411E2D">
              <w:rPr>
                <w:rFonts w:eastAsia="Calibri"/>
                <w:sz w:val="22"/>
                <w:szCs w:val="22"/>
              </w:rPr>
              <w:t xml:space="preserve"> preto odrádza </w:t>
            </w:r>
            <w:r w:rsidR="009451C9" w:rsidRPr="00411E2D">
              <w:rPr>
                <w:rFonts w:eastAsia="Calibri"/>
                <w:sz w:val="22"/>
                <w:szCs w:val="22"/>
              </w:rPr>
              <w:t xml:space="preserve">poľnohospodárske </w:t>
            </w:r>
            <w:r w:rsidRPr="00411E2D">
              <w:rPr>
                <w:rFonts w:eastAsia="Calibri"/>
                <w:sz w:val="22"/>
                <w:szCs w:val="22"/>
              </w:rPr>
              <w:t>podniky od účasti v</w:t>
            </w:r>
            <w:r w:rsidR="00411E2D">
              <w:rPr>
                <w:rFonts w:eastAsia="Calibri"/>
                <w:sz w:val="22"/>
                <w:szCs w:val="22"/>
              </w:rPr>
              <w:t xml:space="preserve"> </w:t>
            </w:r>
            <w:r w:rsidR="009451C9" w:rsidRPr="00411E2D">
              <w:rPr>
                <w:rFonts w:eastAsia="Calibri"/>
                <w:sz w:val="22"/>
                <w:szCs w:val="22"/>
              </w:rPr>
              <w:t>podpore formou celofarmovej</w:t>
            </w:r>
            <w:r w:rsidR="00411E2D">
              <w:rPr>
                <w:rFonts w:eastAsia="Calibri"/>
                <w:sz w:val="22"/>
                <w:szCs w:val="22"/>
              </w:rPr>
              <w:t xml:space="preserve"> </w:t>
            </w:r>
            <w:r w:rsidRPr="00411E2D">
              <w:rPr>
                <w:rFonts w:eastAsia="Calibri"/>
                <w:sz w:val="22"/>
                <w:szCs w:val="22"/>
              </w:rPr>
              <w:t>eko</w:t>
            </w:r>
            <w:r w:rsidR="00761E24" w:rsidRPr="00411E2D">
              <w:rPr>
                <w:rFonts w:eastAsia="Calibri"/>
                <w:sz w:val="22"/>
                <w:szCs w:val="22"/>
              </w:rPr>
              <w:t>-</w:t>
            </w:r>
            <w:r w:rsidRPr="00411E2D">
              <w:rPr>
                <w:rFonts w:eastAsia="Calibri"/>
                <w:sz w:val="22"/>
                <w:szCs w:val="22"/>
              </w:rPr>
              <w:t>schém</w:t>
            </w:r>
            <w:r w:rsidR="009451C9" w:rsidRPr="00411E2D">
              <w:rPr>
                <w:rFonts w:eastAsia="Calibri"/>
                <w:sz w:val="22"/>
                <w:szCs w:val="22"/>
              </w:rPr>
              <w:t>y</w:t>
            </w:r>
            <w:r w:rsidRPr="00411E2D">
              <w:rPr>
                <w:rFonts w:eastAsia="Calibri"/>
                <w:sz w:val="22"/>
                <w:szCs w:val="22"/>
              </w:rPr>
              <w:t>.</w:t>
            </w:r>
            <w:r w:rsidR="005D4D93" w:rsidRPr="00411E2D">
              <w:rPr>
                <w:rFonts w:eastAsia="Calibri"/>
                <w:sz w:val="22"/>
                <w:szCs w:val="22"/>
              </w:rPr>
              <w:t xml:space="preserve"> </w:t>
            </w:r>
            <w:r w:rsidRPr="00411E2D">
              <w:rPr>
                <w:rFonts w:eastAsia="Calibri"/>
                <w:sz w:val="22"/>
                <w:szCs w:val="22"/>
              </w:rPr>
              <w:t xml:space="preserve">Vzhľadom k očakávanému prínosu </w:t>
            </w:r>
            <w:r w:rsidR="00F80497" w:rsidRPr="00411E2D">
              <w:rPr>
                <w:rFonts w:eastAsia="Calibri"/>
                <w:sz w:val="22"/>
                <w:szCs w:val="22"/>
              </w:rPr>
              <w:t xml:space="preserve">celofarmovej </w:t>
            </w:r>
            <w:r w:rsidRPr="00411E2D">
              <w:rPr>
                <w:rFonts w:eastAsia="Calibri"/>
                <w:sz w:val="22"/>
                <w:szCs w:val="22"/>
              </w:rPr>
              <w:t>eko</w:t>
            </w:r>
            <w:r w:rsidR="00761E24" w:rsidRPr="00411E2D">
              <w:rPr>
                <w:rFonts w:eastAsia="Calibri"/>
                <w:sz w:val="22"/>
                <w:szCs w:val="22"/>
              </w:rPr>
              <w:t>-</w:t>
            </w:r>
            <w:r w:rsidR="005D4D93" w:rsidRPr="00411E2D">
              <w:rPr>
                <w:rFonts w:eastAsia="Calibri"/>
                <w:sz w:val="22"/>
                <w:szCs w:val="22"/>
              </w:rPr>
              <w:t>schém</w:t>
            </w:r>
            <w:r w:rsidR="00F80497" w:rsidRPr="00411E2D">
              <w:rPr>
                <w:rFonts w:eastAsia="Calibri"/>
                <w:sz w:val="22"/>
                <w:szCs w:val="22"/>
              </w:rPr>
              <w:t>y</w:t>
            </w:r>
            <w:r w:rsidR="005D4D93" w:rsidRPr="00411E2D">
              <w:rPr>
                <w:rFonts w:eastAsia="Calibri"/>
                <w:sz w:val="22"/>
                <w:szCs w:val="22"/>
              </w:rPr>
              <w:t xml:space="preserve"> môže byť vystupovanie </w:t>
            </w:r>
            <w:r w:rsidR="00F80497" w:rsidRPr="00411E2D">
              <w:rPr>
                <w:rFonts w:eastAsia="Calibri"/>
                <w:sz w:val="22"/>
                <w:szCs w:val="22"/>
              </w:rPr>
              <w:t xml:space="preserve">poľnohospodárskych </w:t>
            </w:r>
            <w:r w:rsidR="005D4D93" w:rsidRPr="00411E2D">
              <w:rPr>
                <w:rFonts w:eastAsia="Calibri"/>
                <w:sz w:val="22"/>
                <w:szCs w:val="22"/>
              </w:rPr>
              <w:t>podnikov z</w:t>
            </w:r>
            <w:r w:rsidR="00411E2D">
              <w:rPr>
                <w:rFonts w:eastAsia="Calibri"/>
                <w:sz w:val="22"/>
                <w:szCs w:val="22"/>
              </w:rPr>
              <w:t xml:space="preserve"> </w:t>
            </w:r>
            <w:r w:rsidR="005D4D93" w:rsidRPr="00411E2D">
              <w:rPr>
                <w:rFonts w:eastAsia="Calibri"/>
                <w:sz w:val="22"/>
                <w:szCs w:val="22"/>
              </w:rPr>
              <w:t xml:space="preserve">tejto </w:t>
            </w:r>
            <w:r w:rsidR="00F80497" w:rsidRPr="00411E2D">
              <w:rPr>
                <w:rFonts w:eastAsia="Calibri"/>
                <w:sz w:val="22"/>
                <w:szCs w:val="22"/>
              </w:rPr>
              <w:t>podpory</w:t>
            </w:r>
            <w:r w:rsidRPr="00411E2D">
              <w:rPr>
                <w:rFonts w:eastAsia="Calibri"/>
                <w:sz w:val="22"/>
                <w:szCs w:val="22"/>
              </w:rPr>
              <w:t xml:space="preserve"> zmar</w:t>
            </w:r>
            <w:r w:rsidR="00761E24" w:rsidRPr="00411E2D">
              <w:rPr>
                <w:rFonts w:eastAsia="Calibri"/>
                <w:sz w:val="22"/>
                <w:szCs w:val="22"/>
              </w:rPr>
              <w:t>ením</w:t>
            </w:r>
            <w:r w:rsidRPr="00411E2D">
              <w:rPr>
                <w:rFonts w:eastAsia="Calibri"/>
                <w:sz w:val="22"/>
                <w:szCs w:val="22"/>
              </w:rPr>
              <w:t xml:space="preserve"> </w:t>
            </w:r>
            <w:r w:rsidR="00E226DE" w:rsidRPr="00411E2D">
              <w:rPr>
                <w:rFonts w:eastAsia="Calibri"/>
                <w:sz w:val="22"/>
                <w:szCs w:val="22"/>
              </w:rPr>
              <w:t>doterajších</w:t>
            </w:r>
            <w:r w:rsidR="00761E24" w:rsidRPr="00411E2D">
              <w:rPr>
                <w:rFonts w:eastAsia="Calibri"/>
                <w:sz w:val="22"/>
                <w:szCs w:val="22"/>
              </w:rPr>
              <w:t xml:space="preserve"> </w:t>
            </w:r>
            <w:r w:rsidRPr="00411E2D">
              <w:rPr>
                <w:rFonts w:eastAsia="Calibri"/>
                <w:sz w:val="22"/>
                <w:szCs w:val="22"/>
              </w:rPr>
              <w:t>prínos</w:t>
            </w:r>
            <w:r w:rsidR="00761E24" w:rsidRPr="00411E2D">
              <w:rPr>
                <w:rFonts w:eastAsia="Calibri"/>
                <w:sz w:val="22"/>
                <w:szCs w:val="22"/>
              </w:rPr>
              <w:t>ov</w:t>
            </w:r>
            <w:r w:rsidR="005D4D93" w:rsidRPr="00411E2D">
              <w:rPr>
                <w:rFonts w:eastAsia="Calibri"/>
                <w:sz w:val="22"/>
                <w:szCs w:val="22"/>
              </w:rPr>
              <w:t>.</w:t>
            </w:r>
            <w:r w:rsidRPr="00411E2D">
              <w:rPr>
                <w:rFonts w:eastAsia="Calibri"/>
                <w:sz w:val="22"/>
                <w:szCs w:val="22"/>
              </w:rPr>
              <w:t xml:space="preserve"> (SOS/BirdLife Slovensko na základe predbežných dát zistilo niekoľkonásobne vyššiu početnosť vtáctva v biopásoch ako mimo nich).</w:t>
            </w:r>
          </w:p>
          <w:p w:rsidR="00DD0F8E" w:rsidRPr="00411E2D" w:rsidRDefault="00DD0F8E" w:rsidP="00DD0F8E">
            <w:pPr>
              <w:jc w:val="both"/>
              <w:rPr>
                <w:rFonts w:eastAsia="Calibri"/>
                <w:sz w:val="22"/>
                <w:szCs w:val="22"/>
              </w:rPr>
            </w:pPr>
            <w:r w:rsidRPr="00411E2D">
              <w:rPr>
                <w:rFonts w:eastAsia="Calibri"/>
                <w:sz w:val="22"/>
                <w:szCs w:val="22"/>
              </w:rPr>
              <w:t>Nakoľko v posledných rokoch aj vplyvom klimatických zmien nedochádza k prirodzen</w:t>
            </w:r>
            <w:bookmarkStart w:id="0" w:name="_GoBack"/>
            <w:bookmarkEnd w:id="0"/>
            <w:r w:rsidRPr="00411E2D">
              <w:rPr>
                <w:rFonts w:eastAsia="Calibri"/>
                <w:sz w:val="22"/>
                <w:szCs w:val="22"/>
              </w:rPr>
              <w:t>ému poklesu populácií hraboša poľného, spôsobovanie škôd hrabošmi sa nezastavuje ani počas zimného obdobia a škody na ozimných plodinách (ozimné obilniny a repka ozimná)</w:t>
            </w:r>
            <w:r w:rsidR="00411E2D">
              <w:rPr>
                <w:rFonts w:eastAsia="Calibri"/>
                <w:sz w:val="22"/>
                <w:szCs w:val="22"/>
              </w:rPr>
              <w:t>,</w:t>
            </w:r>
            <w:r w:rsidRPr="00411E2D">
              <w:rPr>
                <w:rFonts w:eastAsia="Calibri"/>
                <w:sz w:val="22"/>
                <w:szCs w:val="22"/>
              </w:rPr>
              <w:t xml:space="preserve"> ako aj na viacročných krmovinách permanentne pretrvávajú a majú významné ekonomické dopady. Na základe aktuálneho monitoringu môžeme konštatovať, že početnosť hraboša poľného je veľmi vysoká, čo indikuje nástup druhu do gradačného maxima. Kulmináciu početnosti druhu očakávame vo vegetačnom období roku 2024, pričom už v roku 2023 vo viacerých územiach spôsobila gradácia hrabošov nemalé výpadky na produkcii (na niektorých farmách na ploche vyššej ako 80%). V priebehu nami realizovaného monitoringu (2014</w:t>
            </w:r>
            <w:r w:rsidR="00411E2D">
              <w:rPr>
                <w:rFonts w:eastAsia="Calibri"/>
                <w:sz w:val="22"/>
                <w:szCs w:val="22"/>
              </w:rPr>
              <w:t xml:space="preserve"> </w:t>
            </w:r>
            <w:r w:rsidRPr="00411E2D">
              <w:rPr>
                <w:rFonts w:eastAsia="Calibri"/>
                <w:sz w:val="22"/>
                <w:szCs w:val="22"/>
              </w:rPr>
              <w:t>–</w:t>
            </w:r>
            <w:r w:rsidR="00411E2D">
              <w:rPr>
                <w:rFonts w:eastAsia="Calibri"/>
                <w:sz w:val="22"/>
                <w:szCs w:val="22"/>
              </w:rPr>
              <w:t xml:space="preserve"> </w:t>
            </w:r>
            <w:r w:rsidRPr="00411E2D">
              <w:rPr>
                <w:rFonts w:eastAsia="Calibri"/>
                <w:sz w:val="22"/>
                <w:szCs w:val="22"/>
              </w:rPr>
              <w:t xml:space="preserve">2023) sme zaznamenali </w:t>
            </w:r>
            <w:r w:rsidR="00411E2D">
              <w:rPr>
                <w:rFonts w:eastAsia="Calibri"/>
                <w:sz w:val="22"/>
                <w:szCs w:val="22"/>
              </w:rPr>
              <w:t xml:space="preserve">tri </w:t>
            </w:r>
            <w:r w:rsidRPr="00411E2D">
              <w:rPr>
                <w:rFonts w:eastAsia="Calibri"/>
                <w:sz w:val="22"/>
                <w:szCs w:val="22"/>
              </w:rPr>
              <w:t>populačné kulminácie počas charakteristických gradačných cyklov hraboša poľného.</w:t>
            </w:r>
          </w:p>
          <w:p w:rsidR="00DD0F8E" w:rsidRPr="00411E2D" w:rsidRDefault="00DD0F8E" w:rsidP="00DD0F8E">
            <w:pPr>
              <w:jc w:val="both"/>
              <w:rPr>
                <w:rFonts w:eastAsia="Calibri"/>
                <w:sz w:val="22"/>
                <w:szCs w:val="22"/>
              </w:rPr>
            </w:pPr>
            <w:r w:rsidRPr="00411E2D">
              <w:rPr>
                <w:rFonts w:eastAsia="Calibri"/>
                <w:sz w:val="22"/>
                <w:szCs w:val="22"/>
              </w:rPr>
              <w:t xml:space="preserve">V roku 2024 sa preto u niektorých </w:t>
            </w:r>
            <w:r w:rsidR="00F80497" w:rsidRPr="00411E2D">
              <w:rPr>
                <w:rFonts w:eastAsia="Calibri"/>
                <w:sz w:val="22"/>
                <w:szCs w:val="22"/>
              </w:rPr>
              <w:t xml:space="preserve">poľnohospodárskych </w:t>
            </w:r>
            <w:r w:rsidRPr="00411E2D">
              <w:rPr>
                <w:rFonts w:eastAsia="Calibri"/>
                <w:sz w:val="22"/>
                <w:szCs w:val="22"/>
              </w:rPr>
              <w:t>podnikov očakávajú výpadky v produkcii presahujúce desiatky percent. Hraboše poľné pritom po žatve používajú neprodukčné plochy (ale aj okolia ciest, železníc a</w:t>
            </w:r>
            <w:r w:rsidR="00F80497" w:rsidRPr="00411E2D">
              <w:rPr>
                <w:rFonts w:eastAsia="Calibri"/>
                <w:sz w:val="22"/>
                <w:szCs w:val="22"/>
              </w:rPr>
              <w:t> </w:t>
            </w:r>
            <w:r w:rsidRPr="00411E2D">
              <w:rPr>
                <w:rFonts w:eastAsia="Calibri"/>
                <w:sz w:val="22"/>
                <w:szCs w:val="22"/>
              </w:rPr>
              <w:t>pod</w:t>
            </w:r>
            <w:r w:rsidR="00F80497" w:rsidRPr="00411E2D">
              <w:rPr>
                <w:rFonts w:eastAsia="Calibri"/>
                <w:sz w:val="22"/>
                <w:szCs w:val="22"/>
              </w:rPr>
              <w:t>.</w:t>
            </w:r>
            <w:r w:rsidRPr="00411E2D">
              <w:rPr>
                <w:rFonts w:eastAsia="Calibri"/>
                <w:sz w:val="22"/>
                <w:szCs w:val="22"/>
              </w:rPr>
              <w:t>)</w:t>
            </w:r>
            <w:r w:rsidR="00F80497" w:rsidRPr="00411E2D">
              <w:rPr>
                <w:rFonts w:eastAsia="Calibri"/>
                <w:sz w:val="22"/>
                <w:szCs w:val="22"/>
              </w:rPr>
              <w:t>,</w:t>
            </w:r>
            <w:r w:rsidRPr="00411E2D">
              <w:rPr>
                <w:rFonts w:eastAsia="Calibri"/>
                <w:sz w:val="22"/>
                <w:szCs w:val="22"/>
              </w:rPr>
              <w:t xml:space="preserve"> ako úkryt</w:t>
            </w:r>
            <w:r w:rsidR="00411E2D">
              <w:rPr>
                <w:rFonts w:eastAsia="Calibri"/>
                <w:sz w:val="22"/>
                <w:szCs w:val="22"/>
              </w:rPr>
              <w:t xml:space="preserve">, </w:t>
            </w:r>
            <w:r w:rsidRPr="00411E2D">
              <w:rPr>
                <w:rFonts w:eastAsia="Calibri"/>
                <w:sz w:val="22"/>
                <w:szCs w:val="22"/>
              </w:rPr>
              <w:t>do ktorého sa stiahnu z okolitej ornej pôdy. Uvedené znenie nariadenia</w:t>
            </w:r>
            <w:r w:rsidR="00F80497" w:rsidRPr="00411E2D">
              <w:rPr>
                <w:rFonts w:eastAsia="Calibri"/>
                <w:sz w:val="22"/>
                <w:szCs w:val="22"/>
              </w:rPr>
              <w:t xml:space="preserve"> nemá za cieľ </w:t>
            </w:r>
            <w:r w:rsidRPr="00411E2D">
              <w:rPr>
                <w:rFonts w:eastAsia="Calibri"/>
                <w:sz w:val="22"/>
                <w:szCs w:val="22"/>
              </w:rPr>
              <w:t>umožn</w:t>
            </w:r>
            <w:r w:rsidR="00F80497" w:rsidRPr="00411E2D">
              <w:rPr>
                <w:rFonts w:eastAsia="Calibri"/>
                <w:sz w:val="22"/>
                <w:szCs w:val="22"/>
              </w:rPr>
              <w:t>iť</w:t>
            </w:r>
            <w:r w:rsidRPr="00411E2D">
              <w:rPr>
                <w:rFonts w:eastAsia="Calibri"/>
                <w:sz w:val="22"/>
                <w:szCs w:val="22"/>
              </w:rPr>
              <w:t xml:space="preserve"> celoplošné rozsiahle používanie rodenticídov. Bude možné len v</w:t>
            </w:r>
            <w:r w:rsidR="00411E2D">
              <w:rPr>
                <w:rFonts w:eastAsia="Calibri"/>
                <w:sz w:val="22"/>
                <w:szCs w:val="22"/>
              </w:rPr>
              <w:t> </w:t>
            </w:r>
            <w:r w:rsidRPr="00411E2D">
              <w:rPr>
                <w:rFonts w:eastAsia="Calibri"/>
                <w:sz w:val="22"/>
                <w:szCs w:val="22"/>
              </w:rPr>
              <w:t xml:space="preserve">rokoch s gradáciou hraboša poľného a po potvrdení veľmi silného výskytu hrabošov </w:t>
            </w:r>
            <w:r w:rsidR="00411E2D" w:rsidRPr="00411E2D">
              <w:rPr>
                <w:rFonts w:eastAsia="Calibri"/>
                <w:sz w:val="22"/>
                <w:szCs w:val="22"/>
              </w:rPr>
              <w:t>Ústredný</w:t>
            </w:r>
            <w:r w:rsidR="00411E2D">
              <w:rPr>
                <w:rFonts w:eastAsia="Calibri"/>
                <w:sz w:val="22"/>
                <w:szCs w:val="22"/>
              </w:rPr>
              <w:t>m</w:t>
            </w:r>
            <w:r w:rsidR="00411E2D" w:rsidRPr="00411E2D">
              <w:rPr>
                <w:rFonts w:eastAsia="Calibri"/>
                <w:sz w:val="22"/>
                <w:szCs w:val="22"/>
              </w:rPr>
              <w:t xml:space="preserve"> kontrolný</w:t>
            </w:r>
            <w:r w:rsidR="00411E2D">
              <w:rPr>
                <w:rFonts w:eastAsia="Calibri"/>
                <w:sz w:val="22"/>
                <w:szCs w:val="22"/>
              </w:rPr>
              <w:t>m</w:t>
            </w:r>
            <w:r w:rsidR="00411E2D" w:rsidRPr="00411E2D">
              <w:rPr>
                <w:rFonts w:eastAsia="Calibri"/>
                <w:sz w:val="22"/>
                <w:szCs w:val="22"/>
              </w:rPr>
              <w:t xml:space="preserve"> a skúšobný</w:t>
            </w:r>
            <w:r w:rsidR="00411E2D">
              <w:rPr>
                <w:rFonts w:eastAsia="Calibri"/>
                <w:sz w:val="22"/>
                <w:szCs w:val="22"/>
              </w:rPr>
              <w:t>m</w:t>
            </w:r>
            <w:r w:rsidR="00411E2D" w:rsidRPr="00411E2D">
              <w:rPr>
                <w:rFonts w:eastAsia="Calibri"/>
                <w:sz w:val="22"/>
                <w:szCs w:val="22"/>
              </w:rPr>
              <w:t xml:space="preserve"> ústav</w:t>
            </w:r>
            <w:r w:rsidR="00411E2D">
              <w:rPr>
                <w:rFonts w:eastAsia="Calibri"/>
                <w:sz w:val="22"/>
                <w:szCs w:val="22"/>
              </w:rPr>
              <w:t>om</w:t>
            </w:r>
            <w:r w:rsidR="00411E2D" w:rsidRPr="00411E2D">
              <w:rPr>
                <w:rFonts w:eastAsia="Calibri"/>
                <w:sz w:val="22"/>
                <w:szCs w:val="22"/>
              </w:rPr>
              <w:t xml:space="preserve"> poľnohospodársky</w:t>
            </w:r>
            <w:r w:rsidR="00411E2D">
              <w:rPr>
                <w:rFonts w:eastAsia="Calibri"/>
                <w:sz w:val="22"/>
                <w:szCs w:val="22"/>
              </w:rPr>
              <w:t>m</w:t>
            </w:r>
            <w:r w:rsidR="00411E2D" w:rsidRPr="00411E2D">
              <w:rPr>
                <w:rFonts w:eastAsia="Calibri"/>
                <w:sz w:val="22"/>
                <w:szCs w:val="22"/>
              </w:rPr>
              <w:t xml:space="preserve"> v</w:t>
            </w:r>
            <w:r w:rsidR="00411E2D">
              <w:rPr>
                <w:rFonts w:eastAsia="Calibri"/>
                <w:sz w:val="22"/>
                <w:szCs w:val="22"/>
              </w:rPr>
              <w:t> </w:t>
            </w:r>
            <w:r w:rsidR="00411E2D" w:rsidRPr="00411E2D">
              <w:rPr>
                <w:rFonts w:eastAsia="Calibri"/>
                <w:sz w:val="22"/>
                <w:szCs w:val="22"/>
              </w:rPr>
              <w:t>Bratislave</w:t>
            </w:r>
            <w:r w:rsidR="00411E2D">
              <w:rPr>
                <w:rFonts w:eastAsia="Calibri"/>
                <w:sz w:val="22"/>
                <w:szCs w:val="22"/>
              </w:rPr>
              <w:t xml:space="preserve"> (ďalej len „kontrolný ústav“). </w:t>
            </w:r>
            <w:r w:rsidRPr="00411E2D">
              <w:rPr>
                <w:rFonts w:eastAsia="Calibri"/>
                <w:sz w:val="22"/>
                <w:szCs w:val="22"/>
              </w:rPr>
              <w:t xml:space="preserve">Aplikácia rodenticídov bude možná len na parcelách, kde početnosť hrabošov prekročí limit uvedený </w:t>
            </w:r>
            <w:r w:rsidRPr="00411E2D">
              <w:rPr>
                <w:rFonts w:eastAsia="Calibri"/>
                <w:sz w:val="22"/>
                <w:szCs w:val="22"/>
              </w:rPr>
              <w:lastRenderedPageBreak/>
              <w:t>v schválenej metodike</w:t>
            </w:r>
            <w:r w:rsidR="00F80497" w:rsidRPr="00411E2D">
              <w:rPr>
                <w:sz w:val="22"/>
                <w:szCs w:val="22"/>
              </w:rPr>
              <w:t xml:space="preserve"> </w:t>
            </w:r>
            <w:r w:rsidR="00411E2D">
              <w:rPr>
                <w:sz w:val="22"/>
                <w:szCs w:val="22"/>
              </w:rPr>
              <w:t>kontrolného ústavu</w:t>
            </w:r>
            <w:r w:rsidR="00F80497" w:rsidRPr="00411E2D">
              <w:rPr>
                <w:rFonts w:eastAsia="Calibri"/>
                <w:sz w:val="22"/>
                <w:szCs w:val="22"/>
              </w:rPr>
              <w:t>.</w:t>
            </w:r>
            <w:r w:rsidRPr="00411E2D">
              <w:rPr>
                <w:rFonts w:eastAsia="Calibri"/>
                <w:sz w:val="22"/>
                <w:szCs w:val="22"/>
              </w:rPr>
              <w:t xml:space="preserve"> </w:t>
            </w:r>
            <w:r w:rsidR="00F80497" w:rsidRPr="00411E2D">
              <w:rPr>
                <w:rFonts w:eastAsia="Calibri"/>
                <w:sz w:val="22"/>
                <w:szCs w:val="22"/>
              </w:rPr>
              <w:t>P</w:t>
            </w:r>
            <w:r w:rsidRPr="00411E2D">
              <w:rPr>
                <w:rFonts w:eastAsia="Calibri"/>
                <w:sz w:val="22"/>
                <w:szCs w:val="22"/>
              </w:rPr>
              <w:t xml:space="preserve">očetnosť hrabošov a prekročenie limitu musí potvrdiť </w:t>
            </w:r>
            <w:r w:rsidR="00411E2D">
              <w:rPr>
                <w:rFonts w:eastAsia="Calibri"/>
                <w:sz w:val="22"/>
                <w:szCs w:val="22"/>
              </w:rPr>
              <w:t xml:space="preserve">kontrolný ústav </w:t>
            </w:r>
            <w:r w:rsidRPr="00411E2D">
              <w:rPr>
                <w:rFonts w:eastAsia="Calibri"/>
                <w:sz w:val="22"/>
                <w:szCs w:val="22"/>
              </w:rPr>
              <w:t xml:space="preserve">a v prípade chránených území musí dať povolenie k aplikácii rodenticídov aj príslušný </w:t>
            </w:r>
            <w:r w:rsidR="00B1485B">
              <w:rPr>
                <w:rFonts w:eastAsia="Calibri"/>
                <w:sz w:val="22"/>
                <w:szCs w:val="22"/>
              </w:rPr>
              <w:t>ú</w:t>
            </w:r>
            <w:r w:rsidRPr="00411E2D">
              <w:rPr>
                <w:rFonts w:eastAsia="Calibri"/>
                <w:sz w:val="22"/>
                <w:szCs w:val="22"/>
              </w:rPr>
              <w:t xml:space="preserve">rad životného prostredia; </w:t>
            </w:r>
            <w:r w:rsidR="00F80497" w:rsidRPr="00411E2D">
              <w:rPr>
                <w:rFonts w:eastAsia="Calibri"/>
                <w:sz w:val="22"/>
                <w:szCs w:val="22"/>
              </w:rPr>
              <w:t xml:space="preserve">štátny </w:t>
            </w:r>
            <w:r w:rsidRPr="00411E2D">
              <w:rPr>
                <w:rFonts w:eastAsia="Calibri"/>
                <w:sz w:val="22"/>
                <w:szCs w:val="22"/>
              </w:rPr>
              <w:t xml:space="preserve">orgán ochrany prírody </w:t>
            </w:r>
            <w:r w:rsidR="00F80497" w:rsidRPr="00411E2D">
              <w:rPr>
                <w:rFonts w:eastAsia="Calibri"/>
                <w:sz w:val="22"/>
                <w:szCs w:val="22"/>
              </w:rPr>
              <w:t>a</w:t>
            </w:r>
            <w:r w:rsidR="00B1485B">
              <w:rPr>
                <w:rFonts w:eastAsia="Calibri"/>
                <w:sz w:val="22"/>
                <w:szCs w:val="22"/>
              </w:rPr>
              <w:t xml:space="preserve"> </w:t>
            </w:r>
            <w:r w:rsidR="00F80497" w:rsidRPr="00411E2D">
              <w:rPr>
                <w:rFonts w:eastAsia="Calibri"/>
                <w:sz w:val="22"/>
                <w:szCs w:val="22"/>
              </w:rPr>
              <w:t>krajiny.</w:t>
            </w:r>
            <w:r w:rsidR="00B1485B">
              <w:rPr>
                <w:rFonts w:eastAsia="Calibri"/>
                <w:sz w:val="22"/>
                <w:szCs w:val="22"/>
              </w:rPr>
              <w:t xml:space="preserve"> </w:t>
            </w:r>
            <w:r w:rsidRPr="00411E2D">
              <w:rPr>
                <w:rFonts w:eastAsia="Calibri"/>
                <w:sz w:val="22"/>
                <w:szCs w:val="22"/>
              </w:rPr>
              <w:t>Takýto postup zabezpečí zníženie početnosti hrabošov lokálne (bodovo) v najviac postihnutých lokalitách, bude cielený iba na plochy, kde existuje dôvodné riziko vzniku veľkých škôd na úrode.</w:t>
            </w:r>
            <w:r w:rsidR="00B1485B">
              <w:rPr>
                <w:rFonts w:eastAsia="Calibri"/>
                <w:sz w:val="22"/>
                <w:szCs w:val="22"/>
              </w:rPr>
              <w:t xml:space="preserve"> </w:t>
            </w:r>
            <w:r w:rsidRPr="00411E2D">
              <w:rPr>
                <w:rFonts w:eastAsia="Calibri"/>
                <w:sz w:val="22"/>
                <w:szCs w:val="22"/>
              </w:rPr>
              <w:t>Na chemickú ochranu poľných plodín proti hrabošovi poľnému sú v Slovenskej republike autorizované len prípravky na báze fosfidu zinočnatého. Použitie iných rodenticídnych biocídnych prípravkov</w:t>
            </w:r>
            <w:r w:rsidR="00B1485B">
              <w:rPr>
                <w:rFonts w:eastAsia="Calibri"/>
                <w:sz w:val="22"/>
                <w:szCs w:val="22"/>
              </w:rPr>
              <w:t>,</w:t>
            </w:r>
            <w:r w:rsidR="00F80497" w:rsidRPr="00411E2D">
              <w:rPr>
                <w:rFonts w:eastAsia="Calibri"/>
                <w:sz w:val="22"/>
                <w:szCs w:val="22"/>
              </w:rPr>
              <w:t xml:space="preserve"> </w:t>
            </w:r>
            <w:r w:rsidRPr="00411E2D">
              <w:rPr>
                <w:rFonts w:eastAsia="Calibri"/>
                <w:sz w:val="22"/>
                <w:szCs w:val="22"/>
              </w:rPr>
              <w:t>napr. na báze warfarínov</w:t>
            </w:r>
            <w:r w:rsidR="00F80497" w:rsidRPr="00411E2D">
              <w:rPr>
                <w:rFonts w:eastAsia="Calibri"/>
                <w:sz w:val="22"/>
                <w:szCs w:val="22"/>
              </w:rPr>
              <w:t>,</w:t>
            </w:r>
            <w:r w:rsidRPr="00411E2D">
              <w:rPr>
                <w:rFonts w:eastAsia="Calibri"/>
                <w:sz w:val="22"/>
                <w:szCs w:val="22"/>
              </w:rPr>
              <w:t xml:space="preserve"> resp. superwarfarínov (bromadiolone, brodifacoum, difenacoum, chlorophacinone, difethialone a i.) alebo iných účinných látok je v poľných podmienkach prísne zakázané.</w:t>
            </w:r>
          </w:p>
          <w:p w:rsidR="00DD0F8E" w:rsidRPr="00411E2D" w:rsidRDefault="00DD0F8E" w:rsidP="00DD0F8E">
            <w:pPr>
              <w:jc w:val="both"/>
              <w:rPr>
                <w:rFonts w:eastAsia="Calibri"/>
                <w:sz w:val="22"/>
                <w:szCs w:val="22"/>
              </w:rPr>
            </w:pPr>
            <w:r w:rsidRPr="00411E2D">
              <w:rPr>
                <w:rFonts w:eastAsia="Calibri"/>
                <w:sz w:val="22"/>
                <w:szCs w:val="22"/>
              </w:rPr>
              <w:t xml:space="preserve">Zmena polohy biopásu po 1. septembri </w:t>
            </w:r>
            <w:r w:rsidR="00B1485B">
              <w:rPr>
                <w:rFonts w:eastAsia="Calibri"/>
                <w:sz w:val="22"/>
                <w:szCs w:val="22"/>
              </w:rPr>
              <w:t>po</w:t>
            </w:r>
            <w:r w:rsidRPr="00411E2D">
              <w:rPr>
                <w:rFonts w:eastAsia="Calibri"/>
                <w:sz w:val="22"/>
                <w:szCs w:val="22"/>
              </w:rPr>
              <w:t>vedie k</w:t>
            </w:r>
            <w:r w:rsidR="00B1485B">
              <w:rPr>
                <w:rFonts w:eastAsia="Calibri"/>
                <w:sz w:val="22"/>
                <w:szCs w:val="22"/>
              </w:rPr>
              <w:t xml:space="preserve"> </w:t>
            </w:r>
            <w:r w:rsidRPr="00411E2D">
              <w:rPr>
                <w:rFonts w:eastAsia="Calibri"/>
                <w:sz w:val="22"/>
                <w:szCs w:val="22"/>
              </w:rPr>
              <w:t xml:space="preserve">vyššej flexibilite </w:t>
            </w:r>
            <w:r w:rsidR="00F80497" w:rsidRPr="00411E2D">
              <w:rPr>
                <w:rFonts w:eastAsia="Calibri"/>
                <w:sz w:val="22"/>
                <w:szCs w:val="22"/>
              </w:rPr>
              <w:t xml:space="preserve">poľnohospodárskych </w:t>
            </w:r>
            <w:r w:rsidR="00590FF7" w:rsidRPr="00411E2D">
              <w:rPr>
                <w:rFonts w:eastAsia="Calibri"/>
                <w:sz w:val="22"/>
                <w:szCs w:val="22"/>
              </w:rPr>
              <w:t xml:space="preserve">podnikov </w:t>
            </w:r>
            <w:r w:rsidRPr="00411E2D">
              <w:rPr>
                <w:rFonts w:eastAsia="Calibri"/>
                <w:sz w:val="22"/>
                <w:szCs w:val="22"/>
              </w:rPr>
              <w:t>pri zakladaní ozimín</w:t>
            </w:r>
            <w:r w:rsidR="00590FF7" w:rsidRPr="00411E2D">
              <w:rPr>
                <w:rFonts w:eastAsia="Calibri"/>
                <w:sz w:val="22"/>
                <w:szCs w:val="22"/>
              </w:rPr>
              <w:t xml:space="preserve">, </w:t>
            </w:r>
            <w:r w:rsidRPr="00411E2D">
              <w:rPr>
                <w:rFonts w:eastAsia="Calibri"/>
                <w:sz w:val="22"/>
                <w:szCs w:val="22"/>
              </w:rPr>
              <w:t>pričom v čase rozorania biopásu je nutné</w:t>
            </w:r>
            <w:r w:rsidR="00F80497" w:rsidRPr="00411E2D">
              <w:rPr>
                <w:rFonts w:eastAsia="Calibri"/>
                <w:sz w:val="22"/>
                <w:szCs w:val="22"/>
              </w:rPr>
              <w:t>,</w:t>
            </w:r>
            <w:r w:rsidRPr="00411E2D">
              <w:rPr>
                <w:rFonts w:eastAsia="Calibri"/>
                <w:sz w:val="22"/>
                <w:szCs w:val="22"/>
              </w:rPr>
              <w:t xml:space="preserve"> aby bol nový biopás už založený. Delená plocha dielu pôdneho bloku bude </w:t>
            </w:r>
            <w:r w:rsidR="00E226DE" w:rsidRPr="00411E2D">
              <w:rPr>
                <w:rFonts w:eastAsia="Calibri"/>
                <w:sz w:val="22"/>
                <w:szCs w:val="22"/>
              </w:rPr>
              <w:t>celoročne</w:t>
            </w:r>
            <w:r w:rsidRPr="00411E2D">
              <w:rPr>
                <w:rFonts w:eastAsia="Calibri"/>
                <w:sz w:val="22"/>
                <w:szCs w:val="22"/>
              </w:rPr>
              <w:t xml:space="preserve">. Takáto zmena nebude znamenať zníženie dopadu pre biodiverzitu, keďže </w:t>
            </w:r>
            <w:r w:rsidR="00E226DE" w:rsidRPr="00411E2D">
              <w:rPr>
                <w:rFonts w:eastAsia="Calibri"/>
                <w:sz w:val="22"/>
                <w:szCs w:val="22"/>
              </w:rPr>
              <w:t xml:space="preserve">diel pôdneho bloku </w:t>
            </w:r>
            <w:r w:rsidRPr="00411E2D">
              <w:rPr>
                <w:rFonts w:eastAsia="Calibri"/>
                <w:sz w:val="22"/>
                <w:szCs w:val="22"/>
              </w:rPr>
              <w:t>ostane po zrušení jedného biopásu naďalej rozdelen</w:t>
            </w:r>
            <w:r w:rsidR="00E226DE" w:rsidRPr="00411E2D">
              <w:rPr>
                <w:rFonts w:eastAsia="Calibri"/>
                <w:sz w:val="22"/>
                <w:szCs w:val="22"/>
              </w:rPr>
              <w:t>ý</w:t>
            </w:r>
            <w:r w:rsidRPr="00411E2D">
              <w:rPr>
                <w:rFonts w:eastAsia="Calibri"/>
                <w:sz w:val="22"/>
                <w:szCs w:val="22"/>
              </w:rPr>
              <w:t xml:space="preserve"> novým biopásom</w:t>
            </w:r>
            <w:r w:rsidR="00590FF7" w:rsidRPr="00411E2D">
              <w:rPr>
                <w:rFonts w:eastAsia="Calibri"/>
                <w:sz w:val="22"/>
                <w:szCs w:val="22"/>
              </w:rPr>
              <w:t>,</w:t>
            </w:r>
            <w:r w:rsidRPr="00411E2D">
              <w:rPr>
                <w:rFonts w:eastAsia="Calibri"/>
                <w:sz w:val="22"/>
                <w:szCs w:val="22"/>
              </w:rPr>
              <w:t xml:space="preserve"> len v inej polohe resp. na inej ploche </w:t>
            </w:r>
            <w:r w:rsidR="00E226DE" w:rsidRPr="00411E2D">
              <w:rPr>
                <w:rFonts w:eastAsia="Calibri"/>
                <w:sz w:val="22"/>
                <w:szCs w:val="22"/>
              </w:rPr>
              <w:t xml:space="preserve">toho istého </w:t>
            </w:r>
            <w:r w:rsidRPr="00411E2D">
              <w:rPr>
                <w:rFonts w:eastAsia="Calibri"/>
                <w:sz w:val="22"/>
                <w:szCs w:val="22"/>
              </w:rPr>
              <w:t xml:space="preserve">dielu pôdneho bloku. Očakávame, že k presunom bude dochádzať len okrajovo na malom počte biopásov, keďže tieto presuny znamenajú zvýšené náklady pre </w:t>
            </w:r>
            <w:r w:rsidR="00F80497" w:rsidRPr="00411E2D">
              <w:rPr>
                <w:rFonts w:eastAsia="Calibri"/>
                <w:sz w:val="22"/>
                <w:szCs w:val="22"/>
              </w:rPr>
              <w:t xml:space="preserve">poľnohospodárske </w:t>
            </w:r>
            <w:r w:rsidRPr="00411E2D">
              <w:rPr>
                <w:rFonts w:eastAsia="Calibri"/>
                <w:sz w:val="22"/>
                <w:szCs w:val="22"/>
              </w:rPr>
              <w:t xml:space="preserve">podniky. Presun bude dopadom na biodiverzitu </w:t>
            </w:r>
            <w:r w:rsidR="00590FF7" w:rsidRPr="00411E2D">
              <w:rPr>
                <w:rFonts w:eastAsia="Calibri"/>
                <w:sz w:val="22"/>
                <w:szCs w:val="22"/>
              </w:rPr>
              <w:t xml:space="preserve">podobný </w:t>
            </w:r>
            <w:r w:rsidRPr="00411E2D">
              <w:rPr>
                <w:rFonts w:eastAsia="Calibri"/>
                <w:sz w:val="22"/>
                <w:szCs w:val="22"/>
              </w:rPr>
              <w:t>s obnovou biopásov (aj bez zmeny polohy), ktorá sa raz za niekoľko rokov musí zrealizovať obnov</w:t>
            </w:r>
            <w:r w:rsidR="00E226DE" w:rsidRPr="00411E2D">
              <w:rPr>
                <w:rFonts w:eastAsia="Calibri"/>
                <w:sz w:val="22"/>
                <w:szCs w:val="22"/>
              </w:rPr>
              <w:t>ou</w:t>
            </w:r>
            <w:r w:rsidR="005D4D93" w:rsidRPr="00411E2D">
              <w:rPr>
                <w:rFonts w:eastAsia="Calibri"/>
                <w:sz w:val="22"/>
                <w:szCs w:val="22"/>
              </w:rPr>
              <w:t>,</w:t>
            </w:r>
            <w:r w:rsidRPr="00411E2D">
              <w:rPr>
                <w:rFonts w:eastAsia="Calibri"/>
                <w:sz w:val="22"/>
                <w:szCs w:val="22"/>
              </w:rPr>
              <w:t xml:space="preserve"> pre účely druhového zloženia, keďže niektoré druhy rastlín na biopásoch postupom</w:t>
            </w:r>
            <w:r w:rsidR="00590FF7" w:rsidRPr="00411E2D">
              <w:rPr>
                <w:rFonts w:eastAsia="Calibri"/>
                <w:sz w:val="22"/>
                <w:szCs w:val="22"/>
              </w:rPr>
              <w:t xml:space="preserve"> času</w:t>
            </w:r>
            <w:r w:rsidRPr="00411E2D">
              <w:rPr>
                <w:rFonts w:eastAsia="Calibri"/>
                <w:sz w:val="22"/>
                <w:szCs w:val="22"/>
              </w:rPr>
              <w:t xml:space="preserve"> začnú miznúť v dôsledku šírenia burín. </w:t>
            </w:r>
          </w:p>
          <w:p w:rsidR="00DD0F8E" w:rsidRPr="00411E2D" w:rsidRDefault="00DD0F8E" w:rsidP="00DD0F8E">
            <w:pPr>
              <w:jc w:val="both"/>
              <w:rPr>
                <w:rFonts w:eastAsia="Calibri"/>
                <w:sz w:val="22"/>
                <w:szCs w:val="22"/>
              </w:rPr>
            </w:pPr>
            <w:r w:rsidRPr="00411E2D">
              <w:rPr>
                <w:rFonts w:eastAsia="Calibri"/>
                <w:sz w:val="22"/>
                <w:szCs w:val="22"/>
              </w:rPr>
              <w:t xml:space="preserve">Maximálna výmera </w:t>
            </w:r>
            <w:r w:rsidR="00E226DE" w:rsidRPr="00411E2D">
              <w:rPr>
                <w:rFonts w:eastAsia="Calibri"/>
                <w:sz w:val="22"/>
                <w:szCs w:val="22"/>
              </w:rPr>
              <w:t xml:space="preserve">dielu pôdneho bloku </w:t>
            </w:r>
            <w:r w:rsidRPr="00411E2D">
              <w:rPr>
                <w:rFonts w:eastAsia="Calibri"/>
                <w:sz w:val="22"/>
                <w:szCs w:val="22"/>
              </w:rPr>
              <w:t>môže mierne prekročiť hranicu 20 ha v chránených územiach a 50 ha mimo chránených území</w:t>
            </w:r>
            <w:r w:rsidR="00E226DE" w:rsidRPr="00411E2D">
              <w:rPr>
                <w:rFonts w:eastAsia="Calibri"/>
                <w:sz w:val="22"/>
                <w:szCs w:val="22"/>
              </w:rPr>
              <w:t>.</w:t>
            </w:r>
            <w:r w:rsidRPr="00411E2D">
              <w:rPr>
                <w:rFonts w:eastAsia="Calibri"/>
                <w:sz w:val="22"/>
                <w:szCs w:val="22"/>
              </w:rPr>
              <w:t xml:space="preserve"> </w:t>
            </w:r>
            <w:r w:rsidR="00E226DE" w:rsidRPr="00411E2D">
              <w:rPr>
                <w:rFonts w:eastAsia="Calibri"/>
                <w:sz w:val="22"/>
                <w:szCs w:val="22"/>
              </w:rPr>
              <w:t>M</w:t>
            </w:r>
            <w:r w:rsidRPr="00411E2D">
              <w:rPr>
                <w:rFonts w:eastAsia="Calibri"/>
                <w:sz w:val="22"/>
                <w:szCs w:val="22"/>
              </w:rPr>
              <w:t>aximálny rozmer súvislej ornej pôdy b</w:t>
            </w:r>
            <w:r w:rsidR="00E226DE" w:rsidRPr="00411E2D">
              <w:rPr>
                <w:rFonts w:eastAsia="Calibri"/>
                <w:sz w:val="22"/>
                <w:szCs w:val="22"/>
              </w:rPr>
              <w:t>ude</w:t>
            </w:r>
            <w:r w:rsidRPr="00411E2D">
              <w:rPr>
                <w:rFonts w:eastAsia="Calibri"/>
                <w:sz w:val="22"/>
                <w:szCs w:val="22"/>
              </w:rPr>
              <w:t xml:space="preserve"> 51,5 ha</w:t>
            </w:r>
            <w:r w:rsidR="0044184D" w:rsidRPr="00411E2D">
              <w:rPr>
                <w:rFonts w:eastAsia="Calibri"/>
                <w:sz w:val="22"/>
                <w:szCs w:val="22"/>
              </w:rPr>
              <w:t>,</w:t>
            </w:r>
            <w:r w:rsidRPr="00411E2D">
              <w:rPr>
                <w:rFonts w:eastAsia="Calibri"/>
                <w:sz w:val="22"/>
                <w:szCs w:val="22"/>
              </w:rPr>
              <w:t xml:space="preserve"> resp. 20,70 ha</w:t>
            </w:r>
            <w:r w:rsidR="00B1485B">
              <w:rPr>
                <w:rFonts w:eastAsia="Calibri"/>
                <w:sz w:val="22"/>
                <w:szCs w:val="22"/>
              </w:rPr>
              <w:t xml:space="preserve"> v chránenom územní</w:t>
            </w:r>
            <w:r w:rsidRPr="00411E2D">
              <w:rPr>
                <w:rFonts w:eastAsia="Calibri"/>
                <w:sz w:val="22"/>
                <w:szCs w:val="22"/>
              </w:rPr>
              <w:t xml:space="preserve">. Úpravou sa len koriguje spôsob delenia pri použití dlhých biopásov tak, aby nedochádzalo k veľkej chybovosti, ktorá v dôsledku toho môže </w:t>
            </w:r>
            <w:r w:rsidR="00B1485B">
              <w:rPr>
                <w:rFonts w:eastAsia="Calibri"/>
                <w:sz w:val="22"/>
                <w:szCs w:val="22"/>
              </w:rPr>
              <w:t xml:space="preserve">poľnohospodárske podniky </w:t>
            </w:r>
            <w:r w:rsidRPr="00411E2D">
              <w:rPr>
                <w:rFonts w:eastAsia="Calibri"/>
                <w:sz w:val="22"/>
                <w:szCs w:val="22"/>
              </w:rPr>
              <w:t>odradiť od opakovanej účasti v</w:t>
            </w:r>
            <w:r w:rsidR="00B1485B">
              <w:rPr>
                <w:rFonts w:eastAsia="Calibri"/>
                <w:sz w:val="22"/>
                <w:szCs w:val="22"/>
              </w:rPr>
              <w:t xml:space="preserve"> celofarmovej </w:t>
            </w:r>
            <w:r w:rsidRPr="00411E2D">
              <w:rPr>
                <w:rFonts w:eastAsia="Calibri"/>
                <w:sz w:val="22"/>
                <w:szCs w:val="22"/>
              </w:rPr>
              <w:t>eko</w:t>
            </w:r>
            <w:r w:rsidR="00B1485B">
              <w:rPr>
                <w:rFonts w:eastAsia="Calibri"/>
                <w:sz w:val="22"/>
                <w:szCs w:val="22"/>
              </w:rPr>
              <w:t>-</w:t>
            </w:r>
            <w:r w:rsidRPr="00411E2D">
              <w:rPr>
                <w:rFonts w:eastAsia="Calibri"/>
                <w:sz w:val="22"/>
                <w:szCs w:val="22"/>
              </w:rPr>
              <w:t>schém</w:t>
            </w:r>
            <w:r w:rsidR="00B1485B">
              <w:rPr>
                <w:rFonts w:eastAsia="Calibri"/>
                <w:sz w:val="22"/>
                <w:szCs w:val="22"/>
              </w:rPr>
              <w:t>e</w:t>
            </w:r>
            <w:r w:rsidRPr="00411E2D">
              <w:rPr>
                <w:rFonts w:eastAsia="Calibri"/>
                <w:sz w:val="22"/>
                <w:szCs w:val="22"/>
              </w:rPr>
              <w:t xml:space="preserve">. Táto úprava nezhorší environmentálne ambície </w:t>
            </w:r>
            <w:r w:rsidR="0044184D" w:rsidRPr="00411E2D">
              <w:rPr>
                <w:rFonts w:eastAsia="Calibri"/>
                <w:sz w:val="22"/>
                <w:szCs w:val="22"/>
              </w:rPr>
              <w:t xml:space="preserve">celofarmovej </w:t>
            </w:r>
            <w:r w:rsidRPr="00411E2D">
              <w:rPr>
                <w:rFonts w:eastAsia="Calibri"/>
                <w:sz w:val="22"/>
                <w:szCs w:val="22"/>
              </w:rPr>
              <w:t>eko-schém</w:t>
            </w:r>
            <w:r w:rsidR="0044184D" w:rsidRPr="00411E2D">
              <w:rPr>
                <w:rFonts w:eastAsia="Calibri"/>
                <w:sz w:val="22"/>
                <w:szCs w:val="22"/>
              </w:rPr>
              <w:t>y,</w:t>
            </w:r>
            <w:r w:rsidRPr="00411E2D">
              <w:rPr>
                <w:rFonts w:eastAsia="Calibri"/>
                <w:sz w:val="22"/>
                <w:szCs w:val="22"/>
              </w:rPr>
              <w:t xml:space="preserve"> nakoľko </w:t>
            </w:r>
            <w:r w:rsidR="00590FF7" w:rsidRPr="00411E2D">
              <w:rPr>
                <w:rFonts w:eastAsia="Calibri"/>
                <w:sz w:val="22"/>
                <w:szCs w:val="22"/>
              </w:rPr>
              <w:t>nepredpokladáme</w:t>
            </w:r>
            <w:r w:rsidRPr="00411E2D">
              <w:rPr>
                <w:rFonts w:eastAsia="Calibri"/>
                <w:sz w:val="22"/>
                <w:szCs w:val="22"/>
              </w:rPr>
              <w:t xml:space="preserve"> menší počet vytvorených biopásov</w:t>
            </w:r>
            <w:r w:rsidR="0044184D" w:rsidRPr="00411E2D">
              <w:rPr>
                <w:rFonts w:eastAsia="Calibri"/>
                <w:sz w:val="22"/>
                <w:szCs w:val="22"/>
              </w:rPr>
              <w:t>,</w:t>
            </w:r>
            <w:r w:rsidRPr="00411E2D">
              <w:rPr>
                <w:rFonts w:eastAsia="Calibri"/>
                <w:sz w:val="22"/>
                <w:szCs w:val="22"/>
              </w:rPr>
              <w:t xml:space="preserve"> ale skôr zotrvanie </w:t>
            </w:r>
            <w:r w:rsidR="0044184D" w:rsidRPr="00411E2D">
              <w:rPr>
                <w:rFonts w:eastAsia="Calibri"/>
                <w:sz w:val="22"/>
                <w:szCs w:val="22"/>
              </w:rPr>
              <w:t xml:space="preserve">poľnohospodárskych </w:t>
            </w:r>
            <w:r w:rsidR="00590FF7" w:rsidRPr="00411E2D">
              <w:rPr>
                <w:rFonts w:eastAsia="Calibri"/>
                <w:sz w:val="22"/>
                <w:szCs w:val="22"/>
              </w:rPr>
              <w:t>podnikov</w:t>
            </w:r>
            <w:r w:rsidRPr="00411E2D">
              <w:rPr>
                <w:rFonts w:eastAsia="Calibri"/>
                <w:sz w:val="22"/>
                <w:szCs w:val="22"/>
              </w:rPr>
              <w:t xml:space="preserve"> i</w:t>
            </w:r>
            <w:r w:rsidR="00B1485B">
              <w:rPr>
                <w:rFonts w:eastAsia="Calibri"/>
                <w:sz w:val="22"/>
                <w:szCs w:val="22"/>
              </w:rPr>
              <w:t xml:space="preserve"> v</w:t>
            </w:r>
            <w:r w:rsidR="0044184D" w:rsidRPr="00411E2D">
              <w:rPr>
                <w:rFonts w:eastAsia="Calibri"/>
                <w:sz w:val="22"/>
                <w:szCs w:val="22"/>
              </w:rPr>
              <w:t xml:space="preserve"> podpore formou celofarmovej</w:t>
            </w:r>
            <w:r w:rsidRPr="00411E2D">
              <w:rPr>
                <w:rFonts w:eastAsia="Calibri"/>
                <w:sz w:val="22"/>
                <w:szCs w:val="22"/>
              </w:rPr>
              <w:t xml:space="preserve"> eko-schém</w:t>
            </w:r>
            <w:r w:rsidR="0044184D" w:rsidRPr="00411E2D">
              <w:rPr>
                <w:rFonts w:eastAsia="Calibri"/>
                <w:sz w:val="22"/>
                <w:szCs w:val="22"/>
              </w:rPr>
              <w:t>y</w:t>
            </w:r>
            <w:r w:rsidRPr="00411E2D">
              <w:rPr>
                <w:rFonts w:eastAsia="Calibri"/>
                <w:sz w:val="22"/>
                <w:szCs w:val="22"/>
              </w:rPr>
              <w:t xml:space="preserve"> v roku 2024 a</w:t>
            </w:r>
            <w:r w:rsidR="00B1485B">
              <w:rPr>
                <w:rFonts w:eastAsia="Calibri"/>
                <w:sz w:val="22"/>
                <w:szCs w:val="22"/>
              </w:rPr>
              <w:t xml:space="preserve"> </w:t>
            </w:r>
            <w:r w:rsidRPr="00411E2D">
              <w:rPr>
                <w:rFonts w:eastAsia="Calibri"/>
                <w:sz w:val="22"/>
                <w:szCs w:val="22"/>
              </w:rPr>
              <w:t>zvýšenie záujmu</w:t>
            </w:r>
            <w:r w:rsidR="0044184D" w:rsidRPr="00411E2D">
              <w:rPr>
                <w:sz w:val="22"/>
                <w:szCs w:val="22"/>
              </w:rPr>
              <w:t xml:space="preserve"> </w:t>
            </w:r>
            <w:r w:rsidR="0044184D" w:rsidRPr="00411E2D">
              <w:rPr>
                <w:rFonts w:eastAsia="Calibri"/>
                <w:sz w:val="22"/>
                <w:szCs w:val="22"/>
              </w:rPr>
              <w:t>poľnohospodárskych</w:t>
            </w:r>
            <w:r w:rsidRPr="00411E2D">
              <w:rPr>
                <w:rFonts w:eastAsia="Calibri"/>
                <w:sz w:val="22"/>
                <w:szCs w:val="22"/>
              </w:rPr>
              <w:t xml:space="preserve"> podnikov</w:t>
            </w:r>
            <w:r w:rsidR="0044184D" w:rsidRPr="00411E2D">
              <w:rPr>
                <w:rFonts w:eastAsia="Calibri"/>
                <w:sz w:val="22"/>
                <w:szCs w:val="22"/>
              </w:rPr>
              <w:t>,</w:t>
            </w:r>
            <w:r w:rsidRPr="00411E2D">
              <w:rPr>
                <w:rFonts w:eastAsia="Calibri"/>
                <w:sz w:val="22"/>
                <w:szCs w:val="22"/>
              </w:rPr>
              <w:t xml:space="preserve"> ktoré sa do </w:t>
            </w:r>
            <w:r w:rsidR="00B1485B">
              <w:rPr>
                <w:rFonts w:eastAsia="Calibri"/>
                <w:sz w:val="22"/>
                <w:szCs w:val="22"/>
              </w:rPr>
              <w:t xml:space="preserve">celofarmovej </w:t>
            </w:r>
            <w:r w:rsidRPr="00411E2D">
              <w:rPr>
                <w:rFonts w:eastAsia="Calibri"/>
                <w:sz w:val="22"/>
                <w:szCs w:val="22"/>
              </w:rPr>
              <w:t>eko-schém</w:t>
            </w:r>
            <w:r w:rsidR="00B1485B">
              <w:rPr>
                <w:rFonts w:eastAsia="Calibri"/>
                <w:sz w:val="22"/>
                <w:szCs w:val="22"/>
              </w:rPr>
              <w:t>y</w:t>
            </w:r>
            <w:r w:rsidRPr="00411E2D">
              <w:rPr>
                <w:rFonts w:eastAsia="Calibri"/>
                <w:sz w:val="22"/>
                <w:szCs w:val="22"/>
              </w:rPr>
              <w:t xml:space="preserve"> v roku 2023 nezapojili</w:t>
            </w:r>
            <w:r w:rsidR="00E226DE" w:rsidRPr="00411E2D">
              <w:rPr>
                <w:rFonts w:eastAsia="Calibri"/>
                <w:sz w:val="22"/>
                <w:szCs w:val="22"/>
              </w:rPr>
              <w:t>.</w:t>
            </w:r>
          </w:p>
          <w:p w:rsidR="00DD0F8E" w:rsidRPr="00411E2D" w:rsidRDefault="00DD0F8E" w:rsidP="00DD0F8E">
            <w:pPr>
              <w:jc w:val="both"/>
              <w:rPr>
                <w:rFonts w:eastAsia="Calibri"/>
                <w:sz w:val="22"/>
                <w:szCs w:val="22"/>
              </w:rPr>
            </w:pPr>
            <w:r w:rsidRPr="00411E2D">
              <w:rPr>
                <w:rFonts w:eastAsia="Calibri"/>
                <w:sz w:val="22"/>
                <w:szCs w:val="22"/>
              </w:rPr>
              <w:t xml:space="preserve">Podľa súčasných podmienok sa môže prvé kosenie biopásu uskutočniť od 23.6., druhé kosenie najskôr dva mesiace po prvom. Biopás kosený po 31.07. bude mať váhový faktor 1,5. Kosenie po tomto termíne vedie k zvýšeniu biodiverzity, avšak zvyšuje náklady obhospodarovania ornej pôdy, preto </w:t>
            </w:r>
            <w:r w:rsidR="00590FF7" w:rsidRPr="00411E2D">
              <w:rPr>
                <w:rFonts w:eastAsia="Calibri"/>
                <w:sz w:val="22"/>
                <w:szCs w:val="22"/>
              </w:rPr>
              <w:t xml:space="preserve">chceme </w:t>
            </w:r>
            <w:r w:rsidRPr="00411E2D">
              <w:rPr>
                <w:rFonts w:eastAsia="Calibri"/>
                <w:sz w:val="22"/>
                <w:szCs w:val="22"/>
              </w:rPr>
              <w:t xml:space="preserve">zvýšiť motiváciu </w:t>
            </w:r>
            <w:r w:rsidR="0044184D" w:rsidRPr="00411E2D">
              <w:rPr>
                <w:rFonts w:eastAsia="Calibri"/>
                <w:sz w:val="22"/>
                <w:szCs w:val="22"/>
              </w:rPr>
              <w:t xml:space="preserve">poľnohospodárskych </w:t>
            </w:r>
            <w:r w:rsidRPr="00411E2D">
              <w:rPr>
                <w:rFonts w:eastAsia="Calibri"/>
                <w:sz w:val="22"/>
                <w:szCs w:val="22"/>
              </w:rPr>
              <w:t>podnikov k</w:t>
            </w:r>
            <w:r w:rsidR="00B1485B">
              <w:rPr>
                <w:rFonts w:eastAsia="Calibri"/>
                <w:sz w:val="22"/>
                <w:szCs w:val="22"/>
              </w:rPr>
              <w:t xml:space="preserve"> </w:t>
            </w:r>
            <w:r w:rsidRPr="00411E2D">
              <w:rPr>
                <w:rFonts w:eastAsia="Calibri"/>
                <w:sz w:val="22"/>
                <w:szCs w:val="22"/>
              </w:rPr>
              <w:t>neskoršiemu koseniu zvýšením váhového faktora z 1 na 1,5.</w:t>
            </w:r>
          </w:p>
          <w:p w:rsidR="00DD0F8E" w:rsidRPr="00411E2D" w:rsidRDefault="00DD0F8E" w:rsidP="00B1485B">
            <w:pPr>
              <w:jc w:val="both"/>
              <w:rPr>
                <w:sz w:val="22"/>
                <w:szCs w:val="22"/>
              </w:rPr>
            </w:pPr>
            <w:r w:rsidRPr="00411E2D">
              <w:rPr>
                <w:rFonts w:eastAsia="Calibri"/>
                <w:sz w:val="22"/>
                <w:szCs w:val="22"/>
              </w:rPr>
              <w:t>V</w:t>
            </w:r>
            <w:r w:rsidR="0044184D" w:rsidRPr="00411E2D">
              <w:rPr>
                <w:rFonts w:eastAsia="Calibri"/>
                <w:sz w:val="22"/>
                <w:szCs w:val="22"/>
              </w:rPr>
              <w:t xml:space="preserve"> </w:t>
            </w:r>
            <w:r w:rsidRPr="00411E2D">
              <w:rPr>
                <w:rFonts w:eastAsia="Calibri"/>
                <w:sz w:val="22"/>
                <w:szCs w:val="22"/>
              </w:rPr>
              <w:t xml:space="preserve">rámci zlepšenia životných podmienok dojníc podporou pastevného chovu umožňujeme </w:t>
            </w:r>
            <w:r w:rsidR="00B1485B">
              <w:rPr>
                <w:rFonts w:eastAsia="Calibri"/>
                <w:sz w:val="22"/>
                <w:szCs w:val="22"/>
              </w:rPr>
              <w:t xml:space="preserve">poľnohospodárskym </w:t>
            </w:r>
            <w:r w:rsidR="00E226DE" w:rsidRPr="00411E2D">
              <w:rPr>
                <w:rFonts w:eastAsia="Calibri"/>
                <w:sz w:val="22"/>
                <w:szCs w:val="22"/>
              </w:rPr>
              <w:t>podnikom</w:t>
            </w:r>
            <w:r w:rsidR="0044184D" w:rsidRPr="00411E2D">
              <w:rPr>
                <w:rFonts w:eastAsia="Calibri"/>
                <w:sz w:val="22"/>
                <w:szCs w:val="22"/>
              </w:rPr>
              <w:t xml:space="preserve"> </w:t>
            </w:r>
            <w:r w:rsidRPr="00411E2D">
              <w:rPr>
                <w:rFonts w:eastAsia="Calibri"/>
                <w:sz w:val="22"/>
                <w:szCs w:val="22"/>
              </w:rPr>
              <w:t>zapojiť časť chovu do podpory</w:t>
            </w:r>
            <w:r w:rsidR="0044184D" w:rsidRPr="00411E2D">
              <w:rPr>
                <w:rFonts w:eastAsia="Calibri"/>
                <w:sz w:val="22"/>
                <w:szCs w:val="22"/>
              </w:rPr>
              <w:t xml:space="preserve"> na zlepšenie </w:t>
            </w:r>
            <w:r w:rsidRPr="00411E2D">
              <w:rPr>
                <w:rFonts w:eastAsia="Calibri"/>
                <w:sz w:val="22"/>
                <w:szCs w:val="22"/>
              </w:rPr>
              <w:t>životných podmienok</w:t>
            </w:r>
            <w:r w:rsidR="0044184D" w:rsidRPr="00411E2D">
              <w:rPr>
                <w:rFonts w:eastAsia="Calibri"/>
                <w:sz w:val="22"/>
                <w:szCs w:val="22"/>
              </w:rPr>
              <w:t xml:space="preserve"> zvierat </w:t>
            </w:r>
            <w:r w:rsidRPr="00411E2D">
              <w:rPr>
                <w:rFonts w:eastAsia="Calibri"/>
                <w:sz w:val="22"/>
                <w:szCs w:val="22"/>
              </w:rPr>
              <w:t>podporou pastevného chovu a časť chovu do podpory zlepšenia podmienok ustajnenia dojníc intervencie II. piliera. Týmto opatrením zvyšujeme množstvo dojníc s</w:t>
            </w:r>
            <w:r w:rsidR="00B1485B">
              <w:rPr>
                <w:rFonts w:eastAsia="Calibri"/>
                <w:sz w:val="22"/>
                <w:szCs w:val="22"/>
              </w:rPr>
              <w:t xml:space="preserve"> </w:t>
            </w:r>
            <w:r w:rsidRPr="00411E2D">
              <w:rPr>
                <w:rFonts w:eastAsia="Calibri"/>
                <w:sz w:val="22"/>
                <w:szCs w:val="22"/>
              </w:rPr>
              <w:t>pasienkovým chovom, ktorý prospieva biodiverzite a</w:t>
            </w:r>
            <w:r w:rsidR="00B1485B">
              <w:rPr>
                <w:rFonts w:eastAsia="Calibri"/>
                <w:sz w:val="22"/>
                <w:szCs w:val="22"/>
              </w:rPr>
              <w:t xml:space="preserve"> </w:t>
            </w:r>
            <w:r w:rsidRPr="00411E2D">
              <w:rPr>
                <w:rFonts w:eastAsia="Calibri"/>
                <w:sz w:val="22"/>
                <w:szCs w:val="22"/>
              </w:rPr>
              <w:t xml:space="preserve">zdraviu zvierat. </w:t>
            </w:r>
          </w:p>
        </w:tc>
      </w:tr>
      <w:tr w:rsidR="00F71882" w:rsidRPr="002E32C0" w:rsidTr="0044184D">
        <w:trPr>
          <w:trHeight w:val="422"/>
        </w:trPr>
        <w:tc>
          <w:tcPr>
            <w:tcW w:w="9062" w:type="dxa"/>
            <w:shd w:val="clear" w:color="auto" w:fill="auto"/>
          </w:tcPr>
          <w:p w:rsidR="00F71882" w:rsidRPr="00411E2D" w:rsidRDefault="00F71882" w:rsidP="0044184D">
            <w:pPr>
              <w:ind w:left="284"/>
              <w:jc w:val="both"/>
              <w:rPr>
                <w:sz w:val="22"/>
                <w:szCs w:val="22"/>
              </w:rPr>
            </w:pPr>
            <w:r w:rsidRPr="00411E2D">
              <w:rPr>
                <w:sz w:val="22"/>
                <w:szCs w:val="22"/>
              </w:rPr>
              <w:lastRenderedPageBreak/>
              <w:t>5.1.</w:t>
            </w:r>
            <w:r w:rsidR="009F37D2" w:rsidRPr="00411E2D">
              <w:rPr>
                <w:sz w:val="22"/>
                <w:szCs w:val="22"/>
              </w:rPr>
              <w:t>1</w:t>
            </w:r>
            <w:r w:rsidRPr="00411E2D">
              <w:rPr>
                <w:sz w:val="22"/>
                <w:szCs w:val="22"/>
              </w:rPr>
              <w:t xml:space="preserve"> </w:t>
            </w:r>
            <w:r w:rsidR="009F37D2" w:rsidRPr="00411E2D">
              <w:rPr>
                <w:sz w:val="22"/>
                <w:szCs w:val="22"/>
              </w:rPr>
              <w:t>V</w:t>
            </w:r>
            <w:r w:rsidRPr="00411E2D">
              <w:rPr>
                <w:sz w:val="22"/>
                <w:szCs w:val="22"/>
              </w:rPr>
              <w:t>plyvy na ovzdušie:</w:t>
            </w:r>
            <w:r w:rsidR="00A65025" w:rsidRPr="00411E2D">
              <w:rPr>
                <w:sz w:val="22"/>
                <w:szCs w:val="22"/>
              </w:rPr>
              <w:t xml:space="preserve"> žiadne</w:t>
            </w:r>
          </w:p>
        </w:tc>
      </w:tr>
      <w:tr w:rsidR="00F71882" w:rsidRPr="002E32C0" w:rsidTr="0044184D">
        <w:trPr>
          <w:trHeight w:val="414"/>
        </w:trPr>
        <w:tc>
          <w:tcPr>
            <w:tcW w:w="9062" w:type="dxa"/>
            <w:shd w:val="clear" w:color="auto" w:fill="auto"/>
          </w:tcPr>
          <w:p w:rsidR="00F71882" w:rsidRPr="00411E2D" w:rsidRDefault="00F71882" w:rsidP="0044184D">
            <w:pPr>
              <w:ind w:left="284"/>
              <w:jc w:val="both"/>
              <w:rPr>
                <w:sz w:val="22"/>
                <w:szCs w:val="22"/>
              </w:rPr>
            </w:pPr>
            <w:r w:rsidRPr="00411E2D">
              <w:rPr>
                <w:sz w:val="22"/>
                <w:szCs w:val="22"/>
              </w:rPr>
              <w:t>5.1.</w:t>
            </w:r>
            <w:r w:rsidR="009F37D2" w:rsidRPr="00411E2D">
              <w:rPr>
                <w:sz w:val="22"/>
                <w:szCs w:val="22"/>
              </w:rPr>
              <w:t>2</w:t>
            </w:r>
            <w:r w:rsidR="00FE0F15" w:rsidRPr="00411E2D">
              <w:rPr>
                <w:sz w:val="22"/>
                <w:szCs w:val="22"/>
              </w:rPr>
              <w:t xml:space="preserve"> </w:t>
            </w:r>
            <w:r w:rsidR="009F37D2" w:rsidRPr="00411E2D">
              <w:rPr>
                <w:sz w:val="22"/>
                <w:szCs w:val="22"/>
              </w:rPr>
              <w:t>V</w:t>
            </w:r>
            <w:r w:rsidRPr="00411E2D">
              <w:rPr>
                <w:sz w:val="22"/>
                <w:szCs w:val="22"/>
              </w:rPr>
              <w:t>plyvy na vodu vrátane odpadových vôd</w:t>
            </w:r>
            <w:r w:rsidR="00A65025" w:rsidRPr="00411E2D">
              <w:rPr>
                <w:sz w:val="22"/>
                <w:szCs w:val="22"/>
              </w:rPr>
              <w:t>: žiadne</w:t>
            </w:r>
          </w:p>
        </w:tc>
      </w:tr>
      <w:tr w:rsidR="00120135" w:rsidRPr="002E32C0" w:rsidTr="002816BC">
        <w:trPr>
          <w:trHeight w:val="995"/>
        </w:trPr>
        <w:tc>
          <w:tcPr>
            <w:tcW w:w="9062" w:type="dxa"/>
            <w:shd w:val="clear" w:color="auto" w:fill="auto"/>
          </w:tcPr>
          <w:p w:rsidR="0044184D" w:rsidRPr="00411E2D" w:rsidRDefault="00120135" w:rsidP="002816BC">
            <w:pPr>
              <w:ind w:left="284"/>
              <w:jc w:val="both"/>
              <w:rPr>
                <w:sz w:val="22"/>
                <w:szCs w:val="22"/>
              </w:rPr>
            </w:pPr>
            <w:r w:rsidRPr="00411E2D">
              <w:rPr>
                <w:sz w:val="22"/>
                <w:szCs w:val="22"/>
              </w:rPr>
              <w:t>5.1.</w:t>
            </w:r>
            <w:r w:rsidR="009F37D2" w:rsidRPr="00411E2D">
              <w:rPr>
                <w:sz w:val="22"/>
                <w:szCs w:val="22"/>
              </w:rPr>
              <w:t>3</w:t>
            </w:r>
            <w:r w:rsidRPr="00411E2D">
              <w:rPr>
                <w:sz w:val="22"/>
                <w:szCs w:val="22"/>
              </w:rPr>
              <w:t xml:space="preserve"> </w:t>
            </w:r>
            <w:r w:rsidR="009F37D2" w:rsidRPr="00411E2D">
              <w:rPr>
                <w:sz w:val="22"/>
                <w:szCs w:val="22"/>
              </w:rPr>
              <w:t>V</w:t>
            </w:r>
            <w:r w:rsidRPr="00411E2D">
              <w:rPr>
                <w:sz w:val="22"/>
                <w:szCs w:val="22"/>
              </w:rPr>
              <w:t>plyvy na pôdu a horninové prostredie:</w:t>
            </w:r>
            <w:r w:rsidR="00DD0F8E" w:rsidRPr="00411E2D">
              <w:rPr>
                <w:sz w:val="22"/>
                <w:szCs w:val="22"/>
              </w:rPr>
              <w:t xml:space="preserve"> pozitívny vplyv</w:t>
            </w:r>
          </w:p>
          <w:p w:rsidR="00120135" w:rsidRPr="00411E2D" w:rsidRDefault="00DD0F8E" w:rsidP="00B1485B">
            <w:pPr>
              <w:jc w:val="both"/>
              <w:rPr>
                <w:sz w:val="22"/>
                <w:szCs w:val="22"/>
              </w:rPr>
            </w:pPr>
            <w:r w:rsidRPr="00411E2D">
              <w:rPr>
                <w:sz w:val="22"/>
                <w:szCs w:val="22"/>
              </w:rPr>
              <w:t xml:space="preserve">Zvýšilo sa druhové zloženie slamy pre postup zlepšenia štruktúry ornej pôdy aplikáciou slamy. Očakávame vyššiu zapojenosť </w:t>
            </w:r>
            <w:r w:rsidR="006D21CA" w:rsidRPr="00411E2D">
              <w:rPr>
                <w:rFonts w:eastAsia="Calibri"/>
                <w:sz w:val="22"/>
                <w:szCs w:val="22"/>
              </w:rPr>
              <w:t xml:space="preserve">poľnohospodárskych </w:t>
            </w:r>
            <w:r w:rsidRPr="00411E2D">
              <w:rPr>
                <w:sz w:val="22"/>
                <w:szCs w:val="22"/>
              </w:rPr>
              <w:t xml:space="preserve">podnikov do </w:t>
            </w:r>
            <w:r w:rsidR="006D21CA" w:rsidRPr="00411E2D">
              <w:rPr>
                <w:sz w:val="22"/>
                <w:szCs w:val="22"/>
              </w:rPr>
              <w:t xml:space="preserve">podpory formou </w:t>
            </w:r>
            <w:r w:rsidRPr="00411E2D">
              <w:rPr>
                <w:sz w:val="22"/>
                <w:szCs w:val="22"/>
              </w:rPr>
              <w:t>celofamovej eko-schémy</w:t>
            </w:r>
            <w:r w:rsidR="006D21CA" w:rsidRPr="00411E2D">
              <w:rPr>
                <w:sz w:val="22"/>
                <w:szCs w:val="22"/>
              </w:rPr>
              <w:t>,</w:t>
            </w:r>
            <w:r w:rsidRPr="00411E2D">
              <w:rPr>
                <w:sz w:val="22"/>
                <w:szCs w:val="22"/>
              </w:rPr>
              <w:t xml:space="preserve"> a</w:t>
            </w:r>
            <w:r w:rsidR="00B1485B">
              <w:rPr>
                <w:sz w:val="22"/>
                <w:szCs w:val="22"/>
              </w:rPr>
              <w:t xml:space="preserve"> </w:t>
            </w:r>
            <w:r w:rsidRPr="00411E2D">
              <w:rPr>
                <w:sz w:val="22"/>
                <w:szCs w:val="22"/>
              </w:rPr>
              <w:t>tým aj zvýšené množstvo plôch s</w:t>
            </w:r>
            <w:r w:rsidR="006D21CA" w:rsidRPr="00411E2D">
              <w:rPr>
                <w:sz w:val="22"/>
                <w:szCs w:val="22"/>
              </w:rPr>
              <w:t xml:space="preserve"> </w:t>
            </w:r>
            <w:r w:rsidRPr="00411E2D">
              <w:rPr>
                <w:sz w:val="22"/>
                <w:szCs w:val="22"/>
              </w:rPr>
              <w:t xml:space="preserve">pozitívnym vplyvom na ornú pôdu. </w:t>
            </w:r>
          </w:p>
        </w:tc>
      </w:tr>
      <w:tr w:rsidR="004D3CBA" w:rsidRPr="002E32C0" w:rsidTr="006D21CA">
        <w:trPr>
          <w:trHeight w:val="453"/>
        </w:trPr>
        <w:tc>
          <w:tcPr>
            <w:tcW w:w="9062" w:type="dxa"/>
            <w:shd w:val="clear" w:color="auto" w:fill="auto"/>
          </w:tcPr>
          <w:p w:rsidR="004D3CBA" w:rsidRPr="00411E2D" w:rsidRDefault="004D3CBA" w:rsidP="00B1485B">
            <w:pPr>
              <w:ind w:left="284"/>
              <w:jc w:val="both"/>
              <w:rPr>
                <w:sz w:val="22"/>
                <w:szCs w:val="22"/>
              </w:rPr>
            </w:pPr>
            <w:r w:rsidRPr="00411E2D">
              <w:rPr>
                <w:sz w:val="22"/>
                <w:szCs w:val="22"/>
              </w:rPr>
              <w:t>5.1.</w:t>
            </w:r>
            <w:r w:rsidR="009F37D2" w:rsidRPr="00411E2D">
              <w:rPr>
                <w:sz w:val="22"/>
                <w:szCs w:val="22"/>
              </w:rPr>
              <w:t>4</w:t>
            </w:r>
            <w:r w:rsidRPr="00411E2D">
              <w:rPr>
                <w:sz w:val="22"/>
                <w:szCs w:val="22"/>
              </w:rPr>
              <w:t xml:space="preserve"> </w:t>
            </w:r>
            <w:r w:rsidR="009F37D2" w:rsidRPr="00411E2D">
              <w:rPr>
                <w:sz w:val="22"/>
                <w:szCs w:val="22"/>
              </w:rPr>
              <w:t>V</w:t>
            </w:r>
            <w:r w:rsidRPr="00411E2D">
              <w:rPr>
                <w:sz w:val="22"/>
                <w:szCs w:val="22"/>
              </w:rPr>
              <w:t>plyvy na organizmy:</w:t>
            </w:r>
            <w:r w:rsidR="00A65025" w:rsidRPr="00411E2D">
              <w:rPr>
                <w:sz w:val="22"/>
                <w:szCs w:val="22"/>
              </w:rPr>
              <w:t xml:space="preserve"> </w:t>
            </w:r>
            <w:r w:rsidR="00DD0F8E" w:rsidRPr="00411E2D">
              <w:rPr>
                <w:sz w:val="22"/>
                <w:szCs w:val="22"/>
              </w:rPr>
              <w:t xml:space="preserve">viď. </w:t>
            </w:r>
            <w:r w:rsidR="00590FF7" w:rsidRPr="00411E2D">
              <w:rPr>
                <w:sz w:val="22"/>
                <w:szCs w:val="22"/>
              </w:rPr>
              <w:t>b</w:t>
            </w:r>
            <w:r w:rsidR="00DD0F8E" w:rsidRPr="00411E2D">
              <w:rPr>
                <w:sz w:val="22"/>
                <w:szCs w:val="22"/>
              </w:rPr>
              <w:t>od 5.1</w:t>
            </w:r>
          </w:p>
        </w:tc>
      </w:tr>
      <w:tr w:rsidR="00F71882" w:rsidRPr="002E32C0" w:rsidTr="006D21CA">
        <w:trPr>
          <w:trHeight w:val="386"/>
        </w:trPr>
        <w:tc>
          <w:tcPr>
            <w:tcW w:w="9062" w:type="dxa"/>
            <w:shd w:val="clear" w:color="auto" w:fill="auto"/>
          </w:tcPr>
          <w:p w:rsidR="00F71882" w:rsidRPr="00411E2D" w:rsidRDefault="00F71882" w:rsidP="00B1485B">
            <w:pPr>
              <w:ind w:left="284"/>
              <w:jc w:val="both"/>
              <w:rPr>
                <w:sz w:val="22"/>
                <w:szCs w:val="22"/>
              </w:rPr>
            </w:pPr>
            <w:r w:rsidRPr="00411E2D">
              <w:rPr>
                <w:sz w:val="22"/>
                <w:szCs w:val="22"/>
              </w:rPr>
              <w:t>5.1.</w:t>
            </w:r>
            <w:r w:rsidR="009F37D2" w:rsidRPr="00411E2D">
              <w:rPr>
                <w:sz w:val="22"/>
                <w:szCs w:val="22"/>
              </w:rPr>
              <w:t>5</w:t>
            </w:r>
            <w:r w:rsidRPr="00411E2D">
              <w:rPr>
                <w:sz w:val="22"/>
                <w:szCs w:val="22"/>
              </w:rPr>
              <w:t xml:space="preserve"> </w:t>
            </w:r>
            <w:r w:rsidR="009F37D2" w:rsidRPr="00411E2D">
              <w:rPr>
                <w:sz w:val="22"/>
                <w:szCs w:val="22"/>
              </w:rPr>
              <w:t>V</w:t>
            </w:r>
            <w:r w:rsidRPr="00411E2D">
              <w:rPr>
                <w:sz w:val="22"/>
                <w:szCs w:val="22"/>
              </w:rPr>
              <w:t xml:space="preserve">plyvy na </w:t>
            </w:r>
            <w:r w:rsidR="00A65025" w:rsidRPr="00411E2D">
              <w:rPr>
                <w:sz w:val="22"/>
                <w:szCs w:val="22"/>
              </w:rPr>
              <w:t>odpady</w:t>
            </w:r>
            <w:r w:rsidRPr="00411E2D">
              <w:rPr>
                <w:sz w:val="22"/>
                <w:szCs w:val="22"/>
              </w:rPr>
              <w:t>:</w:t>
            </w:r>
            <w:r w:rsidR="00A65025" w:rsidRPr="00411E2D">
              <w:rPr>
                <w:sz w:val="22"/>
                <w:szCs w:val="22"/>
              </w:rPr>
              <w:t xml:space="preserve"> žiadne</w:t>
            </w:r>
            <w:r w:rsidR="006D21CA" w:rsidRPr="00411E2D">
              <w:rPr>
                <w:sz w:val="22"/>
                <w:szCs w:val="22"/>
              </w:rPr>
              <w:t xml:space="preserve"> </w:t>
            </w:r>
          </w:p>
        </w:tc>
      </w:tr>
      <w:tr w:rsidR="00374EDB" w:rsidRPr="002E32C0" w:rsidTr="00120135">
        <w:trPr>
          <w:trHeight w:val="404"/>
        </w:trPr>
        <w:tc>
          <w:tcPr>
            <w:tcW w:w="9062" w:type="dxa"/>
            <w:shd w:val="clear" w:color="auto" w:fill="D9D9D9"/>
            <w:vAlign w:val="center"/>
            <w:hideMark/>
          </w:tcPr>
          <w:p w:rsidR="00374EDB" w:rsidRPr="00411E2D" w:rsidRDefault="00374EDB" w:rsidP="00B1485B">
            <w:pPr>
              <w:rPr>
                <w:b/>
                <w:sz w:val="22"/>
                <w:szCs w:val="22"/>
              </w:rPr>
            </w:pPr>
            <w:r w:rsidRPr="00411E2D">
              <w:rPr>
                <w:b/>
                <w:sz w:val="22"/>
                <w:szCs w:val="22"/>
              </w:rPr>
              <w:t>5.2 Bude mať predkladaný materiál vplyv na chránené územia a</w:t>
            </w:r>
            <w:r w:rsidR="00B1485B">
              <w:rPr>
                <w:b/>
                <w:sz w:val="22"/>
                <w:szCs w:val="22"/>
              </w:rPr>
              <w:t xml:space="preserve"> </w:t>
            </w:r>
            <w:r w:rsidRPr="00411E2D">
              <w:rPr>
                <w:b/>
                <w:sz w:val="22"/>
                <w:szCs w:val="22"/>
              </w:rPr>
              <w:t xml:space="preserve">ak áno, aký? </w:t>
            </w:r>
          </w:p>
        </w:tc>
      </w:tr>
      <w:tr w:rsidR="00374EDB" w:rsidRPr="002E32C0" w:rsidTr="00120135">
        <w:trPr>
          <w:trHeight w:val="987"/>
        </w:trPr>
        <w:tc>
          <w:tcPr>
            <w:tcW w:w="9062" w:type="dxa"/>
          </w:tcPr>
          <w:p w:rsidR="00DD0F8E" w:rsidRPr="00411E2D" w:rsidRDefault="00DD0F8E" w:rsidP="00DD0F8E">
            <w:pPr>
              <w:pStyle w:val="Bezriadkovania"/>
              <w:jc w:val="both"/>
              <w:rPr>
                <w:sz w:val="22"/>
                <w:szCs w:val="22"/>
              </w:rPr>
            </w:pPr>
            <w:r w:rsidRPr="00411E2D">
              <w:rPr>
                <w:sz w:val="22"/>
                <w:szCs w:val="22"/>
              </w:rPr>
              <w:t>V prípade, že do plochy ornej pôdy zasahuj</w:t>
            </w:r>
            <w:r w:rsidR="00B1485B">
              <w:rPr>
                <w:sz w:val="22"/>
                <w:szCs w:val="22"/>
              </w:rPr>
              <w:t>e</w:t>
            </w:r>
            <w:r w:rsidRPr="00411E2D">
              <w:rPr>
                <w:sz w:val="22"/>
                <w:szCs w:val="22"/>
              </w:rPr>
              <w:t xml:space="preserve"> chráne</w:t>
            </w:r>
            <w:r w:rsidR="00590FF7" w:rsidRPr="00411E2D">
              <w:rPr>
                <w:sz w:val="22"/>
                <w:szCs w:val="22"/>
              </w:rPr>
              <w:t>né</w:t>
            </w:r>
            <w:r w:rsidR="006D21CA" w:rsidRPr="00411E2D">
              <w:rPr>
                <w:sz w:val="22"/>
                <w:szCs w:val="22"/>
              </w:rPr>
              <w:t xml:space="preserve"> </w:t>
            </w:r>
            <w:r w:rsidRPr="00411E2D">
              <w:rPr>
                <w:sz w:val="22"/>
                <w:szCs w:val="22"/>
              </w:rPr>
              <w:t>vtáč</w:t>
            </w:r>
            <w:r w:rsidR="00590FF7" w:rsidRPr="00411E2D">
              <w:rPr>
                <w:sz w:val="22"/>
                <w:szCs w:val="22"/>
              </w:rPr>
              <w:t>ie</w:t>
            </w:r>
            <w:r w:rsidR="00E226DE" w:rsidRPr="00411E2D">
              <w:rPr>
                <w:sz w:val="22"/>
                <w:szCs w:val="22"/>
              </w:rPr>
              <w:t xml:space="preserve"> </w:t>
            </w:r>
            <w:r w:rsidRPr="00411E2D">
              <w:rPr>
                <w:sz w:val="22"/>
                <w:szCs w:val="22"/>
              </w:rPr>
              <w:t>územ</w:t>
            </w:r>
            <w:r w:rsidR="00590FF7" w:rsidRPr="00411E2D">
              <w:rPr>
                <w:sz w:val="22"/>
                <w:szCs w:val="22"/>
              </w:rPr>
              <w:t>ie</w:t>
            </w:r>
            <w:r w:rsidRPr="00411E2D">
              <w:rPr>
                <w:sz w:val="22"/>
                <w:szCs w:val="22"/>
              </w:rPr>
              <w:t xml:space="preserve"> alebo územ</w:t>
            </w:r>
            <w:r w:rsidR="00590FF7" w:rsidRPr="00411E2D">
              <w:rPr>
                <w:sz w:val="22"/>
                <w:szCs w:val="22"/>
              </w:rPr>
              <w:t>ie</w:t>
            </w:r>
            <w:r w:rsidRPr="00411E2D">
              <w:rPr>
                <w:sz w:val="22"/>
                <w:szCs w:val="22"/>
              </w:rPr>
              <w:t xml:space="preserve"> európskeho významu, návrh</w:t>
            </w:r>
            <w:r w:rsidR="006D21CA" w:rsidRPr="00411E2D">
              <w:rPr>
                <w:sz w:val="22"/>
                <w:szCs w:val="22"/>
              </w:rPr>
              <w:t xml:space="preserve"> predkladanej novely</w:t>
            </w:r>
            <w:r w:rsidRPr="00411E2D">
              <w:rPr>
                <w:sz w:val="22"/>
                <w:szCs w:val="22"/>
              </w:rPr>
              <w:t xml:space="preserve"> umožňuje deliť biopásom na 20 ha iba plochu, ktorá sa nachádza iba v chránenom vtáčom území alebo v území európskeho významu.</w:t>
            </w:r>
            <w:r w:rsidR="00B1485B">
              <w:rPr>
                <w:sz w:val="22"/>
                <w:szCs w:val="22"/>
              </w:rPr>
              <w:t xml:space="preserve"> </w:t>
            </w:r>
            <w:r w:rsidRPr="00411E2D">
              <w:rPr>
                <w:sz w:val="22"/>
                <w:szCs w:val="22"/>
              </w:rPr>
              <w:t xml:space="preserve">Zvyšnú časť dielu pôdneho bloku, ktorého časť sa nenachádza v chránenom vtáčom území alebo v území európskeho významu, </w:t>
            </w:r>
            <w:r w:rsidRPr="00411E2D">
              <w:rPr>
                <w:sz w:val="22"/>
                <w:szCs w:val="22"/>
              </w:rPr>
              <w:lastRenderedPageBreak/>
              <w:t>stačí deliť biopásom na 50 ha.</w:t>
            </w:r>
            <w:r w:rsidR="00B1485B">
              <w:rPr>
                <w:sz w:val="22"/>
                <w:szCs w:val="22"/>
              </w:rPr>
              <w:t xml:space="preserve"> </w:t>
            </w:r>
            <w:r w:rsidRPr="00411E2D">
              <w:rPr>
                <w:sz w:val="22"/>
                <w:szCs w:val="22"/>
              </w:rPr>
              <w:t>I</w:t>
            </w:r>
            <w:r w:rsidR="00B1485B">
              <w:rPr>
                <w:sz w:val="22"/>
                <w:szCs w:val="22"/>
              </w:rPr>
              <w:t xml:space="preserve"> </w:t>
            </w:r>
            <w:r w:rsidRPr="00411E2D">
              <w:rPr>
                <w:sz w:val="22"/>
                <w:szCs w:val="22"/>
              </w:rPr>
              <w:t>naďalej platí, že chránené územie je súvislá plocha ornej pôdy prijímateľa v jednom diele pôdneho bloku, ktorej najmenej 5 % alebo 0,5 ha výmery sa nachádza v</w:t>
            </w:r>
            <w:r w:rsidR="00B1485B">
              <w:rPr>
                <w:sz w:val="22"/>
                <w:szCs w:val="22"/>
              </w:rPr>
              <w:t> </w:t>
            </w:r>
            <w:r w:rsidRPr="00411E2D">
              <w:rPr>
                <w:sz w:val="22"/>
                <w:szCs w:val="22"/>
              </w:rPr>
              <w:t xml:space="preserve">chránenom vtáčom území alebo v území európskeho významu (t. j. územia Natura 2000). Ak napríklad diel pôdneho bloku má 50 ha a do </w:t>
            </w:r>
            <w:r w:rsidR="00D84548" w:rsidRPr="00411E2D">
              <w:rPr>
                <w:sz w:val="22"/>
                <w:szCs w:val="22"/>
              </w:rPr>
              <w:t xml:space="preserve">chráneného územia </w:t>
            </w:r>
            <w:r w:rsidRPr="00411E2D">
              <w:rPr>
                <w:sz w:val="22"/>
                <w:szCs w:val="22"/>
              </w:rPr>
              <w:t>zasahuje len 19 ha, diel pôdneho bloku nie je potrebné deliť. Ak však diel pôdneho bloku má napríklad 55 ha, z toho 15 ha je v</w:t>
            </w:r>
            <w:r w:rsidR="00D84548" w:rsidRPr="00411E2D">
              <w:rPr>
                <w:sz w:val="22"/>
                <w:szCs w:val="22"/>
              </w:rPr>
              <w:t> chránenom území</w:t>
            </w:r>
            <w:r w:rsidRPr="00411E2D">
              <w:rPr>
                <w:sz w:val="22"/>
                <w:szCs w:val="22"/>
              </w:rPr>
              <w:t xml:space="preserve"> a 40 ha mimo </w:t>
            </w:r>
            <w:r w:rsidR="00D84548" w:rsidRPr="00411E2D">
              <w:rPr>
                <w:sz w:val="22"/>
                <w:szCs w:val="22"/>
              </w:rPr>
              <w:t>chráneného územia,</w:t>
            </w:r>
            <w:r w:rsidRPr="00411E2D">
              <w:rPr>
                <w:sz w:val="22"/>
                <w:szCs w:val="22"/>
              </w:rPr>
              <w:t xml:space="preserve"> je ho potrebné deliť na 50</w:t>
            </w:r>
            <w:r w:rsidR="006D21CA" w:rsidRPr="00411E2D">
              <w:rPr>
                <w:sz w:val="22"/>
                <w:szCs w:val="22"/>
              </w:rPr>
              <w:t xml:space="preserve"> </w:t>
            </w:r>
            <w:r w:rsidRPr="00411E2D">
              <w:rPr>
                <w:sz w:val="22"/>
                <w:szCs w:val="22"/>
              </w:rPr>
              <w:t>ha.</w:t>
            </w:r>
          </w:p>
          <w:p w:rsidR="006946BD" w:rsidRPr="00411E2D" w:rsidRDefault="00590FF7" w:rsidP="00B1485B">
            <w:pPr>
              <w:pStyle w:val="Bezriadkovania"/>
              <w:jc w:val="both"/>
              <w:rPr>
                <w:i/>
                <w:sz w:val="22"/>
                <w:szCs w:val="22"/>
              </w:rPr>
            </w:pPr>
            <w:r w:rsidRPr="00411E2D">
              <w:rPr>
                <w:sz w:val="22"/>
                <w:szCs w:val="22"/>
              </w:rPr>
              <w:t>Prijímatelia</w:t>
            </w:r>
            <w:r w:rsidR="00DD0F8E" w:rsidRPr="00411E2D">
              <w:rPr>
                <w:sz w:val="22"/>
                <w:szCs w:val="22"/>
              </w:rPr>
              <w:t xml:space="preserve"> podpory v</w:t>
            </w:r>
            <w:r w:rsidR="00B1485B">
              <w:rPr>
                <w:sz w:val="22"/>
                <w:szCs w:val="22"/>
              </w:rPr>
              <w:t xml:space="preserve"> </w:t>
            </w:r>
            <w:r w:rsidR="00DD0F8E" w:rsidRPr="00411E2D">
              <w:rPr>
                <w:sz w:val="22"/>
                <w:szCs w:val="22"/>
              </w:rPr>
              <w:t>chránenom území budú</w:t>
            </w:r>
            <w:r w:rsidR="006D21CA" w:rsidRPr="00411E2D">
              <w:rPr>
                <w:sz w:val="22"/>
                <w:szCs w:val="22"/>
              </w:rPr>
              <w:t xml:space="preserve"> </w:t>
            </w:r>
            <w:r w:rsidR="00DD0F8E" w:rsidRPr="00411E2D">
              <w:rPr>
                <w:sz w:val="22"/>
                <w:szCs w:val="22"/>
              </w:rPr>
              <w:t>i</w:t>
            </w:r>
            <w:r w:rsidR="006D21CA" w:rsidRPr="00411E2D">
              <w:rPr>
                <w:sz w:val="22"/>
                <w:szCs w:val="22"/>
              </w:rPr>
              <w:t xml:space="preserve"> </w:t>
            </w:r>
            <w:r w:rsidR="00DD0F8E" w:rsidRPr="00411E2D">
              <w:rPr>
                <w:sz w:val="22"/>
                <w:szCs w:val="22"/>
              </w:rPr>
              <w:t xml:space="preserve">naďalej musieť vykonávať prísnejšie podmienky </w:t>
            </w:r>
            <w:r w:rsidR="006D21CA" w:rsidRPr="00411E2D">
              <w:rPr>
                <w:sz w:val="22"/>
                <w:szCs w:val="22"/>
              </w:rPr>
              <w:t xml:space="preserve">celofarmovej </w:t>
            </w:r>
            <w:r w:rsidR="00DD0F8E" w:rsidRPr="00411E2D">
              <w:rPr>
                <w:sz w:val="22"/>
                <w:szCs w:val="22"/>
              </w:rPr>
              <w:t>eko-schém</w:t>
            </w:r>
            <w:r w:rsidR="006D21CA" w:rsidRPr="00411E2D">
              <w:rPr>
                <w:sz w:val="22"/>
                <w:szCs w:val="22"/>
              </w:rPr>
              <w:t>y</w:t>
            </w:r>
            <w:r w:rsidR="00DD0F8E" w:rsidRPr="00411E2D">
              <w:rPr>
                <w:sz w:val="22"/>
                <w:szCs w:val="22"/>
              </w:rPr>
              <w:t xml:space="preserve"> v podobe 3,5% neproduktívnych prvkov.</w:t>
            </w:r>
          </w:p>
        </w:tc>
      </w:tr>
      <w:tr w:rsidR="009F37D2" w:rsidRPr="002E32C0" w:rsidTr="00120135">
        <w:trPr>
          <w:trHeight w:val="698"/>
        </w:trPr>
        <w:tc>
          <w:tcPr>
            <w:tcW w:w="9062" w:type="dxa"/>
            <w:shd w:val="clear" w:color="auto" w:fill="D9D9D9"/>
            <w:vAlign w:val="center"/>
          </w:tcPr>
          <w:p w:rsidR="009F37D2" w:rsidRPr="00411E2D" w:rsidRDefault="009F37D2">
            <w:pPr>
              <w:jc w:val="both"/>
              <w:rPr>
                <w:b/>
                <w:sz w:val="22"/>
                <w:szCs w:val="22"/>
              </w:rPr>
            </w:pPr>
            <w:r w:rsidRPr="00411E2D">
              <w:rPr>
                <w:b/>
                <w:sz w:val="22"/>
                <w:szCs w:val="22"/>
              </w:rPr>
              <w:lastRenderedPageBreak/>
              <w:t xml:space="preserve">5.3 Bude mať predkladaný materiál vplyv na zmenu klímy a ak áno, aký? (typ, veľkosť a rozsah vplyvu). </w:t>
            </w:r>
          </w:p>
        </w:tc>
      </w:tr>
      <w:tr w:rsidR="009F37D2" w:rsidRPr="002E32C0" w:rsidTr="00E70DF5">
        <w:trPr>
          <w:trHeight w:val="698"/>
        </w:trPr>
        <w:tc>
          <w:tcPr>
            <w:tcW w:w="9062" w:type="dxa"/>
            <w:shd w:val="clear" w:color="auto" w:fill="auto"/>
            <w:vAlign w:val="center"/>
          </w:tcPr>
          <w:p w:rsidR="009F37D2" w:rsidRPr="00411E2D" w:rsidRDefault="00A65025" w:rsidP="00B1485B">
            <w:pPr>
              <w:jc w:val="both"/>
              <w:rPr>
                <w:sz w:val="22"/>
                <w:szCs w:val="22"/>
              </w:rPr>
            </w:pPr>
            <w:r w:rsidRPr="00411E2D">
              <w:rPr>
                <w:sz w:val="22"/>
                <w:szCs w:val="22"/>
              </w:rPr>
              <w:t xml:space="preserve">Očakávame vyššiu zapojenosť </w:t>
            </w:r>
            <w:r w:rsidR="006D21CA" w:rsidRPr="00411E2D">
              <w:rPr>
                <w:sz w:val="22"/>
                <w:szCs w:val="22"/>
              </w:rPr>
              <w:t xml:space="preserve">poľnohospodárskych </w:t>
            </w:r>
            <w:r w:rsidRPr="00411E2D">
              <w:rPr>
                <w:sz w:val="22"/>
                <w:szCs w:val="22"/>
              </w:rPr>
              <w:t xml:space="preserve">podnikov do </w:t>
            </w:r>
            <w:r w:rsidR="006D21CA" w:rsidRPr="00411E2D">
              <w:rPr>
                <w:sz w:val="22"/>
                <w:szCs w:val="22"/>
              </w:rPr>
              <w:t>podpory formou celofarmovej</w:t>
            </w:r>
            <w:r w:rsidRPr="00411E2D">
              <w:rPr>
                <w:sz w:val="22"/>
                <w:szCs w:val="22"/>
              </w:rPr>
              <w:t xml:space="preserve"> eko-schém</w:t>
            </w:r>
            <w:r w:rsidR="006D21CA" w:rsidRPr="00411E2D">
              <w:rPr>
                <w:sz w:val="22"/>
                <w:szCs w:val="22"/>
              </w:rPr>
              <w:t>y,</w:t>
            </w:r>
            <w:r w:rsidRPr="00411E2D">
              <w:rPr>
                <w:sz w:val="22"/>
                <w:szCs w:val="22"/>
              </w:rPr>
              <w:t xml:space="preserve"> kde sa vytvárajú opatrenia pozitívne vo vzťahu k</w:t>
            </w:r>
            <w:r w:rsidR="00B1485B">
              <w:rPr>
                <w:sz w:val="22"/>
                <w:szCs w:val="22"/>
              </w:rPr>
              <w:t xml:space="preserve"> </w:t>
            </w:r>
            <w:r w:rsidRPr="00411E2D">
              <w:rPr>
                <w:sz w:val="22"/>
                <w:szCs w:val="22"/>
              </w:rPr>
              <w:t xml:space="preserve">sekvestrácii uhlíka. </w:t>
            </w:r>
            <w:r w:rsidR="00E226DE" w:rsidRPr="00411E2D">
              <w:rPr>
                <w:sz w:val="22"/>
                <w:szCs w:val="22"/>
              </w:rPr>
              <w:t>Sú to o</w:t>
            </w:r>
            <w:r w:rsidR="00590FF7" w:rsidRPr="00411E2D">
              <w:rPr>
                <w:sz w:val="22"/>
                <w:szCs w:val="22"/>
              </w:rPr>
              <w:t xml:space="preserve">patrenia vytvárania neproduktívnych plôch na ornej pôde nad rámec kondicionality, postupy pre zlepšenie štruktúry ornej pôdy, podmienky pre zvýšenie pasienkového chovu zvierat </w:t>
            </w:r>
            <w:r w:rsidR="00E226DE" w:rsidRPr="00411E2D">
              <w:rPr>
                <w:sz w:val="22"/>
                <w:szCs w:val="22"/>
              </w:rPr>
              <w:t>a</w:t>
            </w:r>
            <w:r w:rsidR="00B1485B">
              <w:rPr>
                <w:sz w:val="22"/>
                <w:szCs w:val="22"/>
              </w:rPr>
              <w:t xml:space="preserve"> </w:t>
            </w:r>
            <w:r w:rsidR="00E226DE" w:rsidRPr="00411E2D">
              <w:rPr>
                <w:sz w:val="22"/>
                <w:szCs w:val="22"/>
              </w:rPr>
              <w:t>podobne.</w:t>
            </w:r>
          </w:p>
        </w:tc>
      </w:tr>
      <w:tr w:rsidR="00374EDB" w:rsidRPr="002E32C0" w:rsidTr="00120135">
        <w:trPr>
          <w:trHeight w:val="698"/>
        </w:trPr>
        <w:tc>
          <w:tcPr>
            <w:tcW w:w="9062" w:type="dxa"/>
            <w:shd w:val="clear" w:color="auto" w:fill="D9D9D9"/>
            <w:vAlign w:val="center"/>
          </w:tcPr>
          <w:p w:rsidR="00374EDB" w:rsidRPr="00411E2D" w:rsidRDefault="00374EDB">
            <w:pPr>
              <w:jc w:val="both"/>
              <w:rPr>
                <w:b/>
                <w:sz w:val="22"/>
                <w:szCs w:val="22"/>
              </w:rPr>
            </w:pPr>
            <w:r w:rsidRPr="00411E2D">
              <w:rPr>
                <w:b/>
                <w:sz w:val="22"/>
                <w:szCs w:val="22"/>
              </w:rPr>
              <w:t>5.</w:t>
            </w:r>
            <w:r w:rsidR="009F37D2" w:rsidRPr="00411E2D">
              <w:rPr>
                <w:b/>
                <w:sz w:val="22"/>
                <w:szCs w:val="22"/>
              </w:rPr>
              <w:t>4</w:t>
            </w:r>
            <w:r w:rsidRPr="00411E2D">
              <w:rPr>
                <w:b/>
                <w:sz w:val="22"/>
                <w:szCs w:val="22"/>
              </w:rPr>
              <w:t xml:space="preserve"> Bude mať predkladaný materiál vplyvy na životné prostredie presahujúce štátne hranice? (ktoré zložky a ako budú najviac ovplyvnené)?</w:t>
            </w:r>
          </w:p>
        </w:tc>
      </w:tr>
      <w:tr w:rsidR="00374EDB" w:rsidRPr="002E32C0" w:rsidTr="00B1485B">
        <w:trPr>
          <w:trHeight w:val="190"/>
        </w:trPr>
        <w:tc>
          <w:tcPr>
            <w:tcW w:w="9062" w:type="dxa"/>
          </w:tcPr>
          <w:p w:rsidR="00374EDB" w:rsidRPr="00411E2D" w:rsidRDefault="00A65025">
            <w:pPr>
              <w:jc w:val="both"/>
              <w:rPr>
                <w:b/>
                <w:sz w:val="22"/>
                <w:szCs w:val="22"/>
              </w:rPr>
            </w:pPr>
            <w:r w:rsidRPr="00411E2D">
              <w:rPr>
                <w:sz w:val="22"/>
                <w:szCs w:val="22"/>
              </w:rPr>
              <w:t>Nepredpokladajú sa vplyvy presahujúce štátne hranice.</w:t>
            </w:r>
          </w:p>
        </w:tc>
      </w:tr>
      <w:tr w:rsidR="0042091D" w:rsidRPr="002E32C0" w:rsidTr="00B1485B">
        <w:trPr>
          <w:trHeight w:val="505"/>
        </w:trPr>
        <w:tc>
          <w:tcPr>
            <w:tcW w:w="9062" w:type="dxa"/>
            <w:shd w:val="clear" w:color="auto" w:fill="D9D9D9"/>
            <w:vAlign w:val="center"/>
          </w:tcPr>
          <w:p w:rsidR="0042091D" w:rsidRPr="00411E2D" w:rsidRDefault="0042091D">
            <w:pPr>
              <w:jc w:val="both"/>
              <w:rPr>
                <w:b/>
                <w:sz w:val="22"/>
                <w:szCs w:val="22"/>
              </w:rPr>
            </w:pPr>
            <w:r w:rsidRPr="00411E2D">
              <w:rPr>
                <w:b/>
                <w:sz w:val="22"/>
                <w:szCs w:val="22"/>
              </w:rPr>
              <w:t>5.</w:t>
            </w:r>
            <w:r w:rsidR="009F37D2" w:rsidRPr="00411E2D">
              <w:rPr>
                <w:b/>
                <w:sz w:val="22"/>
                <w:szCs w:val="22"/>
              </w:rPr>
              <w:t>5</w:t>
            </w:r>
            <w:r w:rsidRPr="00411E2D">
              <w:rPr>
                <w:b/>
                <w:sz w:val="22"/>
                <w:szCs w:val="22"/>
              </w:rPr>
              <w:t xml:space="preserve"> Aké opatrenia budú prijaté na zmiernenie negatívneho vplyvu na životné prostredie?</w:t>
            </w:r>
          </w:p>
        </w:tc>
      </w:tr>
      <w:tr w:rsidR="0042091D" w:rsidRPr="002E32C0" w:rsidTr="006D21CA">
        <w:trPr>
          <w:trHeight w:val="400"/>
        </w:trPr>
        <w:tc>
          <w:tcPr>
            <w:tcW w:w="9062" w:type="dxa"/>
            <w:shd w:val="clear" w:color="auto" w:fill="FFFFFF"/>
          </w:tcPr>
          <w:p w:rsidR="00A27AEB" w:rsidRPr="00411E2D" w:rsidRDefault="00A65025" w:rsidP="006D21CA">
            <w:pPr>
              <w:jc w:val="both"/>
              <w:rPr>
                <w:sz w:val="22"/>
                <w:szCs w:val="22"/>
              </w:rPr>
            </w:pPr>
            <w:r w:rsidRPr="00411E2D">
              <w:rPr>
                <w:sz w:val="22"/>
                <w:szCs w:val="22"/>
              </w:rPr>
              <w:t>Nepredpokladá sa negatívny vplyv na životné prostredie.</w:t>
            </w:r>
          </w:p>
        </w:tc>
      </w:tr>
    </w:tbl>
    <w:p w:rsidR="00CB3623" w:rsidRPr="002E32C0" w:rsidRDefault="00CB3623" w:rsidP="00411E2D"/>
    <w:sectPr w:rsidR="00CB3623" w:rsidRPr="002E32C0" w:rsidSect="00411E2D">
      <w:footerReference w:type="default" r:id="rId8"/>
      <w:pgSz w:w="11906" w:h="16838"/>
      <w:pgMar w:top="1417" w:right="1417" w:bottom="1417" w:left="1417" w:header="708" w:footer="708" w:gutter="0"/>
      <w:pgNumType w:star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467" w:rsidRDefault="00B74467" w:rsidP="00374EDB">
      <w:r>
        <w:separator/>
      </w:r>
    </w:p>
  </w:endnote>
  <w:endnote w:type="continuationSeparator" w:id="0">
    <w:p w:rsidR="00B74467" w:rsidRDefault="00B74467" w:rsidP="0037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890855"/>
      <w:docPartObj>
        <w:docPartGallery w:val="Page Numbers (Bottom of Page)"/>
        <w:docPartUnique/>
      </w:docPartObj>
    </w:sdtPr>
    <w:sdtContent>
      <w:p w:rsidR="00374EDB" w:rsidRDefault="00D3097E" w:rsidP="00D3097E">
        <w:pPr>
          <w:pStyle w:val="Pta"/>
          <w:jc w:val="center"/>
        </w:pPr>
        <w:r>
          <w:fldChar w:fldCharType="begin"/>
        </w:r>
        <w:r>
          <w:instrText>PAGE   \* MERGEFORMAT</w:instrText>
        </w:r>
        <w:r>
          <w:fldChar w:fldCharType="separate"/>
        </w:r>
        <w:r>
          <w:rPr>
            <w:noProof/>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467" w:rsidRDefault="00B74467" w:rsidP="00374EDB">
      <w:r>
        <w:separator/>
      </w:r>
    </w:p>
  </w:footnote>
  <w:footnote w:type="continuationSeparator" w:id="0">
    <w:p w:rsidR="00B74467" w:rsidRDefault="00B74467" w:rsidP="00374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682"/>
    <w:multiLevelType w:val="hybridMultilevel"/>
    <w:tmpl w:val="3F32D05A"/>
    <w:lvl w:ilvl="0" w:tplc="0FC2CE88">
      <w:start w:val="1"/>
      <w:numFmt w:val="decimal"/>
      <w:lvlText w:val="%1."/>
      <w:lvlJc w:val="left"/>
      <w:pPr>
        <w:tabs>
          <w:tab w:val="num" w:pos="420"/>
        </w:tabs>
        <w:ind w:left="420" w:hanging="360"/>
      </w:pPr>
      <w:rPr>
        <w:rFonts w:cs="Times New Roman" w:hint="default"/>
      </w:rPr>
    </w:lvl>
    <w:lvl w:ilvl="1" w:tplc="FF0AC334">
      <w:start w:val="1"/>
      <w:numFmt w:val="bullet"/>
      <w:lvlText w:val="-"/>
      <w:lvlJc w:val="left"/>
      <w:pPr>
        <w:tabs>
          <w:tab w:val="num" w:pos="1140"/>
        </w:tabs>
        <w:ind w:left="1140" w:hanging="360"/>
      </w:pPr>
      <w:rPr>
        <w:rFonts w:ascii="Times New Roman" w:eastAsia="Times New Roman" w:hAnsi="Times New Roman" w:hint="default"/>
      </w:rPr>
    </w:lvl>
    <w:lvl w:ilvl="2" w:tplc="856AD45A">
      <w:start w:val="1"/>
      <w:numFmt w:val="lowerLetter"/>
      <w:lvlText w:val="%3)"/>
      <w:lvlJc w:val="left"/>
      <w:pPr>
        <w:tabs>
          <w:tab w:val="num" w:pos="2040"/>
        </w:tabs>
        <w:ind w:left="2040" w:hanging="360"/>
      </w:pPr>
      <w:rPr>
        <w:rFonts w:cs="Times New Roman" w:hint="default"/>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1" w15:restartNumberingAfterBreak="0">
    <w:nsid w:val="2500299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C0E4B0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D2F2AE6"/>
    <w:multiLevelType w:val="singleLevel"/>
    <w:tmpl w:val="02F81D8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46E1B1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EEC28DE"/>
    <w:multiLevelType w:val="multilevel"/>
    <w:tmpl w:val="F01C05CA"/>
    <w:lvl w:ilvl="0">
      <w:start w:val="1"/>
      <w:numFmt w:val="bullet"/>
      <w:lvlText w:val=""/>
      <w:lvlJc w:val="left"/>
      <w:pPr>
        <w:tabs>
          <w:tab w:val="num" w:pos="360"/>
        </w:tabs>
        <w:ind w:left="340"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EDF"/>
    <w:rsid w:val="0004256B"/>
    <w:rsid w:val="00054E5C"/>
    <w:rsid w:val="000C5183"/>
    <w:rsid w:val="000F6BEE"/>
    <w:rsid w:val="00120135"/>
    <w:rsid w:val="002E32C0"/>
    <w:rsid w:val="003341B0"/>
    <w:rsid w:val="0034337A"/>
    <w:rsid w:val="00373839"/>
    <w:rsid w:val="00374EDB"/>
    <w:rsid w:val="003D12C7"/>
    <w:rsid w:val="00411E2D"/>
    <w:rsid w:val="00413E9A"/>
    <w:rsid w:val="0042091D"/>
    <w:rsid w:val="0044184D"/>
    <w:rsid w:val="004D3CBA"/>
    <w:rsid w:val="004E2382"/>
    <w:rsid w:val="00583117"/>
    <w:rsid w:val="00590FF7"/>
    <w:rsid w:val="005D4D93"/>
    <w:rsid w:val="006639FA"/>
    <w:rsid w:val="006946BD"/>
    <w:rsid w:val="006B7E43"/>
    <w:rsid w:val="006D21CA"/>
    <w:rsid w:val="006E73C0"/>
    <w:rsid w:val="00702CAB"/>
    <w:rsid w:val="007206FA"/>
    <w:rsid w:val="007604EE"/>
    <w:rsid w:val="00761E24"/>
    <w:rsid w:val="00796EFC"/>
    <w:rsid w:val="007E33A8"/>
    <w:rsid w:val="007F47B1"/>
    <w:rsid w:val="00843142"/>
    <w:rsid w:val="00875217"/>
    <w:rsid w:val="00881CF2"/>
    <w:rsid w:val="00886A54"/>
    <w:rsid w:val="008E37C8"/>
    <w:rsid w:val="009451C9"/>
    <w:rsid w:val="009A7F20"/>
    <w:rsid w:val="009F37D2"/>
    <w:rsid w:val="00A27AEB"/>
    <w:rsid w:val="00A65025"/>
    <w:rsid w:val="00A96EDF"/>
    <w:rsid w:val="00AE0307"/>
    <w:rsid w:val="00B109C7"/>
    <w:rsid w:val="00B1485B"/>
    <w:rsid w:val="00B44705"/>
    <w:rsid w:val="00B74467"/>
    <w:rsid w:val="00BE544B"/>
    <w:rsid w:val="00BF06BE"/>
    <w:rsid w:val="00C10E4E"/>
    <w:rsid w:val="00C63D8E"/>
    <w:rsid w:val="00CB3623"/>
    <w:rsid w:val="00CB36E2"/>
    <w:rsid w:val="00D13520"/>
    <w:rsid w:val="00D15A63"/>
    <w:rsid w:val="00D3097E"/>
    <w:rsid w:val="00D84548"/>
    <w:rsid w:val="00D92ADC"/>
    <w:rsid w:val="00DD0F8E"/>
    <w:rsid w:val="00DE5A5D"/>
    <w:rsid w:val="00E0014A"/>
    <w:rsid w:val="00E226DE"/>
    <w:rsid w:val="00E70DF5"/>
    <w:rsid w:val="00EE50F0"/>
    <w:rsid w:val="00F12918"/>
    <w:rsid w:val="00F34BD1"/>
    <w:rsid w:val="00F604E7"/>
    <w:rsid w:val="00F71882"/>
    <w:rsid w:val="00F80497"/>
    <w:rsid w:val="00FE0F15"/>
    <w:rsid w:val="00FE1828"/>
    <w:rsid w:val="00FE26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0A085"/>
  <w15:docId w15:val="{737B3AC1-6C14-4488-8033-E4C6C05C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74EDB"/>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74EDB"/>
    <w:pPr>
      <w:tabs>
        <w:tab w:val="center" w:pos="4536"/>
        <w:tab w:val="right" w:pos="9072"/>
      </w:tabs>
    </w:pPr>
  </w:style>
  <w:style w:type="character" w:customStyle="1" w:styleId="HlavikaChar">
    <w:name w:val="Hlavička Char"/>
    <w:basedOn w:val="Predvolenpsmoodseku"/>
    <w:link w:val="Hlavika"/>
    <w:uiPriority w:val="99"/>
    <w:rsid w:val="00374EDB"/>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374EDB"/>
    <w:pPr>
      <w:tabs>
        <w:tab w:val="center" w:pos="4536"/>
        <w:tab w:val="right" w:pos="9072"/>
      </w:tabs>
    </w:pPr>
  </w:style>
  <w:style w:type="character" w:customStyle="1" w:styleId="PtaChar">
    <w:name w:val="Päta Char"/>
    <w:basedOn w:val="Predvolenpsmoodseku"/>
    <w:link w:val="Pta"/>
    <w:uiPriority w:val="99"/>
    <w:rsid w:val="00374EDB"/>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13E9A"/>
    <w:rPr>
      <w:rFonts w:ascii="Tahoma" w:hAnsi="Tahoma" w:cs="Tahoma"/>
      <w:sz w:val="16"/>
      <w:szCs w:val="16"/>
    </w:rPr>
  </w:style>
  <w:style w:type="character" w:customStyle="1" w:styleId="TextbublinyChar">
    <w:name w:val="Text bubliny Char"/>
    <w:basedOn w:val="Predvolenpsmoodseku"/>
    <w:link w:val="Textbubliny"/>
    <w:uiPriority w:val="99"/>
    <w:semiHidden/>
    <w:rsid w:val="00413E9A"/>
    <w:rPr>
      <w:rFonts w:ascii="Tahoma" w:eastAsia="Times New Roman" w:hAnsi="Tahoma" w:cs="Tahoma"/>
      <w:sz w:val="16"/>
      <w:szCs w:val="16"/>
      <w:lang w:eastAsia="sk-SK"/>
    </w:rPr>
  </w:style>
  <w:style w:type="character" w:styleId="Hypertextovprepojenie">
    <w:name w:val="Hyperlink"/>
    <w:basedOn w:val="Predvolenpsmoodseku"/>
    <w:uiPriority w:val="99"/>
    <w:unhideWhenUsed/>
    <w:rsid w:val="00FE0F15"/>
    <w:rPr>
      <w:color w:val="0000FF" w:themeColor="hyperlink"/>
      <w:u w:val="single"/>
    </w:rPr>
  </w:style>
  <w:style w:type="character" w:styleId="Odkaznakomentr">
    <w:name w:val="annotation reference"/>
    <w:basedOn w:val="Predvolenpsmoodseku"/>
    <w:uiPriority w:val="99"/>
    <w:semiHidden/>
    <w:unhideWhenUsed/>
    <w:rsid w:val="00CB36E2"/>
    <w:rPr>
      <w:sz w:val="16"/>
      <w:szCs w:val="16"/>
    </w:rPr>
  </w:style>
  <w:style w:type="paragraph" w:styleId="Textkomentra">
    <w:name w:val="annotation text"/>
    <w:basedOn w:val="Normlny"/>
    <w:link w:val="TextkomentraChar"/>
    <w:uiPriority w:val="99"/>
    <w:semiHidden/>
    <w:unhideWhenUsed/>
    <w:rsid w:val="00CB36E2"/>
  </w:style>
  <w:style w:type="character" w:customStyle="1" w:styleId="TextkomentraChar">
    <w:name w:val="Text komentára Char"/>
    <w:basedOn w:val="Predvolenpsmoodseku"/>
    <w:link w:val="Textkomentra"/>
    <w:uiPriority w:val="99"/>
    <w:semiHidden/>
    <w:rsid w:val="00CB36E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B36E2"/>
    <w:rPr>
      <w:b/>
      <w:bCs/>
    </w:rPr>
  </w:style>
  <w:style w:type="character" w:customStyle="1" w:styleId="PredmetkomentraChar">
    <w:name w:val="Predmet komentára Char"/>
    <w:basedOn w:val="TextkomentraChar"/>
    <w:link w:val="Predmetkomentra"/>
    <w:uiPriority w:val="99"/>
    <w:semiHidden/>
    <w:rsid w:val="00CB36E2"/>
    <w:rPr>
      <w:rFonts w:ascii="Times New Roman" w:eastAsia="Times New Roman" w:hAnsi="Times New Roman" w:cs="Times New Roman"/>
      <w:b/>
      <w:bCs/>
      <w:sz w:val="20"/>
      <w:szCs w:val="20"/>
      <w:lang w:eastAsia="sk-SK"/>
    </w:rPr>
  </w:style>
  <w:style w:type="paragraph" w:customStyle="1" w:styleId="ql-align-justify">
    <w:name w:val="ql-align-justify"/>
    <w:basedOn w:val="Normlny"/>
    <w:rsid w:val="00A65025"/>
    <w:rPr>
      <w:sz w:val="24"/>
      <w:szCs w:val="24"/>
      <w:lang w:val="en-US" w:eastAsia="en-US"/>
    </w:rPr>
  </w:style>
  <w:style w:type="paragraph" w:styleId="Bezriadkovania">
    <w:name w:val="No Spacing"/>
    <w:uiPriority w:val="1"/>
    <w:qFormat/>
    <w:rsid w:val="00DD0F8E"/>
    <w:pPr>
      <w:spacing w:after="0" w:line="240" w:lineRule="auto"/>
    </w:pPr>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Priloha-5---Analýza-vplyvov-na-životné-prostredie"/>
    <f:field ref="objsubject" par="" edit="true" text=""/>
    <f:field ref="objcreatedby" par="" text="Pavlíková, Katarína, Mgr."/>
    <f:field ref="objcreatedat" par="" text="10.11.2022 9:47:42"/>
    <f:field ref="objchangedby" par="" text="Administrator, System"/>
    <f:field ref="objmodifiedat" par="" text="10.11.2022 9:47:4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1524</Words>
  <Characters>8691</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Simoncicova Iveta</dc:creator>
  <cp:keywords/>
  <dc:description/>
  <cp:lastModifiedBy>Benová Tímea</cp:lastModifiedBy>
  <cp:revision>3</cp:revision>
  <cp:lastPrinted>2023-12-06T12:35:00Z</cp:lastPrinted>
  <dcterms:created xsi:type="dcterms:W3CDTF">2023-12-06T07:55:00Z</dcterms:created>
  <dcterms:modified xsi:type="dcterms:W3CDTF">2023-12-06T12:35:00Z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COO.2145.1000.3.5328109</vt:lpwstr>
  </property>
  <property fmtid="{D5CDD505-2E9C-101B-9397-08002B2CF9AE}" pid="152" name="FSC#FSCFOLIO@1.1001:docpropproject">
    <vt:lpwstr/>
  </property>
</Properties>
</file>