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DD389A" w:rsidRDefault="00DD389A">
      <w:pPr>
        <w:jc w:val="center"/>
        <w:divId w:val="1263956728"/>
        <w:rPr>
          <w:rFonts w:ascii="Times" w:hAnsi="Times" w:cs="Times"/>
          <w:sz w:val="25"/>
          <w:szCs w:val="25"/>
        </w:rPr>
      </w:pPr>
      <w:r>
        <w:rPr>
          <w:rFonts w:ascii="Times" w:hAnsi="Times" w:cs="Times"/>
          <w:sz w:val="25"/>
          <w:szCs w:val="25"/>
        </w:rPr>
        <w:t>Návrh na uzavretie Rámcovej dohody o komplexnom partnerstve a spolupráci medzi Európskou úniou a jej členskými štátmi na jednej strane a Thajským kráľovstvom na strane druhej</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DD389A" w:rsidP="00DD389A">
            <w:pPr>
              <w:spacing w:after="0" w:line="240" w:lineRule="auto"/>
              <w:rPr>
                <w:rFonts w:ascii="Times New Roman" w:hAnsi="Times New Roman" w:cs="Calibri"/>
                <w:sz w:val="20"/>
                <w:szCs w:val="20"/>
              </w:rPr>
            </w:pPr>
            <w:r>
              <w:rPr>
                <w:rFonts w:ascii="Times" w:hAnsi="Times" w:cs="Times"/>
                <w:sz w:val="25"/>
                <w:szCs w:val="25"/>
              </w:rPr>
              <w:t>10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DD389A" w:rsidP="00DD389A">
            <w:pPr>
              <w:spacing w:after="0" w:line="240" w:lineRule="auto"/>
              <w:rPr>
                <w:rFonts w:ascii="Times New Roman" w:hAnsi="Times New Roman" w:cs="Calibri"/>
                <w:sz w:val="20"/>
                <w:szCs w:val="20"/>
              </w:rPr>
            </w:pPr>
            <w:r>
              <w:rPr>
                <w:rFonts w:ascii="Times" w:hAnsi="Times" w:cs="Times"/>
                <w:sz w:val="25"/>
                <w:szCs w:val="25"/>
              </w:rPr>
              <w:t>10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DD389A" w:rsidP="00DD389A">
            <w:pPr>
              <w:spacing w:after="0" w:line="240" w:lineRule="auto"/>
              <w:rPr>
                <w:rFonts w:ascii="Times New Roman" w:hAnsi="Times New Roman" w:cs="Calibri"/>
                <w:sz w:val="20"/>
                <w:szCs w:val="20"/>
              </w:rPr>
            </w:pPr>
            <w:r>
              <w:rPr>
                <w:rFonts w:ascii="Times" w:hAnsi="Times" w:cs="Times"/>
                <w:sz w:val="25"/>
                <w:szCs w:val="25"/>
              </w:rPr>
              <w:t>7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DD389A" w:rsidP="00DD389A">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DD389A" w:rsidP="00DD389A">
            <w:pPr>
              <w:spacing w:after="0" w:line="240" w:lineRule="auto"/>
              <w:rPr>
                <w:rFonts w:ascii="Times New Roman" w:hAnsi="Times New Roman" w:cs="Calibri"/>
                <w:sz w:val="20"/>
                <w:szCs w:val="20"/>
              </w:rPr>
            </w:pPr>
            <w:r>
              <w:rPr>
                <w:rFonts w:ascii="Times" w:hAnsi="Times" w:cs="Times"/>
                <w:sz w:val="25"/>
                <w:szCs w:val="25"/>
              </w:rPr>
              <w:t>3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DD389A" w:rsidRDefault="00DD389A"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DD389A">
        <w:trPr>
          <w:divId w:val="1961110974"/>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Vôbec nezaslali</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sz w:val="20"/>
                <w:szCs w:val="20"/>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sz w:val="20"/>
                <w:szCs w:val="20"/>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sz w:val="20"/>
                <w:szCs w:val="20"/>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sz w:val="20"/>
                <w:szCs w:val="20"/>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sz w:val="20"/>
                <w:szCs w:val="20"/>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x</w:t>
            </w:r>
          </w:p>
        </w:tc>
      </w:tr>
      <w:tr w:rsidR="00DD389A">
        <w:trPr>
          <w:divId w:val="1961110974"/>
          <w:jc w:val="center"/>
        </w:trPr>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10 (7o,3z)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D389A" w:rsidRDefault="00DD389A">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DD389A" w:rsidRDefault="00DD389A"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24"/>
        <w:gridCol w:w="8479"/>
        <w:gridCol w:w="446"/>
        <w:gridCol w:w="523"/>
        <w:gridCol w:w="1466"/>
      </w:tblGrid>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Spôsob vyhodnotenia</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Čl. 21, 2, 38, 47</w:t>
            </w:r>
            <w:r>
              <w:rPr>
                <w:rFonts w:ascii="Times" w:hAnsi="Times" w:cs="Times"/>
                <w:sz w:val="25"/>
                <w:szCs w:val="25"/>
              </w:rPr>
              <w:br/>
              <w:t>V celom texte Návrhu na uzavretie Rámcovej dohody o komplexnom partnerstve a spolupráci medzi Európskou úniou a jej členskými štátmi na jednej strane a Thajským kráľovstvom na strane druhej (Rámcová dohoda) žiadame korigovať pojmy odvodené od pojmu „gender“/„rod“ a ich preklad do slovenského jazyka. Konkrétne žiadame v celom texte Rámcovej dohody, najmä i) v článku 2 písm. h), v článku 21 a v článku 47 ods. 1, pojem „rodová rovnosť“ (z angl. „gender equality“, resp. voľne preložené z pojmu „gender-related“ a „gender perspectives“) v príslušnom gramatickom tvare preformulovať na pojem „rovnosť žien a mužov“/“rovnosť pohlaví“; ii) v článku 38 ods. 3 písm. f) pojem „analýzu rodových dôsledkov zmeny klímy“ (z angl. „an analysis on the gender implications of climate change“) preformulovať na pojem „analýzu dôsledkov zmeny klímy podľa pohlavia/na základe pohlavia“. Pripomienka je zásadná. Odôvodnenie: V texte Rámcovej dohody žiadame vykonať legislatívno-technickú korekciu pojmov odvodených od pojmu gender v smere používania pojmov „muži, ženy, pohlavie“. Žiadame, aby boli v texte použité pojmy, ktoré sú v súlade s primárnym právom EÚ (Zmluva o EÚ, Zmluva o fungovaní EÚ, Charta základných práv EÚ), ktorých základnou hodnotou EÚ je rovnosť medzi ženami a mužmi, ako kategóriami pohlavia a ktoré používajú právne záväzné a jednoznačné formulácie. Pojem „rod“, resp. „rodový“ v kontexte kategórií pohlavia – ženy a muži nie je v súlade s Ústavou SR, záväznými ľudskoprávnymi dokumentami, ktorými je SR viazaná. Ústava SR ani žiadny záväzný základný ľudskoprávny dokument nepozná pojem „gender“, ale používa pojmy muži a ženy, ako kategórie pohlavia. Ústava SR používa pojem „rod“ ako aj pojem „pohlavie“, pričom pojem „rod“ neodkazuje na kategóriu „žien a mužov“, keďže žena a muž sú kategórie pohlavia. Ústava SR používa pojem „rod“ v jeho obvyklom lingvistickom význame, ako je uvedené v Slovníku slovenského jazyka, teda s odkazom na predkov a potomkov, na líniu rodu, vo význame „pôvod, zrod“. Uvedený pojem je prevzatý z Všeobecnej deklarácie ľudských práv, v ktorej je použitý pojem „birth“ a nie pojem „gender“. Trestný zákon obsahuje osobitný motív spáchania trestného činu z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Prípadne v § 130 ods. 7 písm. c) TZ obsahuje výpočet: „... voči skupine osôb alebo jednotlivcovi pre ich príslušnosť k niektorej rase, národu, národnosti, farbe pleti, etnickej skupine, pôvodu rodu alebo pre ich náboženské vyznanie,...“. Pojem „rod“ z angl. gender sa nenachádza ani v zákone č. 274/2017 Z. z. o obetiach trestných činov a o zmene a doplnení niektorých zákonov v platnom znení. Zmluva o EÚ a Zmluva o fungovaní EÚ (a Charta základných práv EÚ) ako pramene primárneho práva v kvalite medzinárodnej zmluvy poznajú pojem „pohlavie“, v anglickom znení „sex“ a pojem „rovnosť medzi ženami a mužmi„ – „equality between women and men“. V SR, ale ani v rámci EÚ neexistuje konsenzus, aby sa používal, prípadne zavádzal do právnej úpravy nový pojem gender alebo aby sa vytváral dvojitý obsah pre pojem „rod“. Ak sa niektoré štáty v medzinárodnom priestore hlásia k zavedeniu sociálneho konštruktu „gender“, nevzniká z toho povinnosť ďalším štátom, aby predmetnú prax iných štátov akceptovali. Pre chybné používanie pojmu nemôže byť dôvodom argument, že určité dokumenty v právnom poriadku SR, prípadne sekundárne právne akty EÚ v (nie všetkých) jazykových verziách používajú nekorektné právne pojmy, ktoré nie sú obsahovo v súlade s primárnym právom EÚ, resp. vnášajú jazykovú neprehľadnosť a nejednotnosť do právneho systému. Niektoré členské štáty prekladajú anglický pojem „gender“ ako pohlavie, „gender identity“ ako pohlavná identita a „gender-based violence“ ako „násilie páchané na základe pohlavia/násilie motivované pohlavím, atď. Slovenská republika uznáva a presadzuje rovnosť medzi mužmi a ženami, ako kategóriami pohlavia. Tzv. rodová terminológia oddeľuje pojem „rod“ od biologického pohlavia, čím zasahuje do otázok týkajúcich sa národnej identity SR, o ktorých neexistuje všeobecná zhoda v SR ani na úrovni členských štátov EÚ. V tejto súvislosti Národná rada Slovenskej republiky (viacnásobným hlasovaním) odmietla rodovú ideológiu v rámci postupu Slovenskej republiky, ktorý bol uplatnený v prípade riešenia otázky ratifikácie tzv. „Istanbulského dohovoru“. V nadväznosti na rozhodnutie NR SR uplatnila prezidentka Slovenskej republiky postup odoslaním listu Rade Európy, v ktorom informuje o tom, že SR sa nemôže stať zmluvnou stranou Istanbulského dohovoru obsahujúceho rodovú terminológiu, a že dohovor nebude prezidentkou ratifikovaný (k tomu pozri napríklad https://www.teraz.sk/najnovsie/brief-prezidentka-informovala-radu-eur/450438-clanok.html, zobrazené 7.9.2023). V súvislosti s predmetnou pripomienkou poukazujeme aj na skutočnosť, že pojem „rodová rovnosť“ nemá ustálenú právnu definíciu v slovenskom právnom poriadku ani v medzinárodnom práve. Na Slovensku nedisponujeme zákonnou definíciou rodovej rovnosti, ani doposiaľ nemáme jej samostatnú právnu úpravu. K tomu pozri: https://www.snslp.sk/wp-content/uploads/2019-19-Odborne-stanovisko-chranene-dovody-pohlavia-a-rodu.pdf (zobrazené 7.9.2023). S ohľadom na skutočnosť, že Rámcová dohoda je medzinárodnou zmluvou prezidentskej povahy a v prípade, ak s ňou vysloví súhlas Národná rada Slovenskej republiky, bude mať prednosť pred zákonmi podľa článku 7 ods. 5 Ústavy SR, je nevyhnutné, aby Rámcová dohoda neobsahovala právne neurčité a nekorektné pojmy, ktoré nie sú v súlade s Ústavou SR, primárnym právom EÚ a medzinárodnými ľudskoprávnymi dohovormi, ktorými je SR viazaná. Navyše za situácie, keď nesúlad alebo rozdiely vyplývajúce z výkladu by mal riešiť novovzniknutý orgán - Spoločný výbor zložený „zo zástupcov oboch zmluvných strán na najvyššej možnej úrovni“ (článok 52 Rámcovej dohody).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 xml:space="preserve">Štylisticko-lingvistické pripomienky nemožno v rámci MPK akceptovať, keďže ide o dokument v znení, ktoré už bolo formálne podpísané všetkými členskými štátmi. V tomto zmysle nie je možné text dohody jednostranne meniť. Prípadná úprava prekladu však môže byť vykonaná formou korigenda, o ktorého iniciovanie môže KBS požiadať gestora zmluvy, t.j. MZVEZ SR. </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Čl. Spol. vyhl. k čl. 23</w:t>
            </w:r>
            <w:r>
              <w:rPr>
                <w:rFonts w:ascii="Times" w:hAnsi="Times" w:cs="Times"/>
                <w:sz w:val="25"/>
                <w:szCs w:val="25"/>
              </w:rPr>
              <w:br/>
              <w:t>V časti Spoločné vyhlásenie o čl. 23 (Justičná a právna spolupráca) Rámcovej dohody navrhujeme doplniť druhú vetu v znení: „V prípade neudelenia kráľovskej milosti k trestu smrti uloženého občanovi členského štátu vláda Thajského kráľovstva umožní na žiadosť Európskej únie alebo členského štátu odovzdanie osoby na výkon trestu do členského štátu, ktorého je osoba občanom.“ Odôvodnenie: Podľa čl. 2 ods. 2 (Hlava I.) Charty základných práv Európskej únie nesmie byť nikto odsúdený na trest smrti ani popravený. Podľa čl. 15 ods. 3 Ústavy Slovenskej republiky sa trest smrti nepripúšťa. S poukazom na uvedené, t. j. na základe primárneho práva EÚ a právnych poriadkov členských štátov, je pre EÚ a členské štáty, ako zmluvnú stranu Rámcovej dohody, neprípustné uloženie trestu smrti a ani vykonanie uloženého trestu smrti. V zmysle článku 3 ods. 5 zmluvy o EÚ Únia vo vzťahoch so zvyškom sveta potvrdzuje a podporuje svoje hodnoty a záujmy a prispieva k ochrane svojich občanov. Keďže úlohou diplomatických služieb je, okrem zabezpečenia oprávnených záujmov svojich vlád, aj zabezpečenie ochrany svojich občanov pri pobyte v zahraničí, považujeme navrhovaný text spoločného vyhlásenia za nedostatočný. Takisto je nevyhnutné, aby s ohľadom na záväzky Európskej únie a jej členských štátov voči uplatňovaniu trestu smrti, bola imanentnou súčasťou činnosti orgánov Európskej únie aj maximálna snaha o zabezpečenie čo najširšej možnosti uplatňovania základných práv osôb v tretích krajinách vrátane takého elementárneho práva ako práva na život. A to aj s odvolaním sa na proklamáciu, že Európska únia je najštedrejším darcom v kampaniach a aktivitách za zrušenie trestu smrti po celom svete (čo vyplýva z jej záväzku k ochrane ľudských práv a s ohľadom na skutočnosť, že všetky krajiny EÚ trest smrti zrušili v súlade s Európskym dohovorom o ľudských právach). K tomu pozri napríklad: https://www.europarl.europa.eu/news/sk/headlines/world/20190212STO25910/trest-smrti-v-europe-a-vo-svete-fakty-a-cisla. Navrhované znenie spoločného vyhlásenia, ako aj jeho samotné začlenenie mimo hlavného textu Rámcovej dohody, je v prípade snahy o ochranu základných ľudských práv nedostatočné a odporuje ustanoveniam primárneho práva EÚ a právnych poriadkov členských štátov.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Text dohody už nie je možné meniť, keďže dohoda bola formálne podpísaná zmluvnými stranami, vrátane všetkých členských štátov EÚ.</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Čl. 46 ods. 1</w:t>
            </w:r>
            <w:r>
              <w:rPr>
                <w:rFonts w:ascii="Times" w:hAnsi="Times" w:cs="Times"/>
                <w:sz w:val="25"/>
                <w:szCs w:val="25"/>
              </w:rPr>
              <w:br/>
              <w:t>V článku 46 ods. 1 Návrhu na uzavretie Rámcovej dohody o komplexnom partnerstve a spolupráci medzi Európskou úniou a jej členskými štátmi na jednej strane a Thajským kráľovstvom na strane druhej (ďalej „Rámcová dohoda“) navrhujeme vypustiť slová: „vrátane služieb sexuálnej a reprodukčnej zdravotnej starostlivosti“. Odôvodnenie: Prioritou v oblasti zdravia, t. j. v sektore zdravotníctva má byť zlepšovanie prístupu k zdravotnej starostlivosti. Pojmy sexuálne a reprodukčné práva/služby sexuálnej a reprodukčnej zdravotnej starostlivosti bývajú mnohokrát spojené s podporou, povzbudením alebo propagáciou neetických a zdraviu škodlivých výkonov, ako je umelé ukončenie tehotenstva, problematika tzv. interrupcií, sterilizácie, antikoncepcie, asistovanej reprodukcie a náhradného materstva. Riešenie sexuálnych a reprodukčných práv zasahuje do otázok týkajúcich sa národnej identity, o ktorých neexistuje všeobecná zhoda na úrovni členských štátov EÚ a ani v SR. Taktiež zdôrazňujeme, že pojmy sexuálne a reprodukčné zdravie/práva, resp. služby sexuálnej a reprodukčnej starostlivosti sú právne neurčité a nemajú oporu v medzinárodnej legislatíve týkajúcej sa ľudských práv. Neexistuje napríklad medzinárodným právom uznané právo na potrat. Medzinárodným právom je uznané právo na život. (čl. 3 Všeobecnej deklarácie ľudských práv, čl. 6 ods. 1 Medzinárodný pakt o občianskych a politických právach, článok 2 Európskeho dohovoru o ľudských právach). Samotný pojem lekársky asistovaná reprodukcia je zavádzajúci a jej výkon odporuje zásadám etiky založenej na prirodzenom mravnom zákone, rešpektovaní ľudskej dôstojnosti a ľudských práv podľa záväzných medzinárodných dokumentov. Náhradné materstvo sa prekrýva s problematikou obchodovania s ľuďmi. A i. Rámcová dohoda otvoreným a nijako nekonkretizovaným spôsobom používa uvedené právne neurčité a kontroverzné pojmy, t. j. môže mať zámer jednak pokrývať aj situácie, ktoré súčasný slovenský právny poriadok/ právny poriadok iného členského štátu, resp. primárne právo EÚ, príp. Thajského kráľovstva, ani neupravuje alebo nepozná a jednak aplikáciu ustanovení ponechať na úvahe a interpretácii Spoločného výboru, ktorý má byť, vychádzajúc z článku 52 zložený „zo zástupcov oboch zmluvných strán na najvyššej možnej úrovni“. Prípadný nesúlad alebo rozdiely vyplývajúce z výkladu právne neurčitých pojmov by mal riešiť uvedený novovzniknutý orgán a nie nezávislý súd (Súdny dvor Európskej únie, resp. národné ústavné súdy,...). S ohľadom na uvedené považujeme za relevantné predísť stretu výkladov a nie naopak vytvárať možnosti vzniku prípadných trecích plôch, čomu navrhovaná úprava určite napomáha. V tejto súvislosti poukazujeme na skutočnosť, že nakoľko Rámcová dohoda je medzinárodnou zmluvou prezidentskej povahy a v prípade, ak s ňou vysloví súhlas Národná rada Slovenskej republiky, bude mať prednosť pred zákonmi podľa článku 7 ods. 5 Ústavy SR, je nevyhnutné, aby neobsahovala právne neurčité a kontroverzné pojmy, ktoré môžu byť interpretované spôsobom odporujúcim právnemu poriadku Slovenskej republiky. Hoci podporujeme snahu posilniť všeobecne dostupnú zdravotnú starostlivosť, spoluprácu a výmenu skúseností a najlepších postupov v sektore zdravotníctva, nesúhlasíme, aby bola do Rámcovej dohody zaradená problematika sexuálnych a reprodukčných práv/služieb.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 xml:space="preserve">Text dohody už nie je možné meniť, keďže dohoda bola formálne podpísaná zmluvnými stranami, vrátane všetkých členských štátov. </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1. Doložku vybraných vplyvov je potrebné vypracovať v súlade s prílohou č. 1 Jednotnej metodiky na posudzovanie vybraných vplyvov, ktorá je účinná od 1. 10.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Doložka vybraných vplyvov bola aktualizovaná v zmysle Jednotnej metodiky na posudzovanie vybraných vplyv účinnej od 1. októbra 2023.</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2. V doložke vybraných vplyvov sú označené žiadne vplyvy na rozpočet verejnej správy. Cieľom dohody je prehĺbiť a posilniť spoluprácu medzi zmluvnými stranami v rôznych oblastiach, vrátane ľudských práv, nešírenia zbraní hromadného ničenia, boja proti terorizmu, boja proti korupcii a organizovanej trestnej činnosti, obchodu, migrácie, životného prostredia, energetiky, zmeny klímy, dopravy, vedy a techniky, zamestnanosti a sociálnych vecí, vzdelávania a poľnohospodárstva, z čoho je možné predpokladať požiadavky aj na finančné zabezpečenie na jej vykonávanie. Do bodu 10. doložky vybraných vplyvov je preto potrebné uviesť, že z predloženého návrhu nevyplývajú zvýšené požiadavky na rozpočet verejnej správy a všetky prípadné rozpočtové dôsledky budú zabezpečené v rámci schválených limitov rozpočtov dotknutých kapitol na príslušný rozpočtový rok.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Bod 10. doložky vybraných vplyvov bol upravený v zmysle pripomienky.</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Čl. k doložke vplyvov</w:t>
            </w:r>
            <w:r>
              <w:rPr>
                <w:rFonts w:ascii="Times" w:hAnsi="Times" w:cs="Times"/>
                <w:sz w:val="25"/>
                <w:szCs w:val="25"/>
              </w:rPr>
              <w:br/>
              <w:t>K Doložke vybraných vplyvov - Odporúčame predkladateľovi doplniť chýbajúce údaje v časti 5. Alternatívne riešenia – minimálne nulový variant, čiže analýzu súčasného stavu v rámci ktorej sa uvedú dôsledky vyplývajúce z dôvodu absencie predmetného návrhu. Ďalej doplniť aj chýbajúci údaj v časti 8. Preskúmanie účelnosti – doplniť časovú lehotu (rok) a kritériá, podľa ktorých je možné zhodnotiť, ako boli dosiahnuté stanovené ciele návrhu po stanovení základného rámca a spoločných princípoch či postupoch. Odôvodnenie: Uvedené časti je potrebné uviesť ako povinné časti v zmysle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Text doložky vypraných vplyvov bol v časti 5. a v časti 8 upravený v zmysle pripomienky.</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Čl. Doložke vplyvov</w:t>
            </w:r>
            <w:r>
              <w:rPr>
                <w:rFonts w:ascii="Times" w:hAnsi="Times" w:cs="Times"/>
                <w:sz w:val="25"/>
                <w:szCs w:val="25"/>
              </w:rPr>
              <w:br/>
              <w:t>K Doložke vybraných vplyvov - Odporúčame predkladateľovi vypracovať aktuálnu verziu Doložky vybraných vplyvov (aktualizované boli časti 7. a 9.) . Odôvodnenie: V zmysle aktualizovanej Jednotnej metodiky na posudzovanie vybraných vplyvov ( platná od 01.10.2023) je aktualizovaná aj Doložka vybraných vplyvov. Aktuálna verzia je dostupná na: Jednotná metodika na posudzovanie vybraných vplyvov | Podnikateľské prostredie | MHSR ako „Aktuálne dokumenty Jednotnej metodiky“.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Doložka vybraných vplyvov bola aktualizovaná v zmysle Jednotnej metodiky na posudzovanie vybraných vplyv účinnej od 1. októbra 2023.</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Formulár doložky je potrebné vypracovať podľa Prílohy č. 1 Jednotnej metodiky na posudzovanie vybraných vplyvov účinnej od 1. 10. 2023. Odôvodnenie: Pripomienka je v súlade s aktuálnym znením Jednotnej metodiky na posudzovanie vybraných vplyvov, ktoré vláda SR schválila uznesením č. 479/2023 zo dňa 27. 9. 2023 a ktoré je účinné od 1. 10.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Doložka vybraných vplyvov bola aktualizovaná v zmysle Jednotnej metodiky na posudzovanie vybraných vplyv účinnej od 1. októbra 2023.</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Dovoľujeme si upozorniť, že na obale materiálu a v predkladacej správe sa uvádza príslušné štádium legislatívneho procesu, do ktorého sa materiál aktuálne predkladá, tzn. medzirezortné pripomienkové konanie, a nie do ktorého materiál ešte len bude predložený (rokovanie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Obal aj predkladacia správa budú aktualizované.</w:t>
            </w:r>
          </w:p>
        </w:tc>
      </w:tr>
      <w:tr w:rsidR="00DD389A">
        <w:trPr>
          <w:divId w:val="1198200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Odporúčame použiť aktuálne platné a účinné znenie Doložky vybraných vplyvov v zmysle Jednotnej metodiky na posudzovanie vybraných vplyvov účinnej od 1. októbra 2023. Odôvodnenie: Odkazujeme na čl. 9 Smernice na prípravu a predkladanie materiálov na rokovanie vlády Slovenskej republiky v aktuálne platnom a účinnom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D389A" w:rsidRDefault="00DD389A">
            <w:pPr>
              <w:rPr>
                <w:rFonts w:ascii="Times" w:hAnsi="Times" w:cs="Times"/>
                <w:sz w:val="25"/>
                <w:szCs w:val="25"/>
              </w:rPr>
            </w:pPr>
            <w:r>
              <w:rPr>
                <w:rFonts w:ascii="Times" w:hAnsi="Times" w:cs="Times"/>
                <w:sz w:val="25"/>
                <w:szCs w:val="25"/>
              </w:rPr>
              <w:t>Doložka vybraných vplyvov bola aktualizovaná v zmysle Jednotnej metodiky na posudzovanie vybraných vplyv účinnej od 1. októbra 2023.</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D389A"/>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69256">
      <w:bodyDiv w:val="1"/>
      <w:marLeft w:val="0"/>
      <w:marRight w:val="0"/>
      <w:marTop w:val="0"/>
      <w:marBottom w:val="0"/>
      <w:divBdr>
        <w:top w:val="none" w:sz="0" w:space="0" w:color="auto"/>
        <w:left w:val="none" w:sz="0" w:space="0" w:color="auto"/>
        <w:bottom w:val="none" w:sz="0" w:space="0" w:color="auto"/>
        <w:right w:val="none" w:sz="0" w:space="0" w:color="auto"/>
      </w:divBdr>
    </w:div>
    <w:div w:id="509835893">
      <w:bodyDiv w:val="1"/>
      <w:marLeft w:val="0"/>
      <w:marRight w:val="0"/>
      <w:marTop w:val="0"/>
      <w:marBottom w:val="0"/>
      <w:divBdr>
        <w:top w:val="none" w:sz="0" w:space="0" w:color="auto"/>
        <w:left w:val="none" w:sz="0" w:space="0" w:color="auto"/>
        <w:bottom w:val="none" w:sz="0" w:space="0" w:color="auto"/>
        <w:right w:val="none" w:sz="0" w:space="0" w:color="auto"/>
      </w:divBdr>
    </w:div>
    <w:div w:id="564337030">
      <w:bodyDiv w:val="1"/>
      <w:marLeft w:val="0"/>
      <w:marRight w:val="0"/>
      <w:marTop w:val="0"/>
      <w:marBottom w:val="0"/>
      <w:divBdr>
        <w:top w:val="none" w:sz="0" w:space="0" w:color="auto"/>
        <w:left w:val="none" w:sz="0" w:space="0" w:color="auto"/>
        <w:bottom w:val="none" w:sz="0" w:space="0" w:color="auto"/>
        <w:right w:val="none" w:sz="0" w:space="0" w:color="auto"/>
      </w:divBdr>
    </w:div>
    <w:div w:id="1179392714">
      <w:bodyDiv w:val="1"/>
      <w:marLeft w:val="0"/>
      <w:marRight w:val="0"/>
      <w:marTop w:val="0"/>
      <w:marBottom w:val="0"/>
      <w:divBdr>
        <w:top w:val="none" w:sz="0" w:space="0" w:color="auto"/>
        <w:left w:val="none" w:sz="0" w:space="0" w:color="auto"/>
        <w:bottom w:val="none" w:sz="0" w:space="0" w:color="auto"/>
        <w:right w:val="none" w:sz="0" w:space="0" w:color="auto"/>
      </w:divBdr>
    </w:div>
    <w:div w:id="1198200968">
      <w:bodyDiv w:val="1"/>
      <w:marLeft w:val="0"/>
      <w:marRight w:val="0"/>
      <w:marTop w:val="0"/>
      <w:marBottom w:val="0"/>
      <w:divBdr>
        <w:top w:val="none" w:sz="0" w:space="0" w:color="auto"/>
        <w:left w:val="none" w:sz="0" w:space="0" w:color="auto"/>
        <w:bottom w:val="none" w:sz="0" w:space="0" w:color="auto"/>
        <w:right w:val="none" w:sz="0" w:space="0" w:color="auto"/>
      </w:divBdr>
    </w:div>
    <w:div w:id="1263956728">
      <w:bodyDiv w:val="1"/>
      <w:marLeft w:val="0"/>
      <w:marRight w:val="0"/>
      <w:marTop w:val="0"/>
      <w:marBottom w:val="0"/>
      <w:divBdr>
        <w:top w:val="none" w:sz="0" w:space="0" w:color="auto"/>
        <w:left w:val="none" w:sz="0" w:space="0" w:color="auto"/>
        <w:bottom w:val="none" w:sz="0" w:space="0" w:color="auto"/>
        <w:right w:val="none" w:sz="0" w:space="0" w:color="auto"/>
      </w:divBdr>
    </w:div>
    <w:div w:id="1961110974">
      <w:bodyDiv w:val="1"/>
      <w:marLeft w:val="0"/>
      <w:marRight w:val="0"/>
      <w:marTop w:val="0"/>
      <w:marBottom w:val="0"/>
      <w:divBdr>
        <w:top w:val="none" w:sz="0" w:space="0" w:color="auto"/>
        <w:left w:val="none" w:sz="0" w:space="0" w:color="auto"/>
        <w:bottom w:val="none" w:sz="0" w:space="0" w:color="auto"/>
        <w:right w:val="none" w:sz="0" w:space="0" w:color="auto"/>
      </w:divBdr>
    </w:div>
    <w:div w:id="21305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6.11.2023 13:41:22"/>
    <f:field ref="objchangedby" par="" text="Administrator, System"/>
    <f:field ref="objmodifiedat" par="" text="16.11.2023 13:41:2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3182</Words>
  <Characters>18141</Characters>
  <Application>Microsoft Office Word</Application>
  <DocSecurity>4</DocSecurity>
  <Lines>151</Lines>
  <Paragraphs>42</Paragraphs>
  <ScaleCrop>false</ScaleCrop>
  <Company/>
  <LinksUpToDate>false</LinksUpToDate>
  <CharactersWithSpaces>21281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2023-11-16T12:41:00Z</dcterms:created>
  <dcterms:modified xsi:type="dcterms:W3CDTF">2023-11-16T12:41:00Z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Akt medzinárodného práva</vt:lpwstr>
  </property>
  <property name="FSC#SKEDITIONSLOVLEX@103.510:cisloparlamenttlac" pid="4" fmtid="{D5CDD505-2E9C-101B-9397-08002B2CF9AE}">
    <vt:lpwstr/>
  </property>
  <property name="FSC#SKEDITIONSLOVLEX@103.510:stavpredpis" pid="5" fmtid="{D5CDD505-2E9C-101B-9397-08002B2CF9AE}">
    <vt:lpwstr>Pred rokovaním</vt:lpwstr>
  </property>
  <property name="FSC#SKEDITIONSLOVLEX@103.510:povodpredpis" pid="6" fmtid="{D5CDD505-2E9C-101B-9397-08002B2CF9AE}">
    <vt:lpwstr>Slovlex (eLeg)</vt:lpwstr>
  </property>
  <property name="FSC#SKEDITIONSLOVLEX@103.510:legoblast" pid="7" fmtid="{D5CDD505-2E9C-101B-9397-08002B2CF9AE}">
    <vt:lpwstr>Medzinárodné právo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Katarína Bezáková</vt:lpwstr>
  </property>
  <property name="FSC#SKEDITIONSLOVLEX@103.510:zodppredkladatel" pid="11" fmtid="{D5CDD505-2E9C-101B-9397-08002B2CF9AE}">
    <vt:lpwstr>Miroslav Wlachovský</vt:lpwstr>
  </property>
  <property name="FSC#SKEDITIONSLOVLEX@103.510:dalsipredkladatel" pid="12" fmtid="{D5CDD505-2E9C-101B-9397-08002B2CF9AE}">
    <vt:lpwstr/>
  </property>
  <property name="FSC#SKEDITIONSLOVLEX@103.510:nazovpredpis" pid="13" fmtid="{D5CDD505-2E9C-101B-9397-08002B2CF9AE}">
    <vt:lpwstr> Návrh na uzavretie Rámcovej dohody o komplexnom partnerstve a spolupráci medzi Európskou úniou a jej členskými štátmi na jednej strane a Thajským kráľovstvom na strane druhej</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zahraničných vecí a európskych záležitostí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iniciatívny materiál</vt:lpwstr>
  </property>
  <property name="FSC#SKEDITIONSLOVLEX@103.510:plnynazovpredpis" pid="22" fmtid="{D5CDD505-2E9C-101B-9397-08002B2CF9AE}">
    <vt:lpwstr> Návrh na uzavretie Rámcovej dohody o komplexnom partnerstve a spolupráci medzi Európskou úniou a jej členskými štátmi na jednej strane a Thajským kráľovstvom na strane druhej</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018969/2023-OPEU-17</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LP/2023/627</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Žiadne</vt:lpwstr>
  </property>
  <property name="FSC#SKEDITIONSLOVLEX@103.510:AttrStrDocPropVplyvPodnikatelskeProstr" pid="60" fmtid="{D5CDD505-2E9C-101B-9397-08002B2CF9AE}">
    <vt:lpwstr>Žiadne</vt:lpwstr>
  </property>
  <property name="FSC#SKEDITIONSLOVLEX@103.510:AttrStrDocPropVplyvSocialny" pid="61" fmtid="{D5CDD505-2E9C-101B-9397-08002B2CF9AE}">
    <vt:lpwstr>Žiadne</vt:lpwstr>
  </property>
  <property name="FSC#SKEDITIONSLOVLEX@103.510:AttrStrDocPropVplyvNaZivotProstr" pid="62" fmtid="{D5CDD505-2E9C-101B-9397-08002B2CF9AE}">
    <vt:lpwstr>Žiadne</vt:lpwstr>
  </property>
  <property name="FSC#SKEDITIONSLOVLEX@103.510:AttrStrDocPropVplyvNaInformatizaciu" pid="63" fmtid="{D5CDD505-2E9C-101B-9397-08002B2CF9AE}">
    <vt:lpwstr>Žiadne</vt:lpwstr>
  </property>
  <property name="FSC#SKEDITIONSLOVLEX@103.510:AttrStrListDocPropPoznamkaVplyv" pid="64" fmtid="{D5CDD505-2E9C-101B-9397-08002B2CF9AE}">
    <vt:lpwstr>&lt;p&gt;Aj napriek tomu, že vykonávanie predmetnej dohody nebude mať vplyvy na vybrané oblasti, dohoda môže mať nepriame pozitívne vplyvy na podnikateľské subjekty, ktoré však v tejto chvíli nie je možné popísať ani kvantifikovať. Pôjde o&amp;nbsp;dôsledok zintenzívnenia dialógu a&amp;nbsp;spolupráce v&amp;nbsp;oblasti obchodu a&amp;nbsp;investícií (čl. 9), riešenia technických prekážok obchodu (čl. 12), colnej spolupráce a&amp;nbsp;uľahčenia obchodu (čl. 13), rozvoja a podpory investícií (čl. 15), či zintenzívnenia podpory a ochrany hospodárskej súťaže (čl. 16), spolupráce v&amp;nbsp;oblasti služieb (čl. 17), ochrany práv duševného vlastníctva (čl. 18) a&amp;nbsp;digitálneho obchodu (čl. 19).&lt;/p&gt;</vt:lpwstr>
  </property>
  <property name="FSC#SKEDITIONSLOVLEX@103.510:AttrStrListDocPropAltRiesenia" pid="65" fmtid="{D5CDD505-2E9C-101B-9397-08002B2CF9AE}">
    <vt:lpwstr>Alternatívne riešenia neboli zvažované.</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_x000d__x000a_minister zahraničných vecí a európskych záležitostí </vt:lpwstr>
  </property>
  <property name="FSC#SKEDITIONSLOVLEX@103.510:AttrStrListDocPropUznesenieNaVedomie" pid="136" fmtid="{D5CDD505-2E9C-101B-9397-08002B2CF9AE}">
    <vt:lpwstr>prezidentka SR_x000d__x000a_predseda Národnej rady SR</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minister zahraničných vecí a európskych záležitostí SR</vt:lpwstr>
  </property>
  <property name="FSC#SKEDITIONSLOVLEX@103.510:funkciaZodpPredAkuzativ" pid="141" fmtid="{D5CDD505-2E9C-101B-9397-08002B2CF9AE}">
    <vt:lpwstr>ministra zahraničných vecí a európskych záležitostí SR</vt:lpwstr>
  </property>
  <property name="FSC#SKEDITIONSLOVLEX@103.510:funkciaZodpPredDativ" pid="142" fmtid="{D5CDD505-2E9C-101B-9397-08002B2CF9AE}">
    <vt:lpwstr>ministrovi zahraničných vecí a európskych záležitostí SR</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Miroslav Wlachovský_x000d__x000a_minister zahraničných vecí a európskych záležitostí SR</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 style="text-align: justify;"&gt;Minister zahraničných vecí a európskych záležitostí Slovenskej republiky predkladá na rokovanie Legislatívnej rady vlády Slovenskej republiky&amp;nbsp;&lt;em&gt;Návrh na uzavretie Rámcovej dohody o&amp;nbsp;komplexnom partnerstve a spolupráci medzi Európskou úniou a jej členskými štátmi na jednej strane a&amp;nbsp;Thajským kráľovstvom na strane druhej&amp;nbsp;&lt;/em&gt;(ďalej len „dohoda“) ako iniciatívny materiál.&lt;/p&gt;&lt;p style="text-align: justify;"&gt;Cieľom dohody je posilniť spoluprácu medzi zmluvnými stranami v&amp;nbsp;širokom spektre politických oblastí, vrátane ľudských práv, nešírenia zbraní hromadného ničenia, boja proti terorizmu, boja proti korupcii a&amp;nbsp;organizovanej trestnej činnosti, obchodu migrácie, životného prostredia, energetiky, zmeny klímy, dopravy, vedy a&amp;nbsp;techniky, zamestnanosti a&amp;nbsp;sociálnych vecí, vzdelávania a&amp;nbsp;poľnohospodárstva.&amp;nbsp; Dohoda je ďalším krokom na ceste k intenzívnejšej politickej a hospodárskej prítomnosti EÚ v juhovýchodnej Ázii prostredníctvom spolupráce s&amp;nbsp;krajinami Združenia národov juhovýchodnej Ázie (ASEAN).&lt;/p&gt;&lt;p style="text-align: justify;"&gt;Za Slovenskú republiku bola dohoda s&amp;nbsp;výhradou ratifikácie podpísaná stálou predstaviteľkou Slovenskej republiky pri Európskej únii Petrou Vargovou na okraj zasadnutia Výboru stálych predstaviteľov (COREPER2) dňa 14. decembra 2022 v Bruseli. Za EÚ bola dohoda podpísaná rovnako dňa 14. decembra 2022 na okraj samitu EÚ-ASEAN v&amp;nbsp;Bruseli. &amp;nbsp;&lt;/p&gt;&lt;p style="text-align: justify;"&gt;Dohoda predstavuje tzv.&amp;nbsp;&lt;em&gt;zmiešanú úniovú zmluvu&lt;/em&gt;&amp;nbsp;t. j. medzinárodnú zmluvu, ktorá pokrýva oblasť spoločných právomocí EÚ a jej členských štátov, a ktorej zmluvnými stranami sú EÚ a&amp;nbsp;jej členské štáty na jednej strane a tretia krajina – v tomto prípade Thajské kráľovstvo - &amp;nbsp;na&amp;nbsp;strane druhej.&lt;/p&gt;&lt;p style="text-align: justify;"&gt;Z&amp;nbsp;hľadiska slovenského zmluvného práva je dohoda medzinárodnou zmluvou prezidentskej povahy. V&amp;nbsp;zmysle článku 7 ods. 4 Ústavy Slovenskej republiky je totiž dohoda medzinárodnou politickou zmluvou. Z&amp;nbsp;toho dôvodu je potrebné, aby s&amp;nbsp;ňou vyslovila súhlas Národná rada Slovenskej republiky. Súčasne je potrebné, aby Národná rada SR rozhodla podľa článku 86 písm. d) Ústavy SR o tom, že dohoda má prednosť pred zákonmi podľa článku 7 ods. 5 Ústavy SR. Z&amp;nbsp;kategórií vymedzených v&amp;nbsp;článku 7 ods. 5 Ústavy Slovenskej republiky ide o&amp;nbsp;medzinárodnú zmluvu, na vykonanie ktorej nie je potrebný zákon. V súlade s&amp;nbsp;&amp;nbsp;článkom 3 ods. 3 Pravidiel pre uzatváranie medzinárodných zmlúv a zmluvnú prax je dohoda predložená na rokovanie vlády SR až po jej podpise. Vnútroštátny schvaľovací proces bude ukončený ratifikáciou prezidentkou SR.&lt;/p&gt;&lt;p style="text-align: justify;"&gt;V&amp;nbsp;zmysle vlastného článku 59, dohoda nadobudne platnosť tridsať dní odo dňa, keď posledná zmluvná strana oznámila druhej zmluvnej strane ukončenie svojich príslušných vnútorných právnych postupov potrebných na tento účel. Dohoda platí počas obdobia piatich rokov. Automaticky sa predlžuje vždy o&amp;nbsp;ďalší rok, pokiaľ niektorá zo zmluvných strán šesť mesiacov pred koncom ktoréhokoľvek ďalšieho jednoročného obdobia písomne neoznámi druhej zmluvnej strane svoj úmysel platnosť tejto dohody nepredĺžiť.&lt;/p&gt;&lt;p style="text-align: justify;"&gt;Dohoda je v súlade so zahraničnopolitickými záujmami, medzinárodnoprávnymi záväzkami, ako aj s právnym poriadkom Slovenskej republiky. Vykonávanie dohody nebude mať vplyv na rozpočet verejnej správy, životné prostredie, podnikateľské prostredie, na informatizáciu spoločnosti a&amp;nbsp;nebude mať ani sociálny vplyv, rovnako tak ani vplyv na služby verejnej správy pre občana, či vplyvy na manželstvo, rodičovstvo a&amp;nbsp;rodinu.&lt;/p&gt;&lt;p&gt;&amp;nbsp;&lt;/p&gt;</vt:lpwstr>
  </property>
  <property name="FSC#COOSYSTEM@1.1:Container" pid="149" fmtid="{D5CDD505-2E9C-101B-9397-08002B2CF9AE}">
    <vt:lpwstr>COO.2145.1000.3.5932362</vt:lpwstr>
  </property>
  <property name="FSC#FSCFOLIO@1.1001:docpropproject" pid="150" fmtid="{D5CDD505-2E9C-101B-9397-08002B2CF9AE}">
    <vt:lpwstr/>
  </property>
  <property name="FSC#SKEDITIONSLOVLEX@103.510:aktualnyrok" pid="151" fmtid="{D5CDD505-2E9C-101B-9397-08002B2CF9AE}">
    <vt:lpwstr>2023</vt:lpwstr>
  </property>
  <property name="FSC#SKEDITIONSLOVLEX@103.510:vytvorenedna" pid="152" fmtid="{D5CDD505-2E9C-101B-9397-08002B2CF9AE}">
    <vt:lpwstr>16. 11. 2023</vt:lpwstr>
  </property>
</Properties>
</file>