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B4615" w:rsidRDefault="008B4615">
      <w:pPr>
        <w:jc w:val="center"/>
        <w:divId w:val="1430389718"/>
        <w:rPr>
          <w:rFonts w:ascii="Times" w:hAnsi="Times" w:cs="Times"/>
          <w:sz w:val="25"/>
          <w:szCs w:val="25"/>
        </w:rPr>
      </w:pPr>
      <w:r>
        <w:rPr>
          <w:rFonts w:ascii="Times" w:hAnsi="Times" w:cs="Times"/>
          <w:sz w:val="25"/>
          <w:szCs w:val="25"/>
        </w:rPr>
        <w:t xml:space="preserve">Zákon, ktorým sa mení a dopĺňa zákon č. 89/2016 Z. z. o výrobe, označovaní a predaji tabakových výrobkov a súvisiacich výrobkov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B4615" w:rsidP="008B4615">
            <w:pPr>
              <w:spacing w:after="0" w:line="240" w:lineRule="auto"/>
              <w:rPr>
                <w:rFonts w:ascii="Times New Roman" w:hAnsi="Times New Roman" w:cs="Calibri"/>
                <w:sz w:val="20"/>
                <w:szCs w:val="20"/>
              </w:rPr>
            </w:pPr>
            <w:r>
              <w:rPr>
                <w:rFonts w:ascii="Times" w:hAnsi="Times" w:cs="Times"/>
                <w:sz w:val="25"/>
                <w:szCs w:val="25"/>
              </w:rPr>
              <w:t>37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B4615" w:rsidP="008B4615">
            <w:pPr>
              <w:spacing w:after="0" w:line="240" w:lineRule="auto"/>
              <w:rPr>
                <w:rFonts w:ascii="Times New Roman" w:hAnsi="Times New Roman" w:cs="Calibri"/>
                <w:sz w:val="20"/>
                <w:szCs w:val="20"/>
              </w:rPr>
            </w:pPr>
            <w:r>
              <w:rPr>
                <w:rFonts w:ascii="Times" w:hAnsi="Times" w:cs="Times"/>
                <w:sz w:val="25"/>
                <w:szCs w:val="25"/>
              </w:rPr>
              <w:t>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B4615" w:rsidP="008B4615">
            <w:pPr>
              <w:spacing w:after="0" w:line="240" w:lineRule="auto"/>
              <w:rPr>
                <w:rFonts w:ascii="Times New Roman" w:hAnsi="Times New Roman" w:cs="Calibri"/>
                <w:sz w:val="20"/>
                <w:szCs w:val="20"/>
              </w:rPr>
            </w:pPr>
            <w:r>
              <w:rPr>
                <w:rFonts w:ascii="Times" w:hAnsi="Times" w:cs="Times"/>
                <w:sz w:val="25"/>
                <w:szCs w:val="25"/>
              </w:rPr>
              <w:t>30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B4615" w:rsidP="008B4615">
            <w:pPr>
              <w:spacing w:after="0" w:line="240" w:lineRule="auto"/>
              <w:rPr>
                <w:rFonts w:ascii="Times New Roman" w:hAnsi="Times New Roman" w:cs="Calibri"/>
                <w:sz w:val="20"/>
                <w:szCs w:val="20"/>
              </w:rPr>
            </w:pPr>
            <w:r>
              <w:rPr>
                <w:rFonts w:ascii="Times" w:hAnsi="Times" w:cs="Times"/>
                <w:sz w:val="25"/>
                <w:szCs w:val="25"/>
              </w:rPr>
              <w:t>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B4615" w:rsidP="008B4615">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B4615" w:rsidRDefault="008B461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B4615">
        <w:trPr>
          <w:divId w:val="120540438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Vôbec nezaslali</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x</w:t>
            </w:r>
          </w:p>
        </w:tc>
      </w:tr>
      <w:tr w:rsidR="008B4615">
        <w:trPr>
          <w:divId w:val="1205404387"/>
          <w:jc w:val="center"/>
        </w:trPr>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37 (31o,6z)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B4615" w:rsidRDefault="008B461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B4615" w:rsidRDefault="008B461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Spôsob vyhodnotenia</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posun účinnosti novely na 23. október 2024. Odôvodnenie: Hoci navrhovaná účinnosť od 23. októbra 2023 predstavuje plné zladenie národnej legislatívy so znením Delegovanej smernice Komisie (EÚ) 2022/2100, odklad tohto termínu je v špecifických slovenských podmienkach žiaduci hneď z troch dôležitých dôvodov a prínosy tohto kroku výrazne prevyšujú negatíva vyplývajúce z ročného odkladu implementácie. DÔVOD 1 – PRÁVNA ISTOTA: Vzhľadom na termín volieb do NR SR a termíny súvisiace s legislatívnym procesom je mimoriadne riskantné očakávať, že k zvolaniu parlamentnej schôdze a následným trom čítaniam návrhu dokáže dôjsť tak, aby schválenú novelu pani prezidentka podpísala a zbierka zákonov zverejnila pred 23. októbrom 2023. Reálne teda tak či tak dôjde k neskoršej implementácii, zrejme dňom vyhlásenia, čo môže byť vzhľadom na program nového parlamentu kedykoľvek medzi decembrom 2023 a prvým štvrťrokom 2024. To vytvára prostredie obrovskej právnej neistoty pre výrobné odvetvie, v ktorom výrobné plány produktov je nutné nastavovať mesiace dopredu (nielen kvôli interným procesom, ale aj pre regulačné povinnosti, napr. obstarávanie kontrolných známok). Neistota ohľadom zavedenia takej dôležitej regulácie tak povedie k disrupcii vo výrobe, čo sa následne prejaví aj v neistote plánovania daňových príjmov štátu. DÔVOD 2 – INTEGRITA DOMÁCEHO TRHU: Pri </w:t>
            </w:r>
            <w:r>
              <w:rPr>
                <w:rFonts w:ascii="Times" w:hAnsi="Times" w:cs="Times"/>
                <w:sz w:val="25"/>
                <w:szCs w:val="25"/>
              </w:rPr>
              <w:lastRenderedPageBreak/>
              <w:t xml:space="preserve">nastavovaní účinnosti novely tiež odporúčame prihliadať na fakt, že aj okolité členské štáty (napr. Maďarsko a Poľsko) plánujú resp. zvažujú odklad implementácie Delegovanej smernice. Pretrvávajúca dostupnosť danej kategórie tabakových výrobkov na dvoch veľkých susedných trhoch v rámci Schengenského priestoru nevyhnutne povedie k cezhraničným tokom tovaru smerom na Slovensko. To oslabí a de facto zneguje zámer novely na domácom území a postaví do nevýhodného postavenia domáce spoločnosti a legálny domáci trh, ktorý je významným zdrojom príjmov štátu cez spotrebné dane. DÔVOD 3 – OCHRANA VEREJNÉHO ZDRAVIA: Na Slovenskom trhu v súčasnosti získavajú veľkú popularitu elektronické cigarety – predovšetkým jednorazové. Vzhľadom na nízku mieru regulácie tejto produktovej kategórie je tento trh výrazne otvorený nielen pre etablované tabakové spoločnosti, ale prakticky akéhokoľvek dovozcu z rôznych, neraz pochybných zdrojov. Zákaz charakteristických aróm v tabakových výrobkoch nevyhnutne upriami pozornosť spotrebiteľov aj na tieto nové nikotínové kategórie. To povedie nielen k výpadku daní (keďže kvapalné nikotínové náplne nepodliehajú spotrebnej dani) ale aj potenciálnemu ohrozeniu spotrebiteľov produktmi z neoverených zdrojov, zvlášť v prípade zraniteľných osôb, ako sú napríklad deti a mládež. Odklad implementácie Delegovanej smernice vytvorí dostatočný priestor na to, aby štát v spolupráci s tabakových priemyslom dodefinoval regulačný rámec pre tieto nové kategórie nikotínových výrobkov (ako sa spoločnými </w:t>
            </w:r>
            <w:r>
              <w:rPr>
                <w:rFonts w:ascii="Times" w:hAnsi="Times" w:cs="Times"/>
                <w:sz w:val="25"/>
                <w:szCs w:val="25"/>
              </w:rPr>
              <w:lastRenderedPageBreak/>
              <w:t>komunikačnými a legislatívnymi aktivitami podarilo napríklad zamedziť dostupnosti nikotínových vrecúšok medzi mládežou).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sz w:val="25"/>
                <w:szCs w:val="25"/>
              </w:rPr>
              <w:t>Pripomienka bola čiastočne akceptovaná. Termín účinnosti nie je možné meniť, nakoľko tento termín stanovila Komisia Delegovanou smernicou 2022/2100. Prechodné ustanovenie týkajúce sa dopredaja výrobkov bolo do materiálu zapracované</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Ministerstvo financií SR upozorňuje na chýbajúcu právnu úpravu povinnosti označenia iných tabakových výrobkov ako cigarety a tabak na vlastnoručné zhotovenie cigariet, ktoré nie sú predmetom spotrebnej dane podľa zákona č. 106/2004 Z. z. o spotrebnej dani z tabakových výrobkov v znení neskorších predpisov, bezpečnostným prvkom v súlade s čl. 16 ods. 3 smernice Európskeho parlamentu a Rady č. 2014/40/EÚ o aproximácii zákonov, iných právnych predpisov a správnych opatrení členských štátov týkajúcich sa výroby, prezentácie a predaja tabakových a súvisiacich výrobkov a o zrušení smernice 2001/37/ES (ďalej len „smernica“). V súlade s čl. 15 a 16 smernice sa od 20. mája 2019 označujú cigarety a tabak na vlastnoručné zhotovenie cigariet. Podľa § 12b ods. 1 zákona č. 89/2016 Z. z. sa za bezpečnostný prvok považuje kontrolná známka podľa osobitného predpisu (§ 9 ods. 1 zákona č. 106/2004 Z. z. o spotrebnej dani z tabakových výrobkov v znení neskorších predpisov). Podľa uvedených ustanovení smernice od 20. mája 2024 sa na iné tabakové výrobky ako cigarety a tabak na vlastnoručné zhotovenie cigariet budú uplatňovať povinnosti týkajúce sa označovania výrobkov jedinečným identifikátorom a označenia bezpečnostným prvkom. Iné tabakové výrobky ako cigarety a tabak na vlastnoručné zhotovenie cigariet sú aj výrobky, ktoré v súčasnosti nie sú predmetom spotrebnej dane podľa zákona č. 106/2004 Z. z. o spotrebnej dani z tabakových </w:t>
            </w:r>
            <w:r>
              <w:rPr>
                <w:rFonts w:ascii="Times" w:hAnsi="Times" w:cs="Times"/>
                <w:sz w:val="25"/>
                <w:szCs w:val="25"/>
              </w:rPr>
              <w:lastRenderedPageBreak/>
              <w:t>výrobkov v znení neskorších predpisov. Zástupcovia Ministerstva financií SR a Finančného riaditeľstva SR opakovane upozorňovali na skutočnosť, že od 20. mája 2024 sa budú uplatňovať povinnosti týkajúce sa označovania iných tabakových výrobkov ako cigarety a tabak na vlastnoručné zhotovenie cigariet jedinečným identifikátorom a označenia bezpečnostným prvkom, a to na zasadnutí dočasnej pracovnej skupiny pre vysledovateľnosť tabakových výrobkov dňa 5. apríla 2022, na zasadnutí dočasnej pracovnej skupiny Úradu verejného zdravotníctva SR na prípravu novelizácie zákona č. 89/2016 Z. z. (DPS-89/2016) dňa 16. augusta 2022 alebo na pracovnom stretnutí k novelizácii zákona č. 89/2016 Z. z. dňa 8. decembra 2022. S ohľadom na vyššie uvedené Ministerstvo financií SR žiada doplnenie chýbajúcej právnej úpravy zo strany rezortu zdravotníctva (Ministerstvo zdravotníctva SR, Úrad verejného zdravotníctva SR) ako gestora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sz w:val="25"/>
                <w:szCs w:val="25"/>
              </w:rPr>
              <w:t xml:space="preserve">Pripomienka bola stiahnutá zo strany Ministerstva financií Slovenskej republiky </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čl. I bode 1 § 2 ods. 3 písm. s) vypustiť slovo „taký“ ako nadbytočné, v bode 2 § 5 ods. 1 prvej vete a bode 3 § 5 ods. 3 prvej vete vypustiť slovo „také“ ako nadbytočné, bod 6 preformulovať takto: „6. Doterajší text prílohy č. 3 sa označuje ako prvý bod a dopĺňa sa druhým bodom, ktorý znie: „2. Delegovaná smernica Komisie (EÚ) 2022/2100 z 29. júna 2022, ktorou sa mení smernica Európskeho parlamentu a Rady 2014/40/EÚ, pokiaľ ide o zrušenie určitých </w:t>
            </w:r>
            <w:r>
              <w:rPr>
                <w:rFonts w:ascii="Times" w:hAnsi="Times" w:cs="Times"/>
                <w:sz w:val="25"/>
                <w:szCs w:val="25"/>
              </w:rPr>
              <w:lastRenderedPageBreak/>
              <w:t>výnimiek týkajúcich sa zahrievaných tabakových výrobkov (Ú. v. EÚ L 283, 3.11.2022).“.“).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sz w:val="25"/>
                <w:szCs w:val="25"/>
              </w:rPr>
              <w:t xml:space="preserve">Slovo „taký“, resp. slovo "také" nepovažuje MZ SR za nadbytočné, MZ SR trvá na navrhovanom znení. Pripomienka týkajúca sa bodu 6. bola akceptovaná </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Čl. I bodu 2 (§ 5 ods. 1)</w:t>
            </w:r>
            <w:r>
              <w:rPr>
                <w:rFonts w:ascii="Times" w:hAnsi="Times" w:cs="Times"/>
                <w:sz w:val="25"/>
                <w:szCs w:val="25"/>
              </w:rPr>
              <w:br/>
              <w:t>V § 5 ods. 1 prvej vete navrhujeme slovo „zhotovovanie“ nahradiť slovom „zhotovenie“ z dôvodu zjednotenia terminológie používanej v zákone č. 89/2016 Z. z. o výrobe, označovaní a predaji tabakových výrobkov a súvisiacich výrobkov a o zmene a doplnení niektorých zákonov v znení neskorších predpisov (ďalej len „zákon č. 89/2016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v Doložke vybraných vplyvov v časti 11 "Kontakt na spracovateľa" doplniť meno a funkciu kontaktnej osoby. Odôvodnenie: Odporúča sa uviesť meno, priezvisko a funkciu spracovateľa, e-mailový kontakt a telefonický kontakt.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Žiadame predkladateľa o predloženie materiálu na Záverečné posúdenie vybraných vplyvov. Odôvodnenie: Podľa Jednotnej metodiky na posudzovanie vybraných vplyvov bodu 9.1 písmeno a), je materiál potrebné predložiť na záverečné posúdenie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Analýza vplyvov na PP</w:t>
            </w:r>
            <w:r>
              <w:rPr>
                <w:rFonts w:ascii="Times" w:hAnsi="Times" w:cs="Times"/>
                <w:sz w:val="25"/>
                <w:szCs w:val="25"/>
              </w:rPr>
              <w:br/>
              <w:t xml:space="preserve">Žiadame predkladateľa o vypracovanie analýzy vplyvov na podnikateľské prostredie a Kalkulačky nákladov. Odôvodnenie: Nakoľko sme identifikovali vplyv na podnikateľské prostredie, </w:t>
            </w:r>
            <w:r>
              <w:rPr>
                <w:rFonts w:ascii="Times" w:hAnsi="Times" w:cs="Times"/>
                <w:sz w:val="25"/>
                <w:szCs w:val="25"/>
              </w:rPr>
              <w:lastRenderedPageBreak/>
              <w:t>je nutné na základe Jednotnej metodiky na posudzovanie vybraných vplyvov vypracovať Analýzu vplyvov na podnikateľské prostredie a Kalkulačku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Žiadame predkladateľa v Doložke vybraných vplyvov na podnikateľské prostredie o vyznačenie negatívneho vplyvu. Odôvodnenie: Materiál zakladá negatívny vplyv na podnikateľské prostredie v súvislosti s rozširovaním povinností na produkty týkajúcich sa tabakových výrobkov, na ktoré sa dané regulácie nevzťahovali.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Tabuľka zhody</w:t>
            </w:r>
            <w:r>
              <w:rPr>
                <w:rFonts w:ascii="Times" w:hAnsi="Times" w:cs="Times"/>
                <w:sz w:val="25"/>
                <w:szCs w:val="25"/>
              </w:rPr>
              <w:br/>
              <w:t>Žiadame predkladateľa v stĺpci 9. v tabuľke zhody doplniť informácie o identifikácii goldplatingu (GP-A resp. GP-N) ku všetkým riadkom tabuľky zhody. Odôvodnenie: V rámci novelizácie Legislatívnych pravidiel vlády SR, schválenej uznesením vlády SR č. 787/2022 bola prijatá nová verzia tabuľky zhody v súvislosti s reformou Plánu obnovy a odolnosti SR "ochrana pred neopodstatneným goldplatingom". V stĺpci 9 tejto tabuľky zhody sa pri každom ustanovení uvádza, či goldplating je (GP-A) a) až g) )alebo nie je (GP-N) identifikovaný. Požadované platné označenie v tabuľke zhody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čl. I bodom 1 až 3</w:t>
            </w:r>
            <w:r>
              <w:rPr>
                <w:rFonts w:ascii="Times" w:hAnsi="Times" w:cs="Times"/>
                <w:sz w:val="25"/>
                <w:szCs w:val="25"/>
              </w:rPr>
              <w:br/>
              <w:t xml:space="preserve">V prvom bode odporúčame vypustiť slovo „taký“ a v druhom a </w:t>
            </w:r>
            <w:r>
              <w:rPr>
                <w:rFonts w:ascii="Times" w:hAnsi="Times" w:cs="Times"/>
                <w:sz w:val="25"/>
                <w:szCs w:val="25"/>
              </w:rPr>
              <w:lastRenderedPageBreak/>
              <w:t>treťom bode odporúčame vypustiť slovo „také“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sz w:val="25"/>
                <w:szCs w:val="25"/>
              </w:rPr>
              <w:t xml:space="preserve">Slovo „taký“, resp. slovo "také" nepovažuje MZ SR za nadbytočné, MZ SR trvá na navrhovanom znení. </w:t>
            </w:r>
            <w:r>
              <w:rPr>
                <w:rFonts w:ascii="Times" w:hAnsi="Times" w:cs="Times"/>
                <w:sz w:val="25"/>
                <w:szCs w:val="25"/>
              </w:rPr>
              <w:lastRenderedPageBreak/>
              <w:t>Pripomienka týkajúca sa bodu 6. bola akceptovaná</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Doložku zlučiteľnosti odporúčame vyplniť v súlade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K bodu 3: V bode 3 písm. a) doložky zlučiteľnosti žiadame uvádzať relevantné primárne právo Európskej únie, najmä článok 53 ods. 1 a články 62 a 114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Čl. 1 § 2 ods. 3</w:t>
            </w:r>
            <w:r>
              <w:rPr>
                <w:rFonts w:ascii="Times" w:hAnsi="Times" w:cs="Times"/>
                <w:sz w:val="25"/>
                <w:szCs w:val="25"/>
              </w:rPr>
              <w:br/>
              <w:t>1. K Čl. I bodu 1: Z dôvodu duplicity v definícií pojmu zahrievaný tabakový výrobok žiadame z navrhovaného § 2 ods. 3 písm. s) vypustiť slová „pričom ide v závislosti od ich vlastností o bezdymové tabakové výrobky alebo o tabakové výrobky na fajčenie“.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bookmarkStart w:id="0" w:name="_GoBack"/>
            <w:bookmarkEnd w:id="0"/>
            <w:r>
              <w:rPr>
                <w:rFonts w:ascii="Times" w:hAnsi="Times" w:cs="Times"/>
                <w:sz w:val="25"/>
                <w:szCs w:val="25"/>
              </w:rPr>
              <w:t xml:space="preserve">Odôvodnenie: Podľa bodu 4 delegovanej smernica Komisie (EÚ) 2022/2100 z 29. júna 2022, ktorou sa mení smernica Európskeho parlamentu a Rady 2014/40/EÚ, pokiaľ ide o zrušenie určitých výnimiek týkajúcich sa zahrievaných tabakových výrobkov (Ú. v. EÚ L 283, 3.11.2022) sa preberá definícia zahrievaného tabakového výrobku. </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1. V ľavej časti záhlavia tabuľky je potrebné za názvom delegovanej smernice (EÚ) 2022/2100 doplniť publikačný zdroj nasledovne: „(Ú. v. EÚ L 283, 3.11.2022)“.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1. V prvom bode doložky vybraných vplyvov žiadame za názov delegovanej smernice (EÚ) 2022/2100 doplniť publikačný zdroj nasledovne: „(Ú. v. EÚ L 283, 3.11.2022)“. Zároveň odporúčame zaviesť skrátenú citáciu nasledovne: „(ďalej len „delegovaná smernica (EÚ) 2022/2100“).“.Takto zavedenú skrátenú citáciu je následne potrebné používať v celom texte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1. V prvom odseku predkladacej správy k predkladanému návrhu zákona žiadame názov delegovanej smernice (EÚ) 2022/2100 upraviť nasledovne: „delegovaná smernica Komisie (EÚ) 2022/2100 z 29. júna 2022, ktorou sa mení smernica Európskeho parlamentu a Rady 2014/40/EÚ, pokiaľ ide o zrušenie určitých výnimiek týkajúcich sa zahrievaných tabakových výrobkov (Ú. v. EÚ L 283, 3.11.2022) (ďalej len „delegovaná smernica (EÚ) 2022/2100“).“. Takto zavedenú skrátenú citáciu je následne potrebné používať v celom texte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K bodu 3: Upozorňujeme, že smernica 2014/40/EÚ v platnom znení, nie je prameňom primárneho európskeho práva, a žiadame ju uvádzať v bode 3 písm. b) doložky zlučiteľnosti. Zároveň názov tejto smernice žiadame upraviť nasledovne: „smernica Európskeho parlamentu a Rady 2014/40/EÚ z 3. apríla 2014 o aproximácii zákonov, iných právnych predpisov a správnych opatrení členských štátov týkajúcich sa výroby, prezentácie a </w:t>
            </w:r>
            <w:r>
              <w:rPr>
                <w:rFonts w:ascii="Times" w:hAnsi="Times" w:cs="Times"/>
                <w:sz w:val="25"/>
                <w:szCs w:val="25"/>
              </w:rPr>
              <w:lastRenderedPageBreak/>
              <w:t>predaja tabakových a súvisiacich výrobkov a o zrušení smernice 2001/37/ES (Ú. v. EÚ L 127, 29.4.2014)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Čl. 1 § 5 ods. 1 a 3</w:t>
            </w:r>
            <w:r>
              <w:rPr>
                <w:rFonts w:ascii="Times" w:hAnsi="Times" w:cs="Times"/>
                <w:sz w:val="25"/>
                <w:szCs w:val="25"/>
              </w:rPr>
              <w:br/>
              <w:t>2. K Čl. I bodom 2 a 3: Z navrhovaného znenia § 5 ods. 1 prvej vety a ods. 3 prvej vety zákona žiadame z dôvodu nadbytočnosti vypustiť slovo „také“.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sz w:val="25"/>
                <w:szCs w:val="25"/>
              </w:rPr>
              <w:t>Slovo „taký“, resp. slovo "také" nepovažuje MZ SR za nadbytočné, MZ SR trvá na navrhovanom znení. Pripomienka týkajúca sa bodu 6. bola akceptovaná</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2. V celej predloženej tabuľke zhody s delegovanou smernicou (EÚ) 2022/2100 žiadame v štvrtom stĺpci dôsledne rozlišovať medzi platnými a účinnými ustanoveniami zákona č. 89/2016 Z. z. v znení neskorších predpisov, a ustanoveniami Čl. I predkladaného návrhu zákona. Následne žiadame zákon č. 89/2016 Z. z. v znení neskorších predpisov uvádzať v pravej časti záhlavia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2. V ôsmom bode doložky vybraných vplyvov žiadame názov smernice 2014/40/EÚ v platnom znení upraviť nasledovne: „smernica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2. Z druhého odseku predkladacej správy žiadame vypustiť druhú vetu, nakoľko v tomto prípade ide o úvodnú vetu recitálov delegovanej smernice (EÚ) 2022/2100, ktorú považujeme za irelevantnú a nedostatočne konkrétnu. Túto pripomienku primerane vzťahujeme aj na druhý odsek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Za názvom delegovanej smernice 2022/2100 žiadame doplniť jej publikačný zdroj nasledovne: „(Ú. v. EÚ 283, 3.11.2022)“.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Čl. I bodu 6</w:t>
            </w:r>
            <w:r>
              <w:rPr>
                <w:rFonts w:ascii="Times" w:hAnsi="Times" w:cs="Times"/>
                <w:sz w:val="25"/>
                <w:szCs w:val="25"/>
              </w:rPr>
              <w:br/>
              <w:t>3. K Čl. I bodu 6: Úvodnú vetu v Čl. I bode 6 žiadame v súlade so zaužívanou legislatívnou technikou upraviť takým spôsobom, aby na tomto mieste predkladaného návrhu zákona došlo k označeniu textu uvádzaného v Prílohe č. 3 k zákonu č. 89/2016 Z. z. v znení neskorších predpisov ako bodu 1, a následne k pripojeniu druhého bodu transpozičnej prílohy, ktorým sa do zoznamu transponovaných právnych predpisov EÚ doplní delegovaná smernica (EÚ) 2022/2100.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3. Štvrtý odsek predkladacej správy žiadame vypustiť bez náhrady, nakoľko sa jedná o duplicitu s druhým odsekom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3. V druhom stĺpci tabuľky zhody žiadame uvádzať celý normatívny text delegovanej smernice (EÚ) 2022/2100 tak, ako bol publikovaný v Úradnom vestníku Európskej únie, vrátane úvodných viet jednotlivých článkov.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4. Do predkladacej správy k návrhu zákona žiadame na základe čl. 18 ods. 1 písm. c) Legislatívnych pravidiel vlády Slovenskej republiky v platnom znení doplniť informáciu, či návrh zákona má byť predmetom vnútrokomunitárneho pripomienkového konania alebo či sa vnútrokomunitárne pripomienkové konanie uskutočnilo.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K bodu 3: Ku smerniciam uvádzaným v bode 3 písm. b) doložky zlučiteľnosti žiadame doplniť gestora určeného príslušným uznesením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Čl. I bodu 6</w:t>
            </w:r>
            <w:r>
              <w:rPr>
                <w:rFonts w:ascii="Times" w:hAnsi="Times" w:cs="Times"/>
                <w:sz w:val="25"/>
                <w:szCs w:val="25"/>
              </w:rPr>
              <w:br/>
              <w:t>4. K Čl. I bodu 6: Za názov delegovanej smernice (EÚ) 2022/2100 žiadame doplniť publikačný zdroj nasledovne: „(Ú. v. EÚ L 283, 3.11.2022)“.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 xml:space="preserve">4. V deviatom stĺpci tabuľky zhody žiadame pri preukazovaní transpozície čl. 1 a 2 delegovanej smernice (EÚ) 2022/2100 </w:t>
            </w:r>
            <w:r>
              <w:rPr>
                <w:rFonts w:ascii="Times" w:hAnsi="Times" w:cs="Times"/>
                <w:sz w:val="25"/>
                <w:szCs w:val="25"/>
              </w:rPr>
              <w:lastRenderedPageBreak/>
              <w:t>uvádzať v súlade s Prílohou č. 3 k Legislatívnym pravidlám vlády Slovenskej republiky v platnom znení skratku „GP-N“.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K bodu 4: Upozorňujeme, že bod 4 doložky zlučiteľnosti je potrebné zosúladiť s Prílohou č. 2 k Legislatívnym pravidlám vlády Slovenskej republiky v platnom znení. Žiadame bod 4 rozdeliť do jednotlivých písmen, a následne riadne vyplniť bod 4 písm. b) a c) doložky zlučiteľnosti. V bode 4 písm. b) žiadame uviesť, že konanie zo strany Európskej komisie voči Slovenskej republike neprebieha. V bode 4 písm. c) žiadame uvádzať vo vzťahu k smernici 2014/40/EÚ v platnom znení transpozičné opatrenia tejto smernice, ktoré boli notifikované Európskej komisii, a vo vzťahu k delegovanej smernici (EÚ) 2022/2100 informáciu, že k úplnému prebratiu smernice dochádza predkladaným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Nad rámec</w:t>
            </w:r>
            <w:r>
              <w:rPr>
                <w:rFonts w:ascii="Times" w:hAnsi="Times" w:cs="Times"/>
                <w:sz w:val="25"/>
                <w:szCs w:val="25"/>
              </w:rPr>
              <w:br/>
              <w:t>5. Nad rámec: Odporúčame do Čl. I predkladaného návrhu zákona zaradiť ďalší novelizačný bod, v ktorom dôjde k zmene názvu § 22 zákona č. 89/2016 Z. z. v znení neskorších predpisov na „Transpozičné ustanovenie“ v súlade s čl. 8 ods. 11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 xml:space="preserve">5. Pri preukazovaní transpozície jednotlivých ustanovení čl. 1 delegovanej smernice (EÚ) 2022/2100 je v piatom stĺpci tabuľky </w:t>
            </w:r>
            <w:r>
              <w:rPr>
                <w:rFonts w:ascii="Times" w:hAnsi="Times" w:cs="Times"/>
                <w:sz w:val="25"/>
                <w:szCs w:val="25"/>
              </w:rPr>
              <w:lastRenderedPageBreak/>
              <w:t>zhody potrebné uvádzať v piatom stĺpci tabuľky zhody aj označenie Čl. I a jednotlivých novelizačných bodov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6. Žiadame preukázať transpozíciu čl. 1 bodu 2 delegovanej smernice (EÚ) 2022/2100 (nový čl. 11 odsek 1 prvý pododsek tretia veta smernice 2014/40/EÚ v platnom znení) do slovenského právneho poriadku, nakoľko uvádzané transpozičné opatrenia nepovažujeme za dostatočné na preukázanie úplnej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sz w:val="25"/>
                <w:szCs w:val="25"/>
              </w:rPr>
              <w:t>Pripomienka bola akceptovaná v plnom rozsahu (Čl.1., bod 5., § 9, ods. 1 písm.c)</w:t>
            </w: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7. Transpozíciu čl. 2 ods. 1 prvej vety a ods. 2 delegovanej smernice (EÚ) 2022/2100 žiadame preukazovať prostredníctvom § 35 ods. 7 zákona č. 575/2001 Z. z. v znení neskorších predpisov. Zároveň je potrebné uvádzať tento zákon aj v pravej časti záhlavia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transpozícií a tabuľke zhody s delegovanou smernicou (EÚ) 2022/2100</w:t>
            </w:r>
            <w:r>
              <w:rPr>
                <w:rFonts w:ascii="Times" w:hAnsi="Times" w:cs="Times"/>
                <w:sz w:val="25"/>
                <w:szCs w:val="25"/>
              </w:rPr>
              <w:br/>
              <w:t>8. Transpozíciu čl. 2 ods. 1 tretej vety delegovanej smernice (EÚ) 2022/2100 žiadame preukazovať aj prostredníctvom § 22 zákona č. 89/2016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prvom odseku všeobecnej časti dôvodovej správy k </w:t>
            </w:r>
            <w:r>
              <w:rPr>
                <w:rFonts w:ascii="Times" w:hAnsi="Times" w:cs="Times"/>
                <w:sz w:val="25"/>
                <w:szCs w:val="25"/>
              </w:rPr>
              <w:lastRenderedPageBreak/>
              <w:t>predkladanému návrhu zákona žiadame názov delegovanej smernice (EÚ) 2022/2100 upraviť nasledovne: „delegovaná smernica Komisie (EÚ) 2022/2100 z 29. júna 2022, ktorou sa mení smernica Európskeho parlamentu a Rady 2014/40/EÚ, pokiaľ ide o zrušenie určitých výnimiek týkajúcich sa zahrievaných tabakových výrobkov (Ú. v. EÚ L 283, 3.11.2022) (ďalej len „delegovaná smernica (EÚ) 2022/2100“).“. Takto zavedenú skrátenú citáciu je následne potrebné používať v celom texte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p>
        </w:tc>
      </w:tr>
      <w:tr w:rsidR="008B4615">
        <w:trPr>
          <w:divId w:val="9329806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b/>
                <w:bCs/>
                <w:sz w:val="25"/>
                <w:szCs w:val="25"/>
              </w:rPr>
              <w:t>Čl. I. nový bod č. 6 - §21 c</w:t>
            </w:r>
            <w:r>
              <w:rPr>
                <w:rFonts w:ascii="Times" w:hAnsi="Times" w:cs="Times"/>
                <w:sz w:val="25"/>
                <w:szCs w:val="25"/>
              </w:rPr>
              <w:br/>
              <w:t xml:space="preserve">„6. V Čl. I sa dopĺňa nový § 21c, ktorý znie nasledovne: „§ 21c Prechodné ustanovenia k úprave účinnej od ... [dátum účinnosti zákona] Spotrebiteľské balenia zahrievaných tabakových výrobkov, ktoré obsahujú charakteristickú arómu a boli vyrobené alebo uvedené na trh pred ... [dátum účinnosti zákona] a spotrebiteľské balenia zahrievaných tabakových výrobkov, ktoré obsahujú arómy v akýchkoľvek ich zložkách, najmä vo filtroch, papieroch, baleniach, kapsuliach, alebo akékoľvek technické prvky umožňujúce zmenu vône, chuti alebo intenzity dymu a boli vyrobené alebo uvedené na trh pred ... [dátum účinnosti zákona] možno uvádzať na trh do ... [dátum najmenej šesť mesiacov odo dňa účinnosti zákona].“ Odôvodnenie: Pripomienku predkladáme z dôvodu, že namietame nedostatky návrhu zákona, ktoré v prípade prijatia návrhu v nezmenenom znení výrazným spôsobom negatívne zasiahnu do trhového prostredia a budú mať negatívne dôsledky tak na podnikateľské subjekty zaoberajúce sa výrobou, dovozom alebo distribúciou </w:t>
            </w:r>
            <w:r>
              <w:rPr>
                <w:rFonts w:ascii="Times" w:hAnsi="Times" w:cs="Times"/>
                <w:sz w:val="25"/>
                <w:szCs w:val="25"/>
              </w:rPr>
              <w:lastRenderedPageBreak/>
              <w:t xml:space="preserve">bezdymových tabakových výrobkov, ako aj na spotrebiteľov týcht výrobkov. Cieľom navhovateľa zákona je prevzatie ustanovení Delegovanej smernice Komisie (EÚ) 2022/2100 z 29. júna 2022, ktorou sa mení Smernica Európskeho parlamentu a Rady 2014/40/EÚ pokiaľ ide o zrušenie určitých výnimiek týkajúcich sa zahrievaných tabakových výrobkov do právneho poriadku Slovenskej republiky. Zrušenie výnimiek sa v praxi pretaví do úplného zákazu bezdymových tabakových výrobkov s charakteristickou arómou alebo obsahujúcich arómy v akýchkoľvek ich zložkách. Navrhuje sa účinnosť návrhu zákona od 23. októbra 2023. Navrhované znenie zákona neobsahuje žiadne prechodné ustanovenie, ktoré by stanovovalo dostatočne dlhú legisvakačnú dobu, počas ktorej by sa všetky dotknuté subjekty regulácie mali možnosť plne prispôsobiť navrhovanému zákazu uvádzať na trh tabakové výrobky s charakteristickou arómou alebo obsahujúce arómy v akýchkoľvek ich zložkách. Vyslovenie zákazu týchto výrobkov s absolútnou účinnosťou už od 23. októbra 2023 znamená nemožnosť akéhokoľvek dopredaja skladových zásob a ich de facto okamžité stiahnutie z predaja, čo je pre dotknuté subjekty technicky, logisticky a organizačne mimoriadne náročné a nákladné. Nemožnosť dopredaja skladových zásob sa v konečnom dôsledku prejaví aj v znížení výberu spotrebnej dane ktorou sú tieto výrobky zaťažené. Máme za to, že ustanovenia zákonom preberanej Delegovanej smernice Komisie (EÚ) 2022/2100 z 29. júna 2022 nevylučujú, aby Členské štáty pri jej transpozícii do svojich národných právnych poriadkov dostatočne dlhú legisvakačnú dobu stanovili. Vzhľadom na </w:t>
            </w:r>
            <w:r>
              <w:rPr>
                <w:rFonts w:ascii="Times" w:hAnsi="Times" w:cs="Times"/>
                <w:sz w:val="25"/>
                <w:szCs w:val="25"/>
              </w:rPr>
              <w:lastRenderedPageBreak/>
              <w:t>horeuvedené preto k návrhu zákona predkladáme nasledovné pripomienky a návrhy, ktorých cieľom je doplnenie prechodného ustanovenia, ktoré umožní dopredaj existujúcich skladových zásob dotknutých výrobkov najmenej po dobu šiestich mesiacov odo dňa účinnosti zákona, tj. šiestich mesiacov odo dňa uloženia ich zákazu.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B4615" w:rsidRDefault="008B4615">
            <w:pPr>
              <w:rPr>
                <w:rFonts w:ascii="Times" w:hAnsi="Times" w:cs="Times"/>
                <w:sz w:val="25"/>
                <w:szCs w:val="25"/>
              </w:rPr>
            </w:pPr>
            <w:r>
              <w:rPr>
                <w:rFonts w:ascii="Times" w:hAnsi="Times" w:cs="Times"/>
                <w:sz w:val="25"/>
                <w:szCs w:val="25"/>
              </w:rPr>
              <w:t xml:space="preserve">Pripomienka bola čiastočne akceptovaná. Termín účinnosti nie je možné meniť, nakoľko tento termín stanovila Komisia Delegovanou smernicou 2022/2100. Prechodné ustanovenie týkajúce sa dopredaja výrobkov bolo do materiálu zapracované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32" w:rsidRDefault="00677332" w:rsidP="000A67D5">
      <w:pPr>
        <w:spacing w:after="0" w:line="240" w:lineRule="auto"/>
      </w:pPr>
      <w:r>
        <w:separator/>
      </w:r>
    </w:p>
  </w:endnote>
  <w:endnote w:type="continuationSeparator" w:id="0">
    <w:p w:rsidR="00677332" w:rsidRDefault="0067733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32" w:rsidRDefault="00677332" w:rsidP="000A67D5">
      <w:pPr>
        <w:spacing w:after="0" w:line="240" w:lineRule="auto"/>
      </w:pPr>
      <w:r>
        <w:separator/>
      </w:r>
    </w:p>
  </w:footnote>
  <w:footnote w:type="continuationSeparator" w:id="0">
    <w:p w:rsidR="00677332" w:rsidRDefault="0067733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5F1CCF"/>
    <w:rsid w:val="00642FB8"/>
    <w:rsid w:val="00677332"/>
    <w:rsid w:val="006A3681"/>
    <w:rsid w:val="007156F5"/>
    <w:rsid w:val="007829C3"/>
    <w:rsid w:val="007A1010"/>
    <w:rsid w:val="007B7F1A"/>
    <w:rsid w:val="007D7AE6"/>
    <w:rsid w:val="007E4294"/>
    <w:rsid w:val="00841FA6"/>
    <w:rsid w:val="008A1964"/>
    <w:rsid w:val="008B4615"/>
    <w:rsid w:val="008E2844"/>
    <w:rsid w:val="0090100E"/>
    <w:rsid w:val="009239D9"/>
    <w:rsid w:val="00927118"/>
    <w:rsid w:val="00943EB2"/>
    <w:rsid w:val="0099665B"/>
    <w:rsid w:val="009C6C5C"/>
    <w:rsid w:val="009F7218"/>
    <w:rsid w:val="00A251BF"/>
    <w:rsid w:val="00A54A16"/>
    <w:rsid w:val="00A87A75"/>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0924">
      <w:bodyDiv w:val="1"/>
      <w:marLeft w:val="0"/>
      <w:marRight w:val="0"/>
      <w:marTop w:val="0"/>
      <w:marBottom w:val="0"/>
      <w:divBdr>
        <w:top w:val="none" w:sz="0" w:space="0" w:color="auto"/>
        <w:left w:val="none" w:sz="0" w:space="0" w:color="auto"/>
        <w:bottom w:val="none" w:sz="0" w:space="0" w:color="auto"/>
        <w:right w:val="none" w:sz="0" w:space="0" w:color="auto"/>
      </w:divBdr>
    </w:div>
    <w:div w:id="306131861">
      <w:bodyDiv w:val="1"/>
      <w:marLeft w:val="0"/>
      <w:marRight w:val="0"/>
      <w:marTop w:val="0"/>
      <w:marBottom w:val="0"/>
      <w:divBdr>
        <w:top w:val="none" w:sz="0" w:space="0" w:color="auto"/>
        <w:left w:val="none" w:sz="0" w:space="0" w:color="auto"/>
        <w:bottom w:val="none" w:sz="0" w:space="0" w:color="auto"/>
        <w:right w:val="none" w:sz="0" w:space="0" w:color="auto"/>
      </w:divBdr>
    </w:div>
    <w:div w:id="621885140">
      <w:bodyDiv w:val="1"/>
      <w:marLeft w:val="0"/>
      <w:marRight w:val="0"/>
      <w:marTop w:val="0"/>
      <w:marBottom w:val="0"/>
      <w:divBdr>
        <w:top w:val="none" w:sz="0" w:space="0" w:color="auto"/>
        <w:left w:val="none" w:sz="0" w:space="0" w:color="auto"/>
        <w:bottom w:val="none" w:sz="0" w:space="0" w:color="auto"/>
        <w:right w:val="none" w:sz="0" w:space="0" w:color="auto"/>
      </w:divBdr>
    </w:div>
    <w:div w:id="802230001">
      <w:bodyDiv w:val="1"/>
      <w:marLeft w:val="0"/>
      <w:marRight w:val="0"/>
      <w:marTop w:val="0"/>
      <w:marBottom w:val="0"/>
      <w:divBdr>
        <w:top w:val="none" w:sz="0" w:space="0" w:color="auto"/>
        <w:left w:val="none" w:sz="0" w:space="0" w:color="auto"/>
        <w:bottom w:val="none" w:sz="0" w:space="0" w:color="auto"/>
        <w:right w:val="none" w:sz="0" w:space="0" w:color="auto"/>
      </w:divBdr>
    </w:div>
    <w:div w:id="932980638">
      <w:bodyDiv w:val="1"/>
      <w:marLeft w:val="0"/>
      <w:marRight w:val="0"/>
      <w:marTop w:val="0"/>
      <w:marBottom w:val="0"/>
      <w:divBdr>
        <w:top w:val="none" w:sz="0" w:space="0" w:color="auto"/>
        <w:left w:val="none" w:sz="0" w:space="0" w:color="auto"/>
        <w:bottom w:val="none" w:sz="0" w:space="0" w:color="auto"/>
        <w:right w:val="none" w:sz="0" w:space="0" w:color="auto"/>
      </w:divBdr>
    </w:div>
    <w:div w:id="1205404387">
      <w:bodyDiv w:val="1"/>
      <w:marLeft w:val="0"/>
      <w:marRight w:val="0"/>
      <w:marTop w:val="0"/>
      <w:marBottom w:val="0"/>
      <w:divBdr>
        <w:top w:val="none" w:sz="0" w:space="0" w:color="auto"/>
        <w:left w:val="none" w:sz="0" w:space="0" w:color="auto"/>
        <w:bottom w:val="none" w:sz="0" w:space="0" w:color="auto"/>
        <w:right w:val="none" w:sz="0" w:space="0" w:color="auto"/>
      </w:divBdr>
    </w:div>
    <w:div w:id="1308317425">
      <w:bodyDiv w:val="1"/>
      <w:marLeft w:val="0"/>
      <w:marRight w:val="0"/>
      <w:marTop w:val="0"/>
      <w:marBottom w:val="0"/>
      <w:divBdr>
        <w:top w:val="none" w:sz="0" w:space="0" w:color="auto"/>
        <w:left w:val="none" w:sz="0" w:space="0" w:color="auto"/>
        <w:bottom w:val="none" w:sz="0" w:space="0" w:color="auto"/>
        <w:right w:val="none" w:sz="0" w:space="0" w:color="auto"/>
      </w:divBdr>
    </w:div>
    <w:div w:id="14303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0.2023 10:43:03"/>
    <f:field ref="objchangedby" par="" text="Administrator, System"/>
    <f:field ref="objmodifiedat" par="" text="3.10.2023 10:43: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4018</Words>
  <Characters>22905</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2023-10-03T08:48:00Z</dcterms:created>
  <dcterms:modified xsi:type="dcterms:W3CDTF">2023-10-03T08:52:00Z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Gabriela Kisová</vt:lpwstr>
  </property>
  <property fmtid="{D5CDD505-2E9C-101B-9397-08002B2CF9AE}" pid="11" name="FSC#SKEDITIONSLOVLEX@103.510:zodppredkladatel">
    <vt:lpwstr>MUDr. Mgr. Michal Palkovič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89/2016 Z. z. o výrobe, označovaní a predaji tabakových výrobkov a súvisiacich výrobkov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B.1 uznesenia vlády SR _x000d_
č. 264 z 31. mája 2023 _x000d_
</vt:lpwstr>
  </property>
  <property fmtid="{D5CDD505-2E9C-101B-9397-08002B2CF9AE}" pid="22" name="FSC#SKEDITIONSLOVLEX@103.510:plnynazovpredpis">
    <vt:lpwstr> Zákon, ktorým sa mení a dopĺňa zákon č. 89/2016 Z. z. o výrobe, označovaní a predaji tabakových výrobkov a súvisiacich výrobkov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S20578-2023-OL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LP/2023/380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Minister zdravotníctva SR</vt:lpwstr>
  </property>
  <property fmtid="{D5CDD505-2E9C-101B-9397-08002B2CF9AE}" pid="141" name="FSC#SKEDITIONSLOVLEX@103.510:funkciaZodpPredAkuzativ">
    <vt:lpwstr>Ministra zdravotníctva SR</vt:lpwstr>
  </property>
  <property fmtid="{D5CDD505-2E9C-101B-9397-08002B2CF9AE}" pid="142" name="FSC#SKEDITIONSLOVLEX@103.510:funkciaZodpPredDativ">
    <vt:lpwstr>Ministrovi zdravotníctva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MUDr. Mgr. Michal Palkovič_x000d_
Minister zdravotníctva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COO.2145.1000.3.5877082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3. 10. 2023</vt:lpwstr>
  </property>
</Properties>
</file>